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27793E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27793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27793E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27793E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27793E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27793E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79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2906F8A1" w14:textId="77777777" w:rsidR="000B43E3" w:rsidRPr="0027793E" w:rsidRDefault="000B43E3" w:rsidP="000B4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O UREĐENJU PROMETA NA PODRUČJU GRADA KOPRIVNICE</w:t>
            </w:r>
          </w:p>
          <w:p w14:paraId="198DDEC5" w14:textId="7E696B9F" w:rsidR="00B2545D" w:rsidRPr="0027793E" w:rsidRDefault="00B2545D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27793E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27793E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581B0C33" w:rsidR="002D2F8C" w:rsidRPr="0027793E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2D2EFF"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izgradnju grada i komunalno gospodarstvo</w:t>
            </w:r>
          </w:p>
          <w:p w14:paraId="4F4E46C8" w14:textId="1E722DCC" w:rsidR="00040839" w:rsidRPr="0027793E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27793E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27793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55E82869" w:rsidR="003F383F" w:rsidRPr="0027793E" w:rsidRDefault="002D2EFF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27793E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34EEB95B" w:rsidR="0080147F" w:rsidRPr="0027793E" w:rsidRDefault="002D2EFF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27793E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27793E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27793E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27793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27793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27793E" w14:paraId="34399F00" w14:textId="77777777" w:rsidTr="003F0035">
        <w:tc>
          <w:tcPr>
            <w:tcW w:w="9067" w:type="dxa"/>
          </w:tcPr>
          <w:p w14:paraId="0568A226" w14:textId="346ABA64" w:rsidR="003424C2" w:rsidRDefault="001121BF" w:rsidP="00E86CC6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79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039C7B19" w14:textId="77777777" w:rsidR="00D101B9" w:rsidRPr="0027793E" w:rsidRDefault="00D101B9" w:rsidP="00D101B9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736724B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Zakonska osnova za donošenje ove Odluke sadržana je u odredbi članka 5. stavka 1. Zakona o sigurnosti prometa na cestama („Narodne novine“ broj 67/08, 48/10, 74/11, 80/13, 158/13, 92/14, 64/15, 108/17, 70/19,42/20, 85/22, 114/22, 133/23 i 145/24), prema kojima jedinice lokalne i područne (regionalne) samouprave, u skladu s odredbama Zakona, uz prethodnu suglasnost Ministarstva nadležnog za unutarnje poslove, uređuju promet na svom području. Člankom 40. stavkom 1. Statuta Grada Koprivnice („Glasnik Grada Koprivnice“ broj 4/09, 1/12, 1/13, 3/13 – pročišćeni tekst 1/18, 2/20 i 1/21) utvrđuje se nadležnost Gradskog vijeća za donošenje Odluke.</w:t>
            </w:r>
          </w:p>
          <w:p w14:paraId="7ECBA07A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Na Odluku je zatražena prethodna suglasnost Ministarstva unutarnjih poslova.</w:t>
            </w:r>
          </w:p>
          <w:p w14:paraId="64D864A0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5C993526" w14:textId="77777777" w:rsidR="00214F72" w:rsidRPr="0027793E" w:rsidRDefault="00214F72" w:rsidP="00214F72">
            <w:pPr>
              <w:spacing w:line="25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lang w:val="es-MX"/>
              </w:rPr>
            </w:pPr>
            <w:r w:rsidRPr="0027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</w:t>
            </w:r>
            <w:r w:rsidRPr="0027793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lang w:val="es-MX"/>
              </w:rPr>
              <w:t>Ocjena stanja i osnovna pitanja koja se uređuju aktom i objašnjenje pojedinih odredbi</w:t>
            </w:r>
          </w:p>
          <w:p w14:paraId="7C98E9A3" w14:textId="77777777" w:rsidR="00214F72" w:rsidRPr="0027793E" w:rsidRDefault="00214F72" w:rsidP="00214F72">
            <w:pPr>
              <w:spacing w:line="25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lang w:val="es-MX"/>
              </w:rPr>
            </w:pPr>
          </w:p>
          <w:p w14:paraId="11481591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Ovim aktom se sukladno članku 5. Zakona propisuju uvjeti i pravila odvijanja prometa na javno prometnim površinama u Gradu Koprivnici te mjere za njihovo provođenje. Grad Koprivnica donio je 2022. godine uz suglasnost Ministarstva unutarnjih poslova Odluku o uređenju prometa na području Grada Koprivnice.</w:t>
            </w:r>
          </w:p>
          <w:p w14:paraId="15701F30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Radi boljeg uređenja prometa, izmjena u prometnoj mreži Grada Koprivnice sukladno izgradnji novih prometnica te preuzimanju dijela državne ceste DC41 na području Grada Koprivnice i usklađenja s odredbama Zakona o sigurnosti prometa na cestama, kao i prilagodba prekršajnih odredbi novoj valuti, predlaže se nova Odluka. </w:t>
            </w:r>
          </w:p>
          <w:p w14:paraId="0969412B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Novom Odlukom jasnije je određeno prometovanje teretnog prometa, određene su nove pješačke zone te su propisane nove prekršajne odredbe.</w:t>
            </w:r>
          </w:p>
          <w:p w14:paraId="25F5C219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Objašnjenja pojedinih odredbi kako slijedi:</w:t>
            </w:r>
          </w:p>
          <w:p w14:paraId="60240AC1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Člancima 1., 2. i 3. definiraju se opće odredbe, odnosno uvjeti i pravila uređenja prometa na javno prometnim površinama, određuje definicija, te radnje koje se ne smiju poduzimati.</w:t>
            </w:r>
          </w:p>
          <w:p w14:paraId="61BD6780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Člancima 4., 5., 6. i 7. taksativno je nabrojena obveza postupanja Grada prema Zakonu o sigurnosti prometa na cestama, te način uređenja prometa.</w:t>
            </w:r>
          </w:p>
          <w:p w14:paraId="3A388E17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Člancima 9. i 10. definiraju se ceste s prednošću prolaska, odnosno glavni smjerovi nerazvrstanih cesta.</w:t>
            </w:r>
          </w:p>
          <w:p w14:paraId="26AFD41C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Člancima 11. i 12. određuje se dvosmjerni, odnosno jednosmjerni promet.</w:t>
            </w:r>
          </w:p>
          <w:p w14:paraId="42690226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13. i 14. obrađuju promet teretnim vozilima i autobusima.</w:t>
            </w:r>
          </w:p>
          <w:p w14:paraId="51844CB0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Članci 15. 16. reguliraju </w:t>
            </w:r>
            <w:r w:rsidRPr="0027793E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sustav tehničkog uređenja prometa i upravljanje prometom putem elektroničkih sustava i video nadzora</w:t>
            </w: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ED075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Člancima 17. i 18. određuje se ograničenje brzine prometa i uređuje način smirivanja prometa.</w:t>
            </w:r>
          </w:p>
          <w:p w14:paraId="2B0FEE26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Člancima 19., 20. 21., 22., 23. 24., 25. uređuje se promet pješaka, vozača bicikla, vozača osobnih prijevoznih sredstava, vozača mopeda, turističkog vlaka i zaprežnih kola, jahača te gonjenje i vođenje stoke sukladno novoj zakonskoj regulativi.</w:t>
            </w:r>
          </w:p>
          <w:p w14:paraId="1D2FF2E3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26., 27., 28., 29., 30., 31. i 32., određuju i opisuju parkirališne površine, osiguravaju parkirališta za osobe sa invaliditetom, određuju režime parkiranja za vrijeme manifestacija, parkiranje teretnih vozila i autobusa te parkirališta pod naplatom koja se pobliže utvrđuju posebnom Odlukom Grada Koprivnice koja utvrđuje uvjete, način korištenja, organizaciju i način naplate na javnim parkiralištima u Gradu Koprivnici.</w:t>
            </w:r>
          </w:p>
          <w:p w14:paraId="5385A217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33. i 34. određuju zone smirenog prometa te definiraju mogućnost stvaranja novih zona smirenog prometa.</w:t>
            </w:r>
          </w:p>
          <w:p w14:paraId="48A82BF7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35., 36. i 37. određuje način premještanja nepropisno zaustavljenih i parkiranih vozila i uklanjanje tehnički neispravnih vozila</w:t>
            </w:r>
          </w:p>
          <w:p w14:paraId="76AB73E0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38. određuje način na koji se uvode mjere u svrhu zaštite pješaka u prometu ili usporavanja brzine kretnja vozila.</w:t>
            </w:r>
          </w:p>
          <w:p w14:paraId="2A894DB7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39., 40., 41., 42. i 43. opisuju i određuju pješačke zone, sigurne pravci za kretanje školske djece, posebne tehničke mjere za sigurnost pješaka i biciklista u blizini obrazovnih, zdravstvenih i drugih ustanova, igrališta, dvorana i sl. Daje se mogućnost stvaranja novih zona te se propisuju iznimke u prometovanje motornih vozila u pješačkim zonama i procedura ishođenja suglasnosti za isto.</w:t>
            </w:r>
          </w:p>
          <w:p w14:paraId="70772A56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44. i 45. definiranju uklanjanje napuštenih, dotrajalih i oštećenih vozila sa javnih prometnih površina.</w:t>
            </w:r>
          </w:p>
          <w:p w14:paraId="26A022AD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46. i članak 47. definira površine na kojima će se obavljati: test vožnja, terenska vožnja (</w:t>
            </w:r>
            <w:proofErr w:type="spellStart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), vožnja izvan kolnika (</w:t>
            </w:r>
            <w:proofErr w:type="spellStart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off</w:t>
            </w:r>
            <w:proofErr w:type="spellEnd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road</w:t>
            </w:r>
            <w:proofErr w:type="spellEnd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), sportske, </w:t>
            </w:r>
            <w:proofErr w:type="spellStart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enduro</w:t>
            </w:r>
            <w:proofErr w:type="spellEnd"/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 i promidžbene vožnje.</w:t>
            </w:r>
          </w:p>
          <w:p w14:paraId="685EFD05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Članci 48., 49., 50., 51. i 52. propisuje uvjete za dostavu na području Grada i u pješačkim zonama, vremensko ograničenje u pješačkim zonama i vrijeme zadržavanja, te otkup poljoprivrednih prinosa.</w:t>
            </w:r>
          </w:p>
          <w:p w14:paraId="1F1D8F2C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53. određuje ovlaštenike postupanja temeljem ove Odluke, te poduzimanje radnji sukladno Zakonu i odredbama Prekršajnog zakona.</w:t>
            </w:r>
          </w:p>
          <w:p w14:paraId="4C0A431B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54. propisuje novčane kazne za prekršaje počinjene suprotno odredbama ove Odluke.</w:t>
            </w:r>
          </w:p>
          <w:p w14:paraId="40BD3E85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55. određuje prestanak važenja prethodne Odluke.</w:t>
            </w:r>
          </w:p>
          <w:p w14:paraId="37145ABF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Članak 56. utvrđuje stupanje na snagu i objavu Odluke.</w:t>
            </w:r>
          </w:p>
          <w:p w14:paraId="22EA107A" w14:textId="77777777" w:rsidR="00214F72" w:rsidRPr="0027793E" w:rsidRDefault="00214F72" w:rsidP="00214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6EFEA" w14:textId="77777777" w:rsidR="00214F72" w:rsidRPr="0027793E" w:rsidRDefault="00214F72" w:rsidP="00214F7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Potrebna sredstva za provedbu akta</w:t>
            </w:r>
          </w:p>
          <w:p w14:paraId="3BAEA472" w14:textId="77777777" w:rsidR="00214F72" w:rsidRPr="0027793E" w:rsidRDefault="00214F72" w:rsidP="00214F72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Za provedbu Odluke o uređenju prometa</w:t>
            </w:r>
            <w:r w:rsidRPr="00277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području Grada Koprivnice</w:t>
            </w: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 nije potrebno osigurati dodatna sredstva u Proračunu Grada Koprivnice.</w:t>
            </w:r>
          </w:p>
          <w:p w14:paraId="35E78B59" w14:textId="77777777" w:rsidR="00214F72" w:rsidRPr="0027793E" w:rsidRDefault="00214F72" w:rsidP="00214F72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 xml:space="preserve">U skladu sa svime naprijed navedenim predlaže se donošenje </w:t>
            </w:r>
            <w:r w:rsidRPr="0027793E">
              <w:rPr>
                <w:rFonts w:ascii="Times New Roman" w:hAnsi="Times New Roman" w:cs="Times New Roman"/>
                <w:bCs/>
                <w:sz w:val="24"/>
                <w:szCs w:val="24"/>
              </w:rPr>
              <w:t>Odluke o uređenju prometa na području Grada Koprivnice</w:t>
            </w:r>
            <w:r w:rsidRPr="002779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7793E">
              <w:rPr>
                <w:rFonts w:ascii="Times New Roman" w:hAnsi="Times New Roman" w:cs="Times New Roman"/>
                <w:sz w:val="24"/>
                <w:szCs w:val="24"/>
              </w:rPr>
              <w:t>u priloženom tekstu.</w:t>
            </w:r>
          </w:p>
          <w:p w14:paraId="2C4D8024" w14:textId="182E6E60" w:rsidR="00DE3343" w:rsidRPr="0027793E" w:rsidRDefault="00DE3343" w:rsidP="00E5206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27793E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3E69A959" w:rsidR="008934B2" w:rsidRPr="0027793E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214F72" w:rsidRPr="0027793E">
        <w:rPr>
          <w:rFonts w:ascii="Times New Roman" w:hAnsi="Times New Roman" w:cs="Times New Roman"/>
          <w:sz w:val="24"/>
          <w:szCs w:val="24"/>
        </w:rPr>
        <w:t>08</w:t>
      </w:r>
      <w:r w:rsidRPr="0027793E">
        <w:rPr>
          <w:rFonts w:ascii="Times New Roman" w:hAnsi="Times New Roman" w:cs="Times New Roman"/>
          <w:sz w:val="24"/>
          <w:szCs w:val="24"/>
        </w:rPr>
        <w:t>.</w:t>
      </w:r>
      <w:r w:rsidR="00E20B38" w:rsidRPr="0027793E">
        <w:rPr>
          <w:rFonts w:ascii="Times New Roman" w:hAnsi="Times New Roman" w:cs="Times New Roman"/>
          <w:sz w:val="24"/>
          <w:szCs w:val="24"/>
        </w:rPr>
        <w:t>0</w:t>
      </w:r>
      <w:r w:rsidR="00214F72" w:rsidRPr="0027793E">
        <w:rPr>
          <w:rFonts w:ascii="Times New Roman" w:hAnsi="Times New Roman" w:cs="Times New Roman"/>
          <w:sz w:val="24"/>
          <w:szCs w:val="24"/>
        </w:rPr>
        <w:t>5</w:t>
      </w:r>
      <w:r w:rsidRPr="0027793E">
        <w:rPr>
          <w:rFonts w:ascii="Times New Roman" w:hAnsi="Times New Roman" w:cs="Times New Roman"/>
          <w:sz w:val="24"/>
          <w:szCs w:val="24"/>
        </w:rPr>
        <w:t>.202</w:t>
      </w:r>
      <w:r w:rsidR="00E20B38" w:rsidRPr="0027793E">
        <w:rPr>
          <w:rFonts w:ascii="Times New Roman" w:hAnsi="Times New Roman" w:cs="Times New Roman"/>
          <w:sz w:val="24"/>
          <w:szCs w:val="24"/>
        </w:rPr>
        <w:t>6</w:t>
      </w:r>
      <w:r w:rsidRPr="0027793E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DE4784" w:rsidRPr="0027793E">
        <w:rPr>
          <w:rFonts w:ascii="Times New Roman" w:hAnsi="Times New Roman" w:cs="Times New Roman"/>
          <w:bCs/>
          <w:sz w:val="24"/>
          <w:szCs w:val="24"/>
        </w:rPr>
        <w:t>Odluke o uređenju prometa na području Grada Koprivnice</w:t>
      </w:r>
      <w:r w:rsidR="00DE4784" w:rsidRPr="002779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793E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27793E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2779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00EE8124" w:rsidR="008934B2" w:rsidRPr="0027793E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3E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27793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DE4784" w:rsidRPr="0027793E">
        <w:rPr>
          <w:rFonts w:ascii="Times New Roman" w:hAnsi="Times New Roman" w:cs="Times New Roman"/>
          <w:bCs/>
          <w:sz w:val="24"/>
          <w:szCs w:val="24"/>
        </w:rPr>
        <w:t>Odluke o uređenju prometa na području Grada Koprivnice</w:t>
      </w:r>
      <w:r w:rsidR="00916F96" w:rsidRPr="0027793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sectPr w:rsidR="008934B2" w:rsidRPr="0027793E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CBB5" w14:textId="77777777" w:rsidR="00DB5C65" w:rsidRDefault="00DB5C65">
      <w:pPr>
        <w:spacing w:after="0" w:line="240" w:lineRule="auto"/>
      </w:pPr>
      <w:r>
        <w:separator/>
      </w:r>
    </w:p>
  </w:endnote>
  <w:endnote w:type="continuationSeparator" w:id="0">
    <w:p w14:paraId="2C7FA5C5" w14:textId="77777777" w:rsidR="00DB5C65" w:rsidRDefault="00DB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3D0DB" w14:textId="77777777" w:rsidR="00DB5C65" w:rsidRDefault="00DB5C65">
      <w:pPr>
        <w:spacing w:after="0" w:line="240" w:lineRule="auto"/>
      </w:pPr>
      <w:r>
        <w:separator/>
      </w:r>
    </w:p>
  </w:footnote>
  <w:footnote w:type="continuationSeparator" w:id="0">
    <w:p w14:paraId="4AAB3AFC" w14:textId="77777777" w:rsidR="00DB5C65" w:rsidRDefault="00DB5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8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1"/>
  </w:num>
  <w:num w:numId="5" w16cid:durableId="1394618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9"/>
  </w:num>
  <w:num w:numId="12" w16cid:durableId="1142236396">
    <w:abstractNumId w:val="7"/>
  </w:num>
  <w:num w:numId="13" w16cid:durableId="1526595686">
    <w:abstractNumId w:val="5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4"/>
  </w:num>
  <w:num w:numId="16" w16cid:durableId="580916993">
    <w:abstractNumId w:val="10"/>
  </w:num>
  <w:num w:numId="17" w16cid:durableId="161463265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43E3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AA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14F72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7793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EFF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46168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D5528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B45FE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1B9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C65"/>
    <w:rsid w:val="00DD2014"/>
    <w:rsid w:val="00DD2D04"/>
    <w:rsid w:val="00DD3296"/>
    <w:rsid w:val="00DD38C1"/>
    <w:rsid w:val="00DD5BF7"/>
    <w:rsid w:val="00DD65BA"/>
    <w:rsid w:val="00DD7087"/>
    <w:rsid w:val="00DE3343"/>
    <w:rsid w:val="00DE4784"/>
    <w:rsid w:val="00DE4F83"/>
    <w:rsid w:val="00DE658D"/>
    <w:rsid w:val="00DE75FA"/>
    <w:rsid w:val="00DF017E"/>
    <w:rsid w:val="00DF128D"/>
    <w:rsid w:val="00DF5566"/>
    <w:rsid w:val="00DF6ACC"/>
    <w:rsid w:val="00DF79B1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429</cp:revision>
  <cp:lastPrinted>2017-02-06T09:28:00Z</cp:lastPrinted>
  <dcterms:created xsi:type="dcterms:W3CDTF">2019-05-09T06:56:00Z</dcterms:created>
  <dcterms:modified xsi:type="dcterms:W3CDTF">2026-04-08T07:20:00Z</dcterms:modified>
</cp:coreProperties>
</file>