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C415A5" w:rsidRDefault="001D67BE" w:rsidP="00FE2CA0">
            <w:pPr>
              <w:jc w:val="center"/>
              <w:rPr>
                <w:rFonts w:ascii="Times New Roman" w:hAnsi="Times New Roman" w:cs="Times New Roman"/>
                <w:b/>
                <w:sz w:val="24"/>
                <w:szCs w:val="24"/>
              </w:rPr>
            </w:pPr>
            <w:r w:rsidRPr="00C415A5">
              <w:rPr>
                <w:rFonts w:ascii="Times New Roman" w:hAnsi="Times New Roman" w:cs="Times New Roman"/>
                <w:b/>
                <w:sz w:val="24"/>
                <w:szCs w:val="24"/>
              </w:rPr>
              <w:t>prijedloga</w:t>
            </w:r>
          </w:p>
          <w:p w14:paraId="0F47BF7A" w14:textId="62AF1CBF" w:rsidR="001C0F66" w:rsidRDefault="00AE00F4" w:rsidP="00AE00F4">
            <w:pPr>
              <w:spacing w:line="256" w:lineRule="auto"/>
              <w:ind w:left="54"/>
              <w:jc w:val="center"/>
              <w:rPr>
                <w:rFonts w:ascii="Times New Roman" w:hAnsi="Times New Roman" w:cs="Times New Roman"/>
                <w:b/>
              </w:rPr>
            </w:pPr>
            <w:r>
              <w:rPr>
                <w:rFonts w:ascii="Times New Roman" w:hAnsi="Times New Roman" w:cs="Times New Roman"/>
                <w:b/>
              </w:rPr>
              <w:t>ODLUKE</w:t>
            </w:r>
          </w:p>
          <w:p w14:paraId="4D9AD650" w14:textId="08C0BB76" w:rsidR="00AE00F4" w:rsidRPr="00FD572B" w:rsidRDefault="00FD572B" w:rsidP="00AE00F4">
            <w:pPr>
              <w:spacing w:line="256" w:lineRule="auto"/>
              <w:ind w:left="54"/>
              <w:jc w:val="center"/>
              <w:rPr>
                <w:rFonts w:ascii="Times New Roman" w:hAnsi="Times New Roman" w:cs="Times New Roman"/>
                <w:b/>
                <w:color w:val="000000"/>
                <w:kern w:val="2"/>
                <w:sz w:val="24"/>
                <w:szCs w:val="24"/>
              </w:rPr>
            </w:pPr>
            <w:r w:rsidRPr="00FD572B">
              <w:rPr>
                <w:rFonts w:ascii="Times New Roman" w:hAnsi="Times New Roman" w:cs="Times New Roman"/>
                <w:b/>
                <w:bCs/>
                <w:sz w:val="24"/>
                <w:szCs w:val="24"/>
              </w:rPr>
              <w:t>o upisnim područjima osnovnih škola Grada Koprivnice</w:t>
            </w: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6D65FA1B" w:rsidR="002D2F8C" w:rsidRPr="00F726C2" w:rsidRDefault="00517189" w:rsidP="001B40D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Upravni odjel za 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2F762F26" w:rsidR="003F383F" w:rsidRPr="00F726C2" w:rsidRDefault="00FD572B"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BF0BA2">
              <w:rPr>
                <w:rFonts w:ascii="Times New Roman" w:hAnsi="Times New Roman" w:cs="Times New Roman"/>
                <w:b/>
                <w:sz w:val="24"/>
                <w:szCs w:val="24"/>
              </w:rPr>
              <w:t>.11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565DD7B5" w:rsidR="00CA6D4A" w:rsidRDefault="00FD572B" w:rsidP="00731F43">
            <w:pPr>
              <w:jc w:val="center"/>
              <w:rPr>
                <w:rFonts w:ascii="Times New Roman" w:hAnsi="Times New Roman" w:cs="Times New Roman"/>
                <w:b/>
                <w:sz w:val="24"/>
                <w:szCs w:val="24"/>
              </w:rPr>
            </w:pPr>
            <w:r>
              <w:rPr>
                <w:rFonts w:ascii="Times New Roman" w:hAnsi="Times New Roman" w:cs="Times New Roman"/>
                <w:b/>
                <w:sz w:val="24"/>
                <w:szCs w:val="24"/>
              </w:rPr>
              <w:t>26</w:t>
            </w:r>
            <w:r w:rsidR="00FA21DB" w:rsidRPr="00F726C2">
              <w:rPr>
                <w:rFonts w:ascii="Times New Roman" w:hAnsi="Times New Roman" w:cs="Times New Roman"/>
                <w:b/>
                <w:sz w:val="24"/>
                <w:szCs w:val="24"/>
              </w:rPr>
              <w:t>.</w:t>
            </w:r>
            <w:r w:rsidR="002766F9">
              <w:rPr>
                <w:rFonts w:ascii="Times New Roman" w:hAnsi="Times New Roman" w:cs="Times New Roman"/>
                <w:b/>
                <w:sz w:val="24"/>
                <w:szCs w:val="24"/>
              </w:rPr>
              <w:t>1</w:t>
            </w:r>
            <w:r>
              <w:rPr>
                <w:rFonts w:ascii="Times New Roman" w:hAnsi="Times New Roman" w:cs="Times New Roman"/>
                <w:b/>
                <w:sz w:val="24"/>
                <w:szCs w:val="24"/>
              </w:rPr>
              <w:t>1</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166E632A" w14:textId="77777777" w:rsidR="000A2936" w:rsidRPr="00F726C2" w:rsidRDefault="000A2936" w:rsidP="00FD572B">
            <w:pP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57C7D0EF" w14:textId="14A64328" w:rsidR="00C302E6" w:rsidRPr="00D16740" w:rsidRDefault="00C302E6" w:rsidP="00D16740">
            <w:pPr>
              <w:pStyle w:val="Odlomakpopisa"/>
              <w:numPr>
                <w:ilvl w:val="0"/>
                <w:numId w:val="8"/>
              </w:numPr>
              <w:jc w:val="both"/>
              <w:rPr>
                <w:rFonts w:ascii="Times New Roman" w:hAnsi="Times New Roman" w:cs="Times New Roman"/>
                <w:b/>
                <w:bCs/>
              </w:rPr>
            </w:pPr>
            <w:r w:rsidRPr="00D16740">
              <w:rPr>
                <w:rFonts w:ascii="Times New Roman" w:hAnsi="Times New Roman" w:cs="Times New Roman"/>
                <w:b/>
                <w:bCs/>
              </w:rPr>
              <w:t>Zakonska osnova</w:t>
            </w:r>
          </w:p>
          <w:p w14:paraId="4F27F913" w14:textId="77777777" w:rsidR="00D16740" w:rsidRDefault="00D16740" w:rsidP="00D16740">
            <w:pPr>
              <w:jc w:val="both"/>
              <w:rPr>
                <w:rFonts w:eastAsia="Calibri"/>
                <w:color w:val="000000"/>
                <w:lang w:eastAsia="en-US"/>
              </w:rPr>
            </w:pPr>
          </w:p>
          <w:p w14:paraId="6E7F3DC2" w14:textId="2F78FA52"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Zakonska osnova za donošenje Odluke o upisnim područjima osnovnih škola Grada Koprivnice (u daljnjem tekstu: Odluka) sadržana je u odredbi članka 16. stavku 1. Zakona o odgoju i obrazovanju u osnovnoj i srednjoj školi („Narodne novine“ broj 87/08, 86/09, 92/10, 105/10, 90/11, 5/12, 16/12, 86/12, 126/12, 94/13, 152/14, 7/17, 68/18, 98/19,64/20, 151/22, 153/23 i 156/23) i članku 40. Statuta Grada Koprivnice („Glasnik Grada Koprivnice“ broj 4/09., 1/12., 1/13., 3/13. – pročišćeni tekst, 1/18, 2/20. i 1/21).</w:t>
            </w:r>
          </w:p>
          <w:p w14:paraId="227130F7"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6B704660" w14:textId="248224F1" w:rsidR="00D16740" w:rsidRPr="00D16740" w:rsidRDefault="00D16740" w:rsidP="00D16740">
            <w:pPr>
              <w:pStyle w:val="Odlomakpopisa"/>
              <w:numPr>
                <w:ilvl w:val="0"/>
                <w:numId w:val="7"/>
              </w:numPr>
              <w:jc w:val="both"/>
              <w:rPr>
                <w:rFonts w:ascii="Times New Roman" w:eastAsia="Calibri" w:hAnsi="Times New Roman" w:cs="Times New Roman"/>
                <w:b/>
                <w:bCs/>
                <w:color w:val="000000"/>
                <w:sz w:val="24"/>
                <w:szCs w:val="24"/>
              </w:rPr>
            </w:pPr>
            <w:r w:rsidRPr="00D16740">
              <w:rPr>
                <w:rFonts w:ascii="Times New Roman" w:eastAsia="Calibri" w:hAnsi="Times New Roman" w:cs="Times New Roman"/>
                <w:b/>
                <w:bCs/>
                <w:color w:val="000000"/>
                <w:sz w:val="24"/>
                <w:szCs w:val="24"/>
              </w:rPr>
              <w:t xml:space="preserve">Ocjena stanja i osnovna pitanja koja se uređuju pojedinim aktom i objašnjenje pojedinih odredbi </w:t>
            </w:r>
          </w:p>
          <w:p w14:paraId="4D48B820"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79CC8926"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 xml:space="preserve">Zadnjim izmjenama Zakona o odgoju i obrazovanju u osnovnoj i srednjoj školi izmijenjena je odredba članka 16. na način da upisno područje više nije sastavni dio mreže školskih ustanova već isto određuje osnivač škole. Grad Koprivnica je dana 10.12.2024. godine potpisao Ugovor o dodjeli bespovratnih sredstava kojim su mu dodijeljena bespovratna sredstva u svrhu provedbe projekta dogradnje osnovne škole Braća Radić čime će se osigurati provođenje </w:t>
            </w:r>
            <w:proofErr w:type="spellStart"/>
            <w:r w:rsidRPr="00D16740">
              <w:rPr>
                <w:rFonts w:ascii="Times New Roman" w:eastAsia="Calibri" w:hAnsi="Times New Roman" w:cs="Times New Roman"/>
                <w:color w:val="000000"/>
                <w:sz w:val="24"/>
                <w:szCs w:val="24"/>
                <w:lang w:eastAsia="en-US"/>
              </w:rPr>
              <w:t>jednosmjenske</w:t>
            </w:r>
            <w:proofErr w:type="spellEnd"/>
            <w:r w:rsidRPr="00D16740">
              <w:rPr>
                <w:rFonts w:ascii="Times New Roman" w:eastAsia="Calibri" w:hAnsi="Times New Roman" w:cs="Times New Roman"/>
                <w:color w:val="000000"/>
                <w:sz w:val="24"/>
                <w:szCs w:val="24"/>
                <w:lang w:eastAsia="en-US"/>
              </w:rPr>
              <w:t xml:space="preserve"> nastave u svim osnovnim školama na području grada. Radi navedenog izrađen je i novi Prijedlog mreže osnovnih škola na području grada Koprivnice, posljedično čemu je potrebno donijeti i predmetnu Odluku.</w:t>
            </w:r>
          </w:p>
          <w:p w14:paraId="36B67BBA"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11B57167"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Ovom Odlukom propisane su sljedeće odredbe:</w:t>
            </w:r>
          </w:p>
          <w:p w14:paraId="78CC464B"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4FB1AF32"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1. utvrđen je sadržaj Odluke.</w:t>
            </w:r>
          </w:p>
          <w:p w14:paraId="6E9AE60E"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2. propisano je što je upisno područje.</w:t>
            </w:r>
          </w:p>
          <w:p w14:paraId="47789F92"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3. propisano je kako se utvrđuje upisno područje.</w:t>
            </w:r>
          </w:p>
          <w:p w14:paraId="798E80DF"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Članak 4. sadrži odredbu o pravu roditelja i uvjetima upisa djece u školu izvan upisnog područja.</w:t>
            </w:r>
          </w:p>
          <w:p w14:paraId="6AF2ED3C"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5. popisane su upisna područja sa ulicama za svaku osnovnu školu, centar za odgoj, obrazovanje i rehabilitaciju i umjetničku školu.</w:t>
            </w:r>
          </w:p>
          <w:p w14:paraId="04840B50"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6. propisana je mogućnost gradonačelnika da za svaku školsku godinu odlukom utvrdi zajedničko upisno područje za pojedine osnovne škole.</w:t>
            </w:r>
          </w:p>
          <w:p w14:paraId="58B2C0EC" w14:textId="77777777" w:rsid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Člankom 7. propisano je stupanje na snagu i objava Odluke.</w:t>
            </w:r>
          </w:p>
          <w:p w14:paraId="02F59078" w14:textId="77777777" w:rsidR="00D16740" w:rsidRDefault="00D16740" w:rsidP="00D16740">
            <w:pPr>
              <w:jc w:val="both"/>
              <w:rPr>
                <w:rFonts w:ascii="Times New Roman" w:eastAsia="Calibri" w:hAnsi="Times New Roman" w:cs="Times New Roman"/>
                <w:color w:val="000000"/>
                <w:sz w:val="24"/>
                <w:szCs w:val="24"/>
                <w:lang w:eastAsia="en-US"/>
              </w:rPr>
            </w:pPr>
          </w:p>
          <w:p w14:paraId="12109E6C"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5C9FF4CD" w14:textId="77777777" w:rsidR="00D16740" w:rsidRPr="00D16740" w:rsidRDefault="00D16740" w:rsidP="00D16740">
            <w:pPr>
              <w:jc w:val="both"/>
              <w:rPr>
                <w:rFonts w:ascii="Times New Roman" w:eastAsia="Calibri" w:hAnsi="Times New Roman" w:cs="Times New Roman"/>
                <w:color w:val="000000"/>
                <w:sz w:val="24"/>
                <w:szCs w:val="24"/>
                <w:lang w:eastAsia="en-US"/>
              </w:rPr>
            </w:pPr>
          </w:p>
          <w:p w14:paraId="7F7F38DB" w14:textId="5E7AE31A" w:rsidR="00D16740" w:rsidRPr="00E65D88" w:rsidRDefault="00D16740" w:rsidP="00E65D88">
            <w:pPr>
              <w:pStyle w:val="Odlomakpopisa"/>
              <w:numPr>
                <w:ilvl w:val="0"/>
                <w:numId w:val="7"/>
              </w:numPr>
              <w:jc w:val="both"/>
              <w:rPr>
                <w:rFonts w:ascii="Times New Roman" w:eastAsia="Calibri" w:hAnsi="Times New Roman" w:cs="Times New Roman"/>
                <w:b/>
                <w:bCs/>
                <w:color w:val="000000"/>
                <w:sz w:val="24"/>
                <w:szCs w:val="24"/>
              </w:rPr>
            </w:pPr>
            <w:r w:rsidRPr="00E65D88">
              <w:rPr>
                <w:rFonts w:ascii="Times New Roman" w:eastAsia="Calibri" w:hAnsi="Times New Roman" w:cs="Times New Roman"/>
                <w:b/>
                <w:bCs/>
                <w:color w:val="000000"/>
                <w:sz w:val="24"/>
                <w:szCs w:val="24"/>
              </w:rPr>
              <w:lastRenderedPageBreak/>
              <w:t>Potrebna sredstava za provedbu akta</w:t>
            </w:r>
          </w:p>
          <w:p w14:paraId="5231E068" w14:textId="77777777" w:rsidR="00E65D88" w:rsidRPr="00E65D88" w:rsidRDefault="00E65D88" w:rsidP="00E65D88">
            <w:pPr>
              <w:pStyle w:val="Odlomakpopisa"/>
              <w:ind w:left="1080"/>
              <w:jc w:val="both"/>
              <w:rPr>
                <w:rFonts w:ascii="Times New Roman" w:eastAsia="Calibri" w:hAnsi="Times New Roman" w:cs="Times New Roman"/>
                <w:b/>
                <w:bCs/>
                <w:color w:val="000000"/>
                <w:sz w:val="24"/>
                <w:szCs w:val="24"/>
              </w:rPr>
            </w:pPr>
          </w:p>
          <w:p w14:paraId="4EB52856"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Za provođenje ove Odluke nije potrebno osigurati sredstva u proračunu Grada Koprivnice.</w:t>
            </w:r>
          </w:p>
          <w:p w14:paraId="16D951F9" w14:textId="77777777" w:rsidR="00D16740" w:rsidRPr="00D16740" w:rsidRDefault="00D16740" w:rsidP="00D16740">
            <w:pPr>
              <w:jc w:val="both"/>
              <w:rPr>
                <w:rFonts w:ascii="Times New Roman" w:eastAsia="Calibri" w:hAnsi="Times New Roman" w:cs="Times New Roman"/>
                <w:color w:val="000000"/>
                <w:sz w:val="24"/>
                <w:szCs w:val="24"/>
                <w:lang w:eastAsia="en-US"/>
              </w:rPr>
            </w:pPr>
            <w:r w:rsidRPr="00D16740">
              <w:rPr>
                <w:rFonts w:ascii="Times New Roman" w:eastAsia="Calibri" w:hAnsi="Times New Roman" w:cs="Times New Roman"/>
                <w:color w:val="000000"/>
                <w:sz w:val="24"/>
                <w:szCs w:val="24"/>
                <w:lang w:eastAsia="en-US"/>
              </w:rPr>
              <w:t>Slijedom navedenog, predlaže se Gradskom vijeću Grada Koprivnice donošenje Odluke o upisnim područjima osnovnih škola Grada Koprivnice.</w:t>
            </w:r>
          </w:p>
          <w:p w14:paraId="2C4D8024" w14:textId="2CC371F0" w:rsidR="00DE3343" w:rsidRPr="00C302E6" w:rsidRDefault="00DE3343" w:rsidP="00F34429">
            <w:pPr>
              <w:jc w:val="both"/>
              <w:rPr>
                <w:rFonts w:ascii="Times New Roman" w:eastAsia="Times New Roman" w:hAnsi="Times New Roman" w:cs="Times New Roman"/>
                <w:iCs/>
                <w:sz w:val="24"/>
                <w:szCs w:val="24"/>
              </w:rPr>
            </w:pPr>
          </w:p>
        </w:tc>
      </w:tr>
    </w:tbl>
    <w:p w14:paraId="04940EF9" w14:textId="77777777" w:rsidR="007522CE" w:rsidRDefault="007522CE" w:rsidP="007522CE">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Obrazloženje skraćenog roka savjetovanja:</w:t>
      </w:r>
    </w:p>
    <w:p w14:paraId="7600D6FD" w14:textId="0A1356C3" w:rsidR="00986554" w:rsidRDefault="00986554" w:rsidP="00986554">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t>P</w:t>
      </w:r>
      <w:r w:rsidRPr="001061FA">
        <w:rPr>
          <w:rFonts w:ascii="Times New Roman" w:eastAsia="Times New Roman" w:hAnsi="Times New Roman" w:cs="Times New Roman"/>
          <w:color w:val="242424"/>
          <w:sz w:val="24"/>
          <w:szCs w:val="24"/>
          <w:lang w:eastAsia="hr-HR"/>
        </w:rPr>
        <w:t>rocijenjeno je da će ovako skraćeni rok savjetovanja biti dovoljan da se građani upoznaju s naveden</w:t>
      </w:r>
      <w:r w:rsidR="00E65D88">
        <w:rPr>
          <w:rFonts w:ascii="Times New Roman" w:eastAsia="Times New Roman" w:hAnsi="Times New Roman" w:cs="Times New Roman"/>
          <w:color w:val="242424"/>
          <w:sz w:val="24"/>
          <w:szCs w:val="24"/>
          <w:lang w:eastAsia="hr-HR"/>
        </w:rPr>
        <w:t>om Odlukom</w:t>
      </w:r>
      <w:r w:rsidRPr="001061FA">
        <w:rPr>
          <w:rFonts w:ascii="Times New Roman" w:eastAsia="Times New Roman" w:hAnsi="Times New Roman" w:cs="Times New Roman"/>
          <w:color w:val="242424"/>
          <w:sz w:val="24"/>
          <w:szCs w:val="24"/>
          <w:lang w:eastAsia="hr-HR"/>
        </w:rPr>
        <w:t xml:space="preserve"> i sudjeluju u savjetovanju čime se postiže svrha savjetovanja.</w:t>
      </w:r>
    </w:p>
    <w:p w14:paraId="581334C9" w14:textId="4F35D0F6"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585AAA">
        <w:rPr>
          <w:rFonts w:ascii="Times New Roman" w:hAnsi="Times New Roman" w:cs="Times New Roman"/>
          <w:sz w:val="24"/>
          <w:szCs w:val="24"/>
        </w:rPr>
        <w:t>26</w:t>
      </w:r>
      <w:r w:rsidRPr="00F726C2">
        <w:rPr>
          <w:rFonts w:ascii="Times New Roman" w:hAnsi="Times New Roman" w:cs="Times New Roman"/>
          <w:sz w:val="24"/>
          <w:szCs w:val="24"/>
        </w:rPr>
        <w:t>.</w:t>
      </w:r>
      <w:r w:rsidR="002C648B">
        <w:rPr>
          <w:rFonts w:ascii="Times New Roman" w:hAnsi="Times New Roman" w:cs="Times New Roman"/>
          <w:sz w:val="24"/>
          <w:szCs w:val="24"/>
        </w:rPr>
        <w:t>1</w:t>
      </w:r>
      <w:r w:rsidR="00585AAA">
        <w:rPr>
          <w:rFonts w:ascii="Times New Roman" w:hAnsi="Times New Roman" w:cs="Times New Roman"/>
          <w:sz w:val="24"/>
          <w:szCs w:val="24"/>
        </w:rPr>
        <w:t>1</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372D1B">
        <w:rPr>
          <w:rFonts w:ascii="Times New Roman" w:hAnsi="Times New Roman" w:cs="Times New Roman"/>
          <w:sz w:val="24"/>
          <w:szCs w:val="24"/>
        </w:rPr>
        <w:t>Odluke o upisnim područjima osnovnih škola Grada Koprivnice</w:t>
      </w:r>
      <w:r w:rsidR="00F726C2" w:rsidRPr="00F726C2">
        <w:rPr>
          <w:rFonts w:ascii="Times New Roman" w:hAnsi="Times New Roman" w:cs="Times New Roman"/>
          <w:sz w:val="24"/>
          <w:szCs w:val="24"/>
        </w:rPr>
        <w:t xml:space="preserve">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00AC34BF" w:rsidRPr="00D34414">
          <w:rPr>
            <w:rStyle w:val="Hiperveza"/>
            <w:rFonts w:ascii="Times New Roman" w:hAnsi="Times New Roman" w:cs="Times New Roman"/>
            <w:sz w:val="24"/>
            <w:szCs w:val="24"/>
          </w:rPr>
          <w:t>mateja.cok@koprivnica.hr</w:t>
        </w:r>
        <w:proofErr w:type="spellEnd"/>
      </w:hyperlink>
      <w:r w:rsidRPr="00F726C2">
        <w:rPr>
          <w:rFonts w:ascii="Times New Roman" w:hAnsi="Times New Roman" w:cs="Times New Roman"/>
          <w:sz w:val="24"/>
          <w:szCs w:val="24"/>
        </w:rPr>
        <w:t xml:space="preserve"> </w:t>
      </w:r>
    </w:p>
    <w:p w14:paraId="73DCE3C0" w14:textId="08E77832"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372D1B">
        <w:rPr>
          <w:rFonts w:ascii="Times New Roman" w:hAnsi="Times New Roman" w:cs="Times New Roman"/>
          <w:sz w:val="24"/>
          <w:szCs w:val="24"/>
        </w:rPr>
        <w:t>Odluke.</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40D35" w14:textId="77777777" w:rsidR="004E26BC" w:rsidRDefault="004E26BC">
      <w:pPr>
        <w:spacing w:after="0" w:line="240" w:lineRule="auto"/>
      </w:pPr>
      <w:r>
        <w:separator/>
      </w:r>
    </w:p>
  </w:endnote>
  <w:endnote w:type="continuationSeparator" w:id="0">
    <w:p w14:paraId="72F14360" w14:textId="77777777" w:rsidR="004E26BC" w:rsidRDefault="004E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E3E8" w14:textId="77777777" w:rsidR="004E26BC" w:rsidRDefault="004E26BC">
      <w:pPr>
        <w:spacing w:after="0" w:line="240" w:lineRule="auto"/>
      </w:pPr>
      <w:r>
        <w:separator/>
      </w:r>
    </w:p>
  </w:footnote>
  <w:footnote w:type="continuationSeparator" w:id="0">
    <w:p w14:paraId="3412A0AC" w14:textId="77777777" w:rsidR="004E26BC" w:rsidRDefault="004E2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273222B"/>
    <w:multiLevelType w:val="hybridMultilevel"/>
    <w:tmpl w:val="325083D4"/>
    <w:lvl w:ilvl="0" w:tplc="947CE1E8">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D5E421F"/>
    <w:multiLevelType w:val="hybridMultilevel"/>
    <w:tmpl w:val="0974E06E"/>
    <w:lvl w:ilvl="0" w:tplc="199E1C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A8C3263"/>
    <w:multiLevelType w:val="hybridMultilevel"/>
    <w:tmpl w:val="CD502378"/>
    <w:lvl w:ilvl="0" w:tplc="6630D02E">
      <w:start w:val="1"/>
      <w:numFmt w:val="upperRoman"/>
      <w:lvlText w:val="%1."/>
      <w:lvlJc w:val="left"/>
      <w:pPr>
        <w:ind w:left="1080" w:hanging="720"/>
      </w:pPr>
    </w:lvl>
    <w:lvl w:ilvl="1" w:tplc="2D3A682A">
      <w:start w:val="1"/>
      <w:numFmt w:val="lowerLetter"/>
      <w:lvlText w:val="%2."/>
      <w:lvlJc w:val="left"/>
      <w:pPr>
        <w:ind w:left="1440" w:hanging="360"/>
      </w:pPr>
    </w:lvl>
    <w:lvl w:ilvl="2" w:tplc="7D046EB2">
      <w:start w:val="1"/>
      <w:numFmt w:val="lowerRoman"/>
      <w:lvlText w:val="%3."/>
      <w:lvlJc w:val="right"/>
      <w:pPr>
        <w:ind w:left="2160" w:hanging="180"/>
      </w:pPr>
    </w:lvl>
    <w:lvl w:ilvl="3" w:tplc="1B0A9F8A">
      <w:start w:val="1"/>
      <w:numFmt w:val="decimal"/>
      <w:lvlText w:val="%4."/>
      <w:lvlJc w:val="left"/>
      <w:pPr>
        <w:ind w:left="2880" w:hanging="360"/>
      </w:pPr>
    </w:lvl>
    <w:lvl w:ilvl="4" w:tplc="EBA0F3AC">
      <w:start w:val="1"/>
      <w:numFmt w:val="lowerLetter"/>
      <w:lvlText w:val="%5."/>
      <w:lvlJc w:val="left"/>
      <w:pPr>
        <w:ind w:left="3600" w:hanging="360"/>
      </w:pPr>
    </w:lvl>
    <w:lvl w:ilvl="5" w:tplc="A2BA4DB6">
      <w:start w:val="1"/>
      <w:numFmt w:val="lowerRoman"/>
      <w:lvlText w:val="%6."/>
      <w:lvlJc w:val="right"/>
      <w:pPr>
        <w:ind w:left="4320" w:hanging="180"/>
      </w:pPr>
    </w:lvl>
    <w:lvl w:ilvl="6" w:tplc="8E48CF48">
      <w:start w:val="1"/>
      <w:numFmt w:val="decimal"/>
      <w:lvlText w:val="%7."/>
      <w:lvlJc w:val="left"/>
      <w:pPr>
        <w:ind w:left="5040" w:hanging="360"/>
      </w:pPr>
    </w:lvl>
    <w:lvl w:ilvl="7" w:tplc="A36AB356">
      <w:start w:val="1"/>
      <w:numFmt w:val="lowerLetter"/>
      <w:lvlText w:val="%8."/>
      <w:lvlJc w:val="left"/>
      <w:pPr>
        <w:ind w:left="5760" w:hanging="360"/>
      </w:pPr>
    </w:lvl>
    <w:lvl w:ilvl="8" w:tplc="61FC747A">
      <w:start w:val="1"/>
      <w:numFmt w:val="lowerRoman"/>
      <w:lvlText w:val="%9."/>
      <w:lvlJc w:val="right"/>
      <w:pPr>
        <w:ind w:left="6480" w:hanging="180"/>
      </w:pPr>
    </w:lvl>
  </w:abstractNum>
  <w:abstractNum w:abstractNumId="7"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5"/>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691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7509001">
    <w:abstractNumId w:val="1"/>
  </w:num>
  <w:num w:numId="8" w16cid:durableId="123150157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E03"/>
    <w:rsid w:val="002766F9"/>
    <w:rsid w:val="002777BE"/>
    <w:rsid w:val="00283F7C"/>
    <w:rsid w:val="00284797"/>
    <w:rsid w:val="002870CB"/>
    <w:rsid w:val="00290406"/>
    <w:rsid w:val="00292F89"/>
    <w:rsid w:val="0029513E"/>
    <w:rsid w:val="002B01A6"/>
    <w:rsid w:val="002B69E0"/>
    <w:rsid w:val="002B7015"/>
    <w:rsid w:val="002C352E"/>
    <w:rsid w:val="002C648B"/>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2D1B"/>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55656"/>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17189"/>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85AAA"/>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522CE"/>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1422"/>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287"/>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86554"/>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C34BF"/>
    <w:rsid w:val="00AD7F0B"/>
    <w:rsid w:val="00AE00F4"/>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63CD"/>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0BA2"/>
    <w:rsid w:val="00BF5612"/>
    <w:rsid w:val="00C00564"/>
    <w:rsid w:val="00C01351"/>
    <w:rsid w:val="00C0622A"/>
    <w:rsid w:val="00C12D71"/>
    <w:rsid w:val="00C14156"/>
    <w:rsid w:val="00C24582"/>
    <w:rsid w:val="00C25E81"/>
    <w:rsid w:val="00C302E6"/>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1674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6A6"/>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65D88"/>
    <w:rsid w:val="00E76528"/>
    <w:rsid w:val="00E772B9"/>
    <w:rsid w:val="00E844ED"/>
    <w:rsid w:val="00E9012B"/>
    <w:rsid w:val="00E91C8A"/>
    <w:rsid w:val="00E91E06"/>
    <w:rsid w:val="00E961D4"/>
    <w:rsid w:val="00E975C3"/>
    <w:rsid w:val="00EA7808"/>
    <w:rsid w:val="00EA7D4D"/>
    <w:rsid w:val="00EB7AA3"/>
    <w:rsid w:val="00EC2230"/>
    <w:rsid w:val="00EC79CE"/>
    <w:rsid w:val="00ED167A"/>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85819"/>
    <w:rsid w:val="00F91E56"/>
    <w:rsid w:val="00F96499"/>
    <w:rsid w:val="00F97990"/>
    <w:rsid w:val="00FA21DB"/>
    <w:rsid w:val="00FA26AD"/>
    <w:rsid w:val="00FA2874"/>
    <w:rsid w:val="00FA3FA9"/>
    <w:rsid w:val="00FB0B08"/>
    <w:rsid w:val="00FB691E"/>
    <w:rsid w:val="00FC151C"/>
    <w:rsid w:val="00FC7CA5"/>
    <w:rsid w:val="00FD021F"/>
    <w:rsid w:val="00FD32C8"/>
    <w:rsid w:val="00FD572B"/>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Pages>
  <Words>504</Words>
  <Characters>2879</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Mateja Čok</cp:lastModifiedBy>
  <cp:revision>390</cp:revision>
  <cp:lastPrinted>2017-02-06T09:28:00Z</cp:lastPrinted>
  <dcterms:created xsi:type="dcterms:W3CDTF">2019-05-09T06:56:00Z</dcterms:created>
  <dcterms:modified xsi:type="dcterms:W3CDTF">2025-11-12T13:15:00Z</dcterms:modified>
</cp:coreProperties>
</file>