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77458D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0B2592D" w14:textId="77777777" w:rsidR="00653112" w:rsidRDefault="00653112" w:rsidP="00653112">
      <w:pPr>
        <w:jc w:val="center"/>
        <w:rPr>
          <w:b/>
          <w:color w:val="000000"/>
          <w:sz w:val="22"/>
          <w:szCs w:val="22"/>
        </w:rPr>
      </w:pPr>
    </w:p>
    <w:p w14:paraId="2513CEEB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3F5D05C" w14:textId="77777777" w:rsidR="00653112" w:rsidRPr="00360901" w:rsidRDefault="0077458D" w:rsidP="00653112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>Zakonska osnova</w:t>
      </w:r>
    </w:p>
    <w:p w14:paraId="08471BBD" w14:textId="25254F0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Zakonska osnova za donošenje</w:t>
      </w:r>
      <w:r>
        <w:rPr>
          <w:rFonts w:eastAsia="Calibri"/>
          <w:color w:val="000000"/>
          <w:sz w:val="22"/>
          <w:szCs w:val="22"/>
          <w:lang w:eastAsia="en-US"/>
        </w:rPr>
        <w:t xml:space="preserve"> Odluke o upisnim područjima osnovnih škola Grada Koprivnice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(u daljnjem tekstu: </w:t>
      </w:r>
      <w:r>
        <w:rPr>
          <w:rFonts w:eastAsia="Calibri"/>
          <w:color w:val="000000"/>
          <w:sz w:val="22"/>
          <w:szCs w:val="22"/>
          <w:lang w:eastAsia="en-US"/>
        </w:rPr>
        <w:t>Odluka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) sadržana je u odredbi članka </w:t>
      </w:r>
      <w:r>
        <w:rPr>
          <w:rFonts w:eastAsia="Calibri"/>
          <w:color w:val="000000"/>
          <w:sz w:val="22"/>
          <w:szCs w:val="22"/>
          <w:lang w:eastAsia="en-US"/>
        </w:rPr>
        <w:t>16. stavku 1.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Zakona o odgoju i obrazovanju u osnovnoj i srednjoj školi („Narodne novine“ broj 87/08, 86/09, 92/10, 105/10, 90/11, 5/12, 16/12, 86/12, 126/12, 94/13, 152/14, 7/17, 68/18, 98/19</w:t>
      </w:r>
      <w:r>
        <w:rPr>
          <w:rFonts w:eastAsia="Calibri"/>
          <w:color w:val="000000"/>
          <w:sz w:val="22"/>
          <w:szCs w:val="22"/>
          <w:lang w:eastAsia="en-US"/>
        </w:rPr>
        <w:t>,</w:t>
      </w:r>
      <w:r w:rsidRPr="00360901">
        <w:rPr>
          <w:rFonts w:eastAsia="Calibri"/>
          <w:color w:val="000000"/>
          <w:sz w:val="22"/>
          <w:szCs w:val="22"/>
          <w:lang w:eastAsia="en-US"/>
        </w:rPr>
        <w:t>64/20</w:t>
      </w:r>
      <w:r>
        <w:rPr>
          <w:rFonts w:eastAsia="Calibri"/>
          <w:color w:val="000000"/>
          <w:sz w:val="22"/>
          <w:szCs w:val="22"/>
          <w:lang w:eastAsia="en-US"/>
        </w:rPr>
        <w:t>, 151/22, 153/23 i 156/23</w:t>
      </w:r>
      <w:r w:rsidRPr="00360901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360901">
        <w:rPr>
          <w:rFonts w:eastAsia="Calibri"/>
          <w:color w:val="000000"/>
          <w:sz w:val="22"/>
          <w:szCs w:val="22"/>
          <w:lang w:eastAsia="en-US"/>
        </w:rPr>
        <w:t>i člank</w:t>
      </w:r>
      <w:r>
        <w:rPr>
          <w:rFonts w:eastAsia="Calibri"/>
          <w:color w:val="000000"/>
          <w:sz w:val="22"/>
          <w:szCs w:val="22"/>
          <w:lang w:eastAsia="en-US"/>
        </w:rPr>
        <w:t>u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40. Statuta Grada Koprivnice („Glasnik Grada Koprivnice“ broj 4/09., 1/12., 1/13., 3/13. – pročišćeni tekst, 1/18, 2/20. i 1/21).</w:t>
      </w:r>
    </w:p>
    <w:p w14:paraId="2AFFCB9F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23361D0" w14:textId="77777777" w:rsidR="00653112" w:rsidRPr="00360901" w:rsidRDefault="0077458D" w:rsidP="00653112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Ocjena stanja i osnovna pitanja koja se uređuju pojedinim aktom i objašnjenje pojedinih odredbi </w:t>
      </w:r>
    </w:p>
    <w:p w14:paraId="4A45B384" w14:textId="77777777" w:rsidR="00653112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1B23B13" w14:textId="1BAC75EB" w:rsidR="00653112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Zadnjim izmjenama Zakona o odgoju i obrazovanju u osnovnoj i srednjoj školi izmijenjena je odredba članka 16. na način da upisno područje više nije sastavni dio mreže školskih ustanova već isto </w:t>
      </w:r>
      <w:r w:rsidRPr="00653112">
        <w:rPr>
          <w:rFonts w:eastAsia="Calibri"/>
          <w:color w:val="000000"/>
          <w:sz w:val="22"/>
          <w:szCs w:val="22"/>
          <w:lang w:eastAsia="en-US"/>
        </w:rPr>
        <w:t>određuje osnivač škole</w:t>
      </w:r>
      <w:r>
        <w:rPr>
          <w:rFonts w:eastAsia="Calibri"/>
          <w:color w:val="000000"/>
          <w:sz w:val="22"/>
          <w:szCs w:val="22"/>
          <w:lang w:eastAsia="en-US"/>
        </w:rPr>
        <w:t xml:space="preserve">. </w:t>
      </w:r>
      <w:r w:rsidRPr="00653112">
        <w:rPr>
          <w:rFonts w:eastAsia="Calibri"/>
          <w:color w:val="000000"/>
          <w:sz w:val="22"/>
          <w:szCs w:val="22"/>
          <w:lang w:eastAsia="en-US"/>
        </w:rPr>
        <w:t>Grad Koprivnica je dana 10.12.2024. godine potpisao Ugovor o dodjeli bespovratnih sredstava kojim su mu dodijeljena bespovratna sredstva u svrhu provedbe projekta dogradnje osnovne škole Braća Radić čime će se osigurati provođenje jednosmjenske nastave u svim osnovnim školama na području grada.</w:t>
      </w:r>
      <w:r>
        <w:rPr>
          <w:rFonts w:eastAsia="Calibri"/>
          <w:color w:val="000000"/>
          <w:sz w:val="22"/>
          <w:szCs w:val="22"/>
          <w:lang w:eastAsia="en-US"/>
        </w:rPr>
        <w:t xml:space="preserve"> Radi navedenog izrađen je i novi Prijedlog mreže osnovnih škola na području grada Koprivnice, posljedično čemu je potrebno donijeti i predmetnu Odluku.</w:t>
      </w:r>
    </w:p>
    <w:p w14:paraId="5052EF87" w14:textId="77777777" w:rsidR="00653112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E078D7C" w14:textId="6B66ADD3" w:rsidR="00653112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Ovom Odlukom propisane su sljedeće odredbe:</w:t>
      </w:r>
    </w:p>
    <w:p w14:paraId="62CBA928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A255EF0" w14:textId="4E9D4A9D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1. utvrđen je sadržaj </w:t>
      </w:r>
      <w:r>
        <w:rPr>
          <w:rFonts w:eastAsia="Calibri"/>
          <w:color w:val="000000"/>
          <w:sz w:val="22"/>
          <w:szCs w:val="22"/>
          <w:lang w:eastAsia="en-US"/>
        </w:rPr>
        <w:t>Odluke.</w:t>
      </w:r>
    </w:p>
    <w:p w14:paraId="46B7FD3F" w14:textId="623209DA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2. </w:t>
      </w:r>
      <w:r>
        <w:rPr>
          <w:rFonts w:eastAsia="Calibri"/>
          <w:color w:val="000000"/>
          <w:sz w:val="22"/>
          <w:szCs w:val="22"/>
          <w:lang w:eastAsia="en-US"/>
        </w:rPr>
        <w:t>propisano je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što je upisno područje.</w:t>
      </w:r>
    </w:p>
    <w:p w14:paraId="1B7B2E7C" w14:textId="301884C1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3. </w:t>
      </w:r>
      <w:r>
        <w:rPr>
          <w:rFonts w:eastAsia="Calibri"/>
          <w:color w:val="000000"/>
          <w:sz w:val="22"/>
          <w:szCs w:val="22"/>
          <w:lang w:eastAsia="en-US"/>
        </w:rPr>
        <w:t>propisano je kako se utvrđuje upisno područje.</w:t>
      </w:r>
    </w:p>
    <w:p w14:paraId="5FB3014B" w14:textId="78F63533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</w:t>
      </w:r>
      <w:r>
        <w:rPr>
          <w:rFonts w:eastAsia="Calibri"/>
          <w:color w:val="000000"/>
          <w:sz w:val="22"/>
          <w:szCs w:val="22"/>
          <w:lang w:eastAsia="en-US"/>
        </w:rPr>
        <w:t>ak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4. sadrži odredbu o </w:t>
      </w:r>
      <w:r>
        <w:rPr>
          <w:rFonts w:eastAsia="Calibri"/>
          <w:color w:val="000000"/>
          <w:sz w:val="22"/>
          <w:szCs w:val="22"/>
          <w:lang w:eastAsia="en-US"/>
        </w:rPr>
        <w:t>pravu roditelja i uvjetima upisa djece u školu izvan upisnog područja.</w:t>
      </w:r>
    </w:p>
    <w:p w14:paraId="71458790" w14:textId="210CA676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5. </w:t>
      </w:r>
      <w:r>
        <w:rPr>
          <w:rFonts w:eastAsia="Calibri"/>
          <w:color w:val="000000"/>
          <w:sz w:val="22"/>
          <w:szCs w:val="22"/>
          <w:lang w:eastAsia="en-US"/>
        </w:rPr>
        <w:t>popisane su upisna područja sa ulicama za svaku osnovnu školu, centar za odgoj, obrazovanje i rehabilitaciju i umjetničku školu.</w:t>
      </w:r>
    </w:p>
    <w:p w14:paraId="136EA00B" w14:textId="2AE88914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Člankom 6. propisan</w:t>
      </w:r>
      <w:r>
        <w:rPr>
          <w:rFonts w:eastAsia="Calibri"/>
          <w:color w:val="000000"/>
          <w:sz w:val="22"/>
          <w:szCs w:val="22"/>
          <w:lang w:eastAsia="en-US"/>
        </w:rPr>
        <w:t>a je mogućnost gradonačelnika da za svaku školsku godinu odlukom utvrdi zajedničko upisno područje za pojedine osnovne škole.</w:t>
      </w:r>
    </w:p>
    <w:p w14:paraId="47512974" w14:textId="6E8B2E7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7. </w:t>
      </w:r>
      <w:r>
        <w:rPr>
          <w:rFonts w:eastAsia="Calibri"/>
          <w:color w:val="000000"/>
          <w:sz w:val="22"/>
          <w:szCs w:val="22"/>
          <w:lang w:eastAsia="en-US"/>
        </w:rPr>
        <w:t>propisano je s</w:t>
      </w:r>
      <w:r w:rsidRPr="00360901">
        <w:rPr>
          <w:rFonts w:eastAsia="Calibri"/>
          <w:color w:val="000000"/>
          <w:sz w:val="22"/>
          <w:szCs w:val="22"/>
          <w:lang w:eastAsia="en-US"/>
        </w:rPr>
        <w:t>tupanj</w:t>
      </w:r>
      <w:r>
        <w:rPr>
          <w:rFonts w:eastAsia="Calibri"/>
          <w:color w:val="000000"/>
          <w:sz w:val="22"/>
          <w:szCs w:val="22"/>
          <w:lang w:eastAsia="en-US"/>
        </w:rPr>
        <w:t>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na snagu i </w:t>
      </w:r>
      <w:r>
        <w:rPr>
          <w:rFonts w:eastAsia="Calibri"/>
          <w:color w:val="000000"/>
          <w:sz w:val="22"/>
          <w:szCs w:val="22"/>
          <w:lang w:eastAsia="en-US"/>
        </w:rPr>
        <w:t>objava Odluke.</w:t>
      </w:r>
    </w:p>
    <w:p w14:paraId="0FB0154B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12DA307" w14:textId="77777777" w:rsidR="00653112" w:rsidRPr="002701A9" w:rsidRDefault="0077458D" w:rsidP="00653112">
      <w:p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2701A9">
        <w:rPr>
          <w:rFonts w:eastAsia="Calibri"/>
          <w:b/>
          <w:bCs/>
          <w:color w:val="000000"/>
          <w:sz w:val="22"/>
          <w:szCs w:val="22"/>
          <w:lang w:eastAsia="en-US"/>
        </w:rPr>
        <w:t>III. Potrebna sredstava za provedbu akta</w:t>
      </w:r>
    </w:p>
    <w:p w14:paraId="7ED43A00" w14:textId="191F5A6C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Za provođenje </w:t>
      </w:r>
      <w:r>
        <w:rPr>
          <w:rFonts w:eastAsia="Calibri"/>
          <w:color w:val="000000"/>
          <w:sz w:val="22"/>
          <w:szCs w:val="22"/>
          <w:lang w:eastAsia="en-US"/>
        </w:rPr>
        <w:t xml:space="preserve">ove Odluke </w:t>
      </w:r>
      <w:r w:rsidRPr="00360901">
        <w:rPr>
          <w:rFonts w:eastAsia="Calibri"/>
          <w:color w:val="000000"/>
          <w:sz w:val="22"/>
          <w:szCs w:val="22"/>
          <w:lang w:eastAsia="en-US"/>
        </w:rPr>
        <w:t>nije potrebno osigurati sredstva u proračunu Grada Koprivnice.</w:t>
      </w:r>
    </w:p>
    <w:p w14:paraId="2EC218F2" w14:textId="74593BB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Slijedom navedenog, predlaže se Gradskom vijeću Grada Koprivnice donošenje </w:t>
      </w:r>
      <w:r w:rsidRPr="00653112">
        <w:rPr>
          <w:rFonts w:eastAsia="Calibri"/>
          <w:color w:val="000000"/>
          <w:sz w:val="22"/>
          <w:szCs w:val="22"/>
          <w:lang w:eastAsia="en-US"/>
        </w:rPr>
        <w:t>Odluke o upisnim područjima osnovnih škola Grada Koprivnice</w:t>
      </w:r>
      <w:r>
        <w:rPr>
          <w:rFonts w:eastAsia="Calibri"/>
          <w:color w:val="000000"/>
          <w:sz w:val="22"/>
          <w:szCs w:val="22"/>
          <w:lang w:eastAsia="en-US"/>
        </w:rPr>
        <w:t>.</w:t>
      </w:r>
    </w:p>
    <w:p w14:paraId="6743DAFF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13555BC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26D2C1" w14:textId="77777777" w:rsidR="00653112" w:rsidRPr="00360901" w:rsidRDefault="0077458D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Nositelj izrade akta:                                                               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  Predlagatelj:</w:t>
      </w:r>
    </w:p>
    <w:p w14:paraId="7A701E8F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515C18" w14:textId="77777777" w:rsidR="00653112" w:rsidRPr="00360901" w:rsidRDefault="0077458D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Upravni odjel za društvene djelatnosti                                          </w:t>
      </w:r>
    </w:p>
    <w:p w14:paraId="5E46E034" w14:textId="77777777" w:rsidR="00653112" w:rsidRPr="00360901" w:rsidRDefault="0077458D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                               </w:t>
      </w:r>
    </w:p>
    <w:p w14:paraId="601422C6" w14:textId="0284CF67" w:rsidR="00653112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Službenica privremeno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                                                              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GRADONAČELNIK:</w:t>
      </w:r>
    </w:p>
    <w:p w14:paraId="17E956C0" w14:textId="1CB2707E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ovlaštena za obavljanje</w:t>
      </w:r>
    </w:p>
    <w:p w14:paraId="1A7F956F" w14:textId="580558DD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poslova pročelnika:</w:t>
      </w:r>
    </w:p>
    <w:p w14:paraId="03D00C86" w14:textId="77777777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5CBB7B2B" w14:textId="7DAE265D" w:rsidR="00611B44" w:rsidRPr="00876372" w:rsidRDefault="002701A9" w:rsidP="00876372">
      <w:r>
        <w:rPr>
          <w:rFonts w:eastAsia="Calibri"/>
          <w:b/>
          <w:color w:val="000000"/>
          <w:sz w:val="22"/>
          <w:szCs w:val="22"/>
          <w:lang w:eastAsia="en-US"/>
        </w:rPr>
        <w:t>Ida Bakrač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  <w:t>Mišel Jakšić</w:t>
      </w: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BD4E" w14:textId="77777777" w:rsidR="003C00A0" w:rsidRDefault="003C00A0">
      <w:r>
        <w:separator/>
      </w:r>
    </w:p>
  </w:endnote>
  <w:endnote w:type="continuationSeparator" w:id="0">
    <w:p w14:paraId="3FD85E85" w14:textId="77777777" w:rsidR="003C00A0" w:rsidRDefault="003C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77458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3DD2" w14:textId="77777777" w:rsidR="003C00A0" w:rsidRDefault="003C00A0">
      <w:r>
        <w:separator/>
      </w:r>
    </w:p>
  </w:footnote>
  <w:footnote w:type="continuationSeparator" w:id="0">
    <w:p w14:paraId="33D4E5CB" w14:textId="77777777" w:rsidR="003C00A0" w:rsidRDefault="003C0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917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561AB"/>
    <w:rsid w:val="001B7795"/>
    <w:rsid w:val="001D627E"/>
    <w:rsid w:val="001E01B9"/>
    <w:rsid w:val="001E5EE1"/>
    <w:rsid w:val="001F3335"/>
    <w:rsid w:val="002701A9"/>
    <w:rsid w:val="00281F0A"/>
    <w:rsid w:val="002C1AA1"/>
    <w:rsid w:val="002D73C0"/>
    <w:rsid w:val="002F06F8"/>
    <w:rsid w:val="003502B7"/>
    <w:rsid w:val="00353ACF"/>
    <w:rsid w:val="00360901"/>
    <w:rsid w:val="003B07B2"/>
    <w:rsid w:val="003C00A0"/>
    <w:rsid w:val="003C0B73"/>
    <w:rsid w:val="003C3CC4"/>
    <w:rsid w:val="003C7570"/>
    <w:rsid w:val="003D58D8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53112"/>
    <w:rsid w:val="00661DCA"/>
    <w:rsid w:val="006712B7"/>
    <w:rsid w:val="006921E6"/>
    <w:rsid w:val="007204B5"/>
    <w:rsid w:val="0072201D"/>
    <w:rsid w:val="00723EE4"/>
    <w:rsid w:val="00772C92"/>
    <w:rsid w:val="0077458D"/>
    <w:rsid w:val="0078495E"/>
    <w:rsid w:val="007C4C94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43193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49E5"/>
    <w:rsid w:val="00D911FC"/>
    <w:rsid w:val="00D9260A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7C4C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343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35</cp:revision>
  <cp:lastPrinted>2007-11-02T12:55:00Z</cp:lastPrinted>
  <dcterms:created xsi:type="dcterms:W3CDTF">2022-03-18T08:30:00Z</dcterms:created>
  <dcterms:modified xsi:type="dcterms:W3CDTF">2025-11-12T13:03:00Z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