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AB9C0" w14:textId="77777777" w:rsidR="00D45E25" w:rsidRPr="00663995" w:rsidRDefault="00D45E25" w:rsidP="0024734E"/>
    <w:p w14:paraId="0BBDCE0C" w14:textId="2FE570F2" w:rsidR="0024734E" w:rsidRPr="00663995" w:rsidRDefault="0024734E" w:rsidP="0024734E">
      <w:r w:rsidRPr="00663995">
        <w:rPr>
          <w:noProof/>
          <w:sz w:val="20"/>
          <w:lang w:eastAsia="hr-HR"/>
        </w:rPr>
        <w:drawing>
          <wp:anchor distT="0" distB="0" distL="114300" distR="114300" simplePos="0" relativeHeight="251659264" behindDoc="0" locked="0" layoutInCell="1" allowOverlap="1" wp14:anchorId="3E7689D0" wp14:editId="6491BC50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800100" cy="7112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11200"/>
                    </a:xfrm>
                    <a:prstGeom prst="rect">
                      <a:avLst/>
                    </a:prstGeom>
                    <a:solidFill>
                      <a:srgbClr val="333399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7C34" w:rsidRPr="00663995">
        <w:t>I</w:t>
      </w:r>
      <w:r w:rsidRPr="00663995">
        <w:t xml:space="preserve"> </w:t>
      </w:r>
    </w:p>
    <w:p w14:paraId="0B96492D" w14:textId="77777777" w:rsidR="0024734E" w:rsidRPr="00663995" w:rsidRDefault="0024734E" w:rsidP="0024734E"/>
    <w:p w14:paraId="1F81FA46" w14:textId="315B0217" w:rsidR="0024734E" w:rsidRPr="00663995" w:rsidRDefault="0024734E" w:rsidP="0024734E">
      <w:pPr>
        <w:rPr>
          <w:rFonts w:ascii="Century Gothic" w:hAnsi="Century Gothic"/>
          <w:b/>
          <w:bCs/>
          <w:color w:val="1F497D" w:themeColor="text2"/>
          <w:sz w:val="18"/>
        </w:rPr>
      </w:pPr>
      <w:r w:rsidRPr="00663995">
        <w:tab/>
      </w:r>
      <w:r w:rsidRPr="00663995">
        <w:rPr>
          <w:sz w:val="18"/>
        </w:rPr>
        <w:t xml:space="preserve">            </w:t>
      </w:r>
      <w:r w:rsidRPr="00663995">
        <w:rPr>
          <w:rFonts w:ascii="Century Gothic" w:hAnsi="Century Gothic"/>
          <w:b/>
          <w:bCs/>
          <w:color w:val="333399"/>
          <w:sz w:val="18"/>
        </w:rPr>
        <w:t xml:space="preserve">PUČKO OTVORENO UČILIŠTE           </w:t>
      </w:r>
      <w:r w:rsidRPr="00663995">
        <w:rPr>
          <w:rFonts w:ascii="Century Gothic" w:hAnsi="Century Gothic"/>
          <w:b/>
          <w:bCs/>
          <w:color w:val="333399"/>
          <w:sz w:val="18"/>
        </w:rPr>
        <w:tab/>
      </w:r>
      <w:r w:rsidRPr="00663995">
        <w:rPr>
          <w:rFonts w:ascii="Century Gothic" w:hAnsi="Century Gothic"/>
          <w:b/>
          <w:bCs/>
          <w:color w:val="333399"/>
          <w:sz w:val="18"/>
        </w:rPr>
        <w:tab/>
      </w:r>
      <w:r w:rsidRPr="00663995">
        <w:rPr>
          <w:rFonts w:ascii="Century Gothic" w:hAnsi="Century Gothic"/>
          <w:b/>
          <w:bCs/>
          <w:color w:val="333399"/>
          <w:sz w:val="18"/>
        </w:rPr>
        <w:tab/>
      </w:r>
      <w:r w:rsidR="00190EA3" w:rsidRPr="00663995">
        <w:rPr>
          <w:rFonts w:ascii="Century Gothic" w:hAnsi="Century Gothic"/>
          <w:color w:val="1F497D" w:themeColor="text2"/>
          <w:sz w:val="18"/>
        </w:rPr>
        <w:t xml:space="preserve">                    </w:t>
      </w:r>
      <w:r w:rsidRPr="00663995">
        <w:rPr>
          <w:rFonts w:ascii="Century Gothic" w:hAnsi="Century Gothic"/>
          <w:color w:val="1F497D" w:themeColor="text2"/>
          <w:sz w:val="18"/>
        </w:rPr>
        <w:t xml:space="preserve"> </w:t>
      </w:r>
      <w:r w:rsidRPr="00663995">
        <w:rPr>
          <w:rFonts w:ascii="Century Gothic" w:hAnsi="Century Gothic"/>
          <w:color w:val="1F497D" w:themeColor="text2"/>
          <w:sz w:val="18"/>
          <w:szCs w:val="18"/>
        </w:rPr>
        <w:t xml:space="preserve">KLASA: </w:t>
      </w:r>
      <w:r w:rsidR="00816968" w:rsidRPr="00663995">
        <w:rPr>
          <w:rFonts w:ascii="Century Gothic" w:hAnsi="Century Gothic"/>
          <w:color w:val="1F497D" w:themeColor="text2"/>
          <w:sz w:val="18"/>
          <w:szCs w:val="18"/>
        </w:rPr>
        <w:t>007-03/2</w:t>
      </w:r>
      <w:r w:rsidR="00C93725">
        <w:rPr>
          <w:rFonts w:ascii="Century Gothic" w:hAnsi="Century Gothic"/>
          <w:color w:val="1F497D" w:themeColor="text2"/>
          <w:sz w:val="18"/>
          <w:szCs w:val="18"/>
        </w:rPr>
        <w:t>5-02/4</w:t>
      </w:r>
    </w:p>
    <w:p w14:paraId="586B0860" w14:textId="07E0F00B" w:rsidR="0024734E" w:rsidRPr="00663995" w:rsidRDefault="0024734E" w:rsidP="0024734E">
      <w:pPr>
        <w:rPr>
          <w:rFonts w:ascii="Century Gothic" w:hAnsi="Century Gothic"/>
          <w:color w:val="17365D" w:themeColor="text2" w:themeShade="BF"/>
          <w:sz w:val="18"/>
          <w:szCs w:val="18"/>
        </w:rPr>
      </w:pPr>
      <w:r w:rsidRPr="00663995">
        <w:rPr>
          <w:rFonts w:ascii="Century Gothic" w:hAnsi="Century Gothic"/>
          <w:b/>
          <w:bCs/>
          <w:color w:val="1F497D" w:themeColor="text2"/>
          <w:sz w:val="18"/>
        </w:rPr>
        <w:t xml:space="preserve">                                K O P R I V N I C A</w:t>
      </w:r>
      <w:r w:rsidRPr="00663995">
        <w:rPr>
          <w:rFonts w:ascii="Century Gothic" w:hAnsi="Century Gothic"/>
          <w:b/>
          <w:bCs/>
          <w:color w:val="1F497D" w:themeColor="text2"/>
          <w:sz w:val="20"/>
        </w:rPr>
        <w:t xml:space="preserve">                               </w:t>
      </w:r>
      <w:r w:rsidRPr="00663995">
        <w:rPr>
          <w:rFonts w:ascii="Century Gothic" w:hAnsi="Century Gothic"/>
          <w:b/>
          <w:bCs/>
          <w:color w:val="1F497D" w:themeColor="text2"/>
          <w:sz w:val="20"/>
        </w:rPr>
        <w:tab/>
      </w:r>
      <w:r w:rsidRPr="00663995">
        <w:rPr>
          <w:rFonts w:ascii="Century Gothic" w:hAnsi="Century Gothic"/>
          <w:b/>
          <w:bCs/>
          <w:color w:val="1F497D" w:themeColor="text2"/>
          <w:sz w:val="20"/>
        </w:rPr>
        <w:tab/>
      </w:r>
      <w:r w:rsidRPr="00663995">
        <w:rPr>
          <w:rFonts w:ascii="Century Gothic" w:hAnsi="Century Gothic"/>
          <w:b/>
          <w:bCs/>
          <w:color w:val="1F497D" w:themeColor="text2"/>
          <w:sz w:val="20"/>
        </w:rPr>
        <w:tab/>
      </w:r>
      <w:r w:rsidR="00190EA3" w:rsidRPr="00663995">
        <w:rPr>
          <w:rFonts w:ascii="Century Gothic" w:hAnsi="Century Gothic"/>
          <w:color w:val="1F497D" w:themeColor="text2"/>
          <w:sz w:val="20"/>
        </w:rPr>
        <w:t xml:space="preserve">     </w:t>
      </w:r>
      <w:r w:rsidRPr="00663995">
        <w:rPr>
          <w:rFonts w:ascii="Century Gothic" w:hAnsi="Century Gothic"/>
          <w:color w:val="1F497D" w:themeColor="text2"/>
          <w:sz w:val="20"/>
        </w:rPr>
        <w:t xml:space="preserve"> </w:t>
      </w:r>
      <w:r w:rsidR="00AA2F31" w:rsidRPr="00663995">
        <w:rPr>
          <w:rFonts w:ascii="Century Gothic" w:hAnsi="Century Gothic"/>
          <w:color w:val="1F497D" w:themeColor="text2"/>
          <w:sz w:val="18"/>
          <w:szCs w:val="18"/>
        </w:rPr>
        <w:t>URBROJ:</w:t>
      </w:r>
      <w:r w:rsidR="00816968" w:rsidRPr="00663995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r w:rsidR="00AA2F31" w:rsidRPr="00663995">
        <w:rPr>
          <w:rFonts w:ascii="Century Gothic" w:hAnsi="Century Gothic"/>
          <w:color w:val="17365D" w:themeColor="text2" w:themeShade="BF"/>
          <w:sz w:val="18"/>
          <w:szCs w:val="18"/>
        </w:rPr>
        <w:t>2137-80-</w:t>
      </w:r>
      <w:r w:rsidR="00A27E8B" w:rsidRPr="00663995">
        <w:rPr>
          <w:rFonts w:ascii="Century Gothic" w:hAnsi="Century Gothic"/>
          <w:color w:val="17365D" w:themeColor="text2" w:themeShade="BF"/>
          <w:sz w:val="18"/>
          <w:szCs w:val="18"/>
        </w:rPr>
        <w:t>2</w:t>
      </w:r>
      <w:r w:rsidR="00C93725">
        <w:rPr>
          <w:rFonts w:ascii="Century Gothic" w:hAnsi="Century Gothic"/>
          <w:color w:val="17365D" w:themeColor="text2" w:themeShade="BF"/>
          <w:sz w:val="18"/>
          <w:szCs w:val="18"/>
        </w:rPr>
        <w:t>5-5</w:t>
      </w:r>
    </w:p>
    <w:p w14:paraId="1D2D2684" w14:textId="309CCF79" w:rsidR="0024734E" w:rsidRPr="00663995" w:rsidRDefault="0024734E" w:rsidP="0024734E">
      <w:pPr>
        <w:rPr>
          <w:rFonts w:ascii="Century Gothic" w:hAnsi="Century Gothic"/>
          <w:color w:val="1F497D" w:themeColor="text2"/>
          <w:sz w:val="16"/>
        </w:rPr>
      </w:pPr>
      <w:r w:rsidRPr="00663995">
        <w:rPr>
          <w:rFonts w:ascii="Century Gothic" w:hAnsi="Century Gothic"/>
          <w:color w:val="1F497D" w:themeColor="text2"/>
          <w:sz w:val="20"/>
        </w:rPr>
        <w:t xml:space="preserve">                      </w:t>
      </w:r>
      <w:r w:rsidRPr="00663995">
        <w:rPr>
          <w:rFonts w:ascii="Century Gothic" w:hAnsi="Century Gothic"/>
          <w:color w:val="1F497D" w:themeColor="text2"/>
          <w:sz w:val="16"/>
        </w:rPr>
        <w:t xml:space="preserve">48000 Koprivnica, Starogradska 1                                      </w:t>
      </w:r>
      <w:r w:rsidR="00190EA3" w:rsidRPr="00663995">
        <w:rPr>
          <w:rFonts w:ascii="Century Gothic" w:hAnsi="Century Gothic"/>
          <w:color w:val="1F497D" w:themeColor="text2"/>
          <w:sz w:val="16"/>
        </w:rPr>
        <w:t xml:space="preserve">                            </w:t>
      </w:r>
      <w:r w:rsidR="003A7D24" w:rsidRPr="00663995">
        <w:rPr>
          <w:rFonts w:ascii="Century Gothic" w:hAnsi="Century Gothic"/>
          <w:color w:val="1F497D" w:themeColor="text2"/>
          <w:sz w:val="16"/>
        </w:rPr>
        <w:t xml:space="preserve"> </w:t>
      </w:r>
      <w:r w:rsidRPr="00663995">
        <w:rPr>
          <w:rFonts w:ascii="Century Gothic" w:hAnsi="Century Gothic"/>
          <w:color w:val="1F497D" w:themeColor="text2"/>
          <w:sz w:val="16"/>
        </w:rPr>
        <w:t>Koprivnica,</w:t>
      </w:r>
      <w:r w:rsidR="00A45987" w:rsidRPr="00663995">
        <w:rPr>
          <w:rFonts w:ascii="Century Gothic" w:hAnsi="Century Gothic"/>
          <w:color w:val="1F497D" w:themeColor="text2"/>
          <w:sz w:val="16"/>
        </w:rPr>
        <w:t xml:space="preserve"> </w:t>
      </w:r>
      <w:r w:rsidR="005E3C95" w:rsidRPr="00663995">
        <w:rPr>
          <w:rFonts w:ascii="Century Gothic" w:hAnsi="Century Gothic"/>
          <w:color w:val="1F497D" w:themeColor="text2"/>
          <w:sz w:val="16"/>
        </w:rPr>
        <w:t>16.</w:t>
      </w:r>
      <w:r w:rsidR="00C93725">
        <w:rPr>
          <w:rFonts w:ascii="Century Gothic" w:hAnsi="Century Gothic"/>
          <w:color w:val="1F497D" w:themeColor="text2"/>
          <w:sz w:val="16"/>
        </w:rPr>
        <w:t xml:space="preserve"> lipnja </w:t>
      </w:r>
      <w:r w:rsidR="00834BBA" w:rsidRPr="00663995">
        <w:rPr>
          <w:rFonts w:ascii="Century Gothic" w:hAnsi="Century Gothic"/>
          <w:color w:val="1F497D" w:themeColor="text2"/>
          <w:sz w:val="16"/>
        </w:rPr>
        <w:t>2</w:t>
      </w:r>
      <w:r w:rsidR="00860BE4" w:rsidRPr="00663995">
        <w:rPr>
          <w:rFonts w:ascii="Century Gothic" w:hAnsi="Century Gothic"/>
          <w:color w:val="1F497D" w:themeColor="text2"/>
          <w:sz w:val="16"/>
        </w:rPr>
        <w:t>02</w:t>
      </w:r>
      <w:r w:rsidR="00E07F28" w:rsidRPr="00663995">
        <w:rPr>
          <w:rFonts w:ascii="Century Gothic" w:hAnsi="Century Gothic"/>
          <w:color w:val="1F497D" w:themeColor="text2"/>
          <w:sz w:val="16"/>
        </w:rPr>
        <w:t>5</w:t>
      </w:r>
      <w:r w:rsidR="00860BE4" w:rsidRPr="00663995">
        <w:rPr>
          <w:rFonts w:ascii="Century Gothic" w:hAnsi="Century Gothic"/>
          <w:color w:val="1F497D" w:themeColor="text2"/>
          <w:sz w:val="16"/>
        </w:rPr>
        <w:t>.</w:t>
      </w:r>
    </w:p>
    <w:p w14:paraId="682B4F0C" w14:textId="24786BF0" w:rsidR="0024734E" w:rsidRPr="00663995" w:rsidRDefault="0024734E" w:rsidP="0024734E">
      <w:pPr>
        <w:rPr>
          <w:rFonts w:ascii="Century Gothic" w:hAnsi="Century Gothic"/>
          <w:color w:val="333399"/>
          <w:sz w:val="16"/>
        </w:rPr>
      </w:pPr>
      <w:r w:rsidRPr="00663995">
        <w:rPr>
          <w:rFonts w:ascii="Century Gothic" w:hAnsi="Century Gothic"/>
          <w:b/>
          <w:bCs/>
          <w:color w:val="333399"/>
          <w:sz w:val="16"/>
        </w:rPr>
        <w:t>________________________________________________________________________________________________________________</w:t>
      </w:r>
      <w:r w:rsidRPr="00663995">
        <w:rPr>
          <w:rFonts w:ascii="Century Gothic" w:hAnsi="Century Gothic"/>
          <w:color w:val="333399"/>
          <w:sz w:val="16"/>
        </w:rPr>
        <w:t xml:space="preserve"> Tel. +385 (0) 48 621-117 </w:t>
      </w:r>
      <w:r w:rsidR="00C93725">
        <w:rPr>
          <w:rFonts w:ascii="Century Gothic" w:hAnsi="Century Gothic"/>
          <w:color w:val="333399"/>
          <w:sz w:val="16"/>
        </w:rPr>
        <w:t xml:space="preserve">  </w:t>
      </w:r>
      <w:r w:rsidRPr="00663995">
        <w:rPr>
          <w:rFonts w:ascii="Century Gothic" w:hAnsi="Century Gothic"/>
          <w:color w:val="333399"/>
          <w:sz w:val="16"/>
        </w:rPr>
        <w:t xml:space="preserve">     </w:t>
      </w:r>
      <w:r w:rsidRPr="00663995">
        <w:rPr>
          <w:rFonts w:ascii="Century Gothic" w:hAnsi="Century Gothic"/>
          <w:color w:val="0000FF"/>
          <w:sz w:val="16"/>
        </w:rPr>
        <w:t xml:space="preserve">E-mail : </w:t>
      </w:r>
      <w:hyperlink r:id="rId9" w:history="1">
        <w:r w:rsidRPr="00663995">
          <w:rPr>
            <w:rFonts w:ascii="Century Gothic" w:hAnsi="Century Gothic"/>
            <w:color w:val="0000FF"/>
            <w:sz w:val="16"/>
            <w:u w:val="single"/>
          </w:rPr>
          <w:t>info@pou-kop.hr</w:t>
        </w:r>
      </w:hyperlink>
      <w:r w:rsidRPr="00663995">
        <w:rPr>
          <w:rFonts w:ascii="Century Gothic" w:hAnsi="Century Gothic"/>
          <w:color w:val="0000FF"/>
          <w:sz w:val="16"/>
        </w:rPr>
        <w:t xml:space="preserve">    </w:t>
      </w:r>
      <w:r w:rsidR="00C93725">
        <w:rPr>
          <w:rFonts w:ascii="Century Gothic" w:hAnsi="Century Gothic"/>
          <w:color w:val="0000FF"/>
          <w:sz w:val="16"/>
        </w:rPr>
        <w:t xml:space="preserve">    </w:t>
      </w:r>
      <w:r w:rsidRPr="00663995">
        <w:rPr>
          <w:rFonts w:ascii="Century Gothic" w:hAnsi="Century Gothic"/>
          <w:color w:val="0000FF"/>
          <w:sz w:val="16"/>
        </w:rPr>
        <w:t xml:space="preserve"> </w:t>
      </w:r>
      <w:hyperlink r:id="rId10" w:history="1">
        <w:r w:rsidRPr="00663995">
          <w:rPr>
            <w:rFonts w:ascii="Century Gothic" w:hAnsi="Century Gothic"/>
            <w:color w:val="333399"/>
            <w:sz w:val="16"/>
            <w:u w:val="single"/>
          </w:rPr>
          <w:t>www.pou-kop.hr</w:t>
        </w:r>
      </w:hyperlink>
      <w:r w:rsidRPr="00663995">
        <w:rPr>
          <w:rFonts w:ascii="Century Gothic" w:hAnsi="Century Gothic"/>
          <w:color w:val="333399"/>
          <w:sz w:val="16"/>
        </w:rPr>
        <w:t xml:space="preserve"> </w:t>
      </w:r>
      <w:r w:rsidR="00C93725">
        <w:rPr>
          <w:rFonts w:ascii="Century Gothic" w:hAnsi="Century Gothic"/>
          <w:color w:val="333399"/>
          <w:sz w:val="16"/>
        </w:rPr>
        <w:t xml:space="preserve">    </w:t>
      </w:r>
      <w:r w:rsidRPr="00663995">
        <w:rPr>
          <w:rFonts w:ascii="Century Gothic" w:hAnsi="Century Gothic"/>
          <w:color w:val="333399"/>
          <w:sz w:val="16"/>
        </w:rPr>
        <w:t xml:space="preserve">    MB: 3009688     </w:t>
      </w:r>
      <w:r w:rsidR="00C93725">
        <w:rPr>
          <w:rFonts w:ascii="Century Gothic" w:hAnsi="Century Gothic"/>
          <w:color w:val="333399"/>
          <w:sz w:val="16"/>
        </w:rPr>
        <w:t xml:space="preserve">    </w:t>
      </w:r>
      <w:r w:rsidRPr="00663995">
        <w:rPr>
          <w:rFonts w:ascii="Century Gothic" w:hAnsi="Century Gothic"/>
          <w:color w:val="333399"/>
          <w:sz w:val="16"/>
        </w:rPr>
        <w:t>OIB:86739035476</w:t>
      </w:r>
    </w:p>
    <w:p w14:paraId="608468EF" w14:textId="493D623B" w:rsidR="00C06B30" w:rsidRPr="00663995" w:rsidRDefault="00C06B30" w:rsidP="003B7BB9">
      <w:pPr>
        <w:spacing w:line="276" w:lineRule="auto"/>
        <w:rPr>
          <w:rFonts w:ascii="Arial Narrow" w:hAnsi="Arial Narrow" w:cs="Arial"/>
        </w:rPr>
      </w:pPr>
    </w:p>
    <w:p w14:paraId="52BA700A" w14:textId="7C930B73" w:rsidR="00C06B30" w:rsidRPr="00663995" w:rsidRDefault="00C06B30" w:rsidP="00A83023">
      <w:pPr>
        <w:spacing w:line="276" w:lineRule="auto"/>
        <w:jc w:val="both"/>
        <w:rPr>
          <w:b/>
          <w:bCs/>
          <w:sz w:val="22"/>
          <w:szCs w:val="22"/>
        </w:rPr>
      </w:pPr>
    </w:p>
    <w:p w14:paraId="302B2E05" w14:textId="77777777" w:rsidR="00C265C1" w:rsidRPr="00663995" w:rsidRDefault="00C265C1" w:rsidP="00A83023">
      <w:pPr>
        <w:spacing w:line="276" w:lineRule="auto"/>
        <w:jc w:val="both"/>
        <w:rPr>
          <w:sz w:val="22"/>
          <w:szCs w:val="22"/>
        </w:rPr>
      </w:pPr>
    </w:p>
    <w:p w14:paraId="3C159C2E" w14:textId="6EFDAABD" w:rsidR="003B7BB9" w:rsidRPr="00663995" w:rsidRDefault="00A27E8B" w:rsidP="00151ED7">
      <w:pPr>
        <w:jc w:val="center"/>
        <w:rPr>
          <w:b/>
          <w:bCs/>
        </w:rPr>
      </w:pPr>
      <w:r w:rsidRPr="00663995">
        <w:rPr>
          <w:b/>
          <w:bCs/>
        </w:rPr>
        <w:t>Prijedlog o</w:t>
      </w:r>
      <w:r w:rsidR="00744CA6" w:rsidRPr="00663995">
        <w:rPr>
          <w:b/>
          <w:bCs/>
        </w:rPr>
        <w:t>brazloženj</w:t>
      </w:r>
      <w:r w:rsidRPr="00663995">
        <w:rPr>
          <w:b/>
          <w:bCs/>
        </w:rPr>
        <w:t>a</w:t>
      </w:r>
      <w:bookmarkStart w:id="0" w:name="_Hlk27649092"/>
      <w:r w:rsidR="00491E0E" w:rsidRPr="00663995">
        <w:rPr>
          <w:b/>
          <w:bCs/>
        </w:rPr>
        <w:t xml:space="preserve"> I. </w:t>
      </w:r>
      <w:r w:rsidR="000A651D" w:rsidRPr="00663995">
        <w:rPr>
          <w:b/>
          <w:bCs/>
        </w:rPr>
        <w:t>izmjen</w:t>
      </w:r>
      <w:r w:rsidR="00070FA3" w:rsidRPr="00663995">
        <w:rPr>
          <w:b/>
          <w:bCs/>
        </w:rPr>
        <w:t>e</w:t>
      </w:r>
      <w:r w:rsidR="003B7BB9" w:rsidRPr="00663995">
        <w:rPr>
          <w:b/>
          <w:bCs/>
        </w:rPr>
        <w:t xml:space="preserve"> i d</w:t>
      </w:r>
      <w:r w:rsidR="000A651D" w:rsidRPr="00663995">
        <w:rPr>
          <w:b/>
          <w:bCs/>
        </w:rPr>
        <w:t>opun</w:t>
      </w:r>
      <w:r w:rsidR="00070FA3" w:rsidRPr="00663995">
        <w:rPr>
          <w:b/>
          <w:bCs/>
        </w:rPr>
        <w:t>e</w:t>
      </w:r>
      <w:r w:rsidR="00AA2F31" w:rsidRPr="00663995">
        <w:rPr>
          <w:b/>
          <w:bCs/>
        </w:rPr>
        <w:t xml:space="preserve"> Financijskog plana za 20</w:t>
      </w:r>
      <w:r w:rsidR="00BA693E" w:rsidRPr="00663995">
        <w:rPr>
          <w:b/>
          <w:bCs/>
        </w:rPr>
        <w:t>2</w:t>
      </w:r>
      <w:r w:rsidR="005E3C95" w:rsidRPr="00663995">
        <w:rPr>
          <w:b/>
          <w:bCs/>
        </w:rPr>
        <w:t>5</w:t>
      </w:r>
      <w:r w:rsidR="009F50A2" w:rsidRPr="00663995">
        <w:rPr>
          <w:b/>
          <w:bCs/>
        </w:rPr>
        <w:t>. g</w:t>
      </w:r>
      <w:r w:rsidR="003B7BB9" w:rsidRPr="00663995">
        <w:rPr>
          <w:b/>
          <w:bCs/>
        </w:rPr>
        <w:t>.</w:t>
      </w:r>
    </w:p>
    <w:bookmarkEnd w:id="0"/>
    <w:p w14:paraId="7879670A" w14:textId="77777777" w:rsidR="003B7BB9" w:rsidRPr="00663995" w:rsidRDefault="003B7BB9" w:rsidP="00CF755B">
      <w:pPr>
        <w:jc w:val="both"/>
        <w:rPr>
          <w:i/>
          <w:sz w:val="22"/>
          <w:szCs w:val="22"/>
        </w:rPr>
      </w:pPr>
    </w:p>
    <w:p w14:paraId="42499B47" w14:textId="77777777" w:rsidR="00CA32A5" w:rsidRPr="00663995" w:rsidRDefault="00CA32A5" w:rsidP="00CA32A5">
      <w:pPr>
        <w:tabs>
          <w:tab w:val="left" w:pos="3898"/>
        </w:tabs>
        <w:spacing w:line="276" w:lineRule="auto"/>
        <w:jc w:val="both"/>
        <w:rPr>
          <w:sz w:val="22"/>
          <w:szCs w:val="22"/>
        </w:rPr>
      </w:pPr>
    </w:p>
    <w:p w14:paraId="1CD6CB49" w14:textId="77777777" w:rsidR="00CA32A5" w:rsidRPr="00663995" w:rsidRDefault="00CA32A5" w:rsidP="00CA32A5">
      <w:pPr>
        <w:spacing w:line="276" w:lineRule="auto"/>
        <w:jc w:val="both"/>
        <w:rPr>
          <w:b/>
          <w:bCs/>
          <w:sz w:val="22"/>
          <w:szCs w:val="22"/>
        </w:rPr>
      </w:pPr>
      <w:r w:rsidRPr="00663995">
        <w:rPr>
          <w:b/>
          <w:bCs/>
          <w:sz w:val="22"/>
          <w:szCs w:val="22"/>
        </w:rPr>
        <w:t>Sažetak i djelokrug rada proračunskog korisnika</w:t>
      </w:r>
    </w:p>
    <w:p w14:paraId="2F4725D6" w14:textId="77777777" w:rsidR="00CF3E13" w:rsidRPr="00663995" w:rsidRDefault="00CF3E13" w:rsidP="00CA32A5">
      <w:pPr>
        <w:spacing w:line="276" w:lineRule="auto"/>
        <w:jc w:val="both"/>
        <w:rPr>
          <w:sz w:val="22"/>
          <w:szCs w:val="22"/>
        </w:rPr>
      </w:pPr>
    </w:p>
    <w:p w14:paraId="2E41568C" w14:textId="77777777" w:rsidR="00CF3E13" w:rsidRPr="00663995" w:rsidRDefault="00CF3E13" w:rsidP="00CF3E13">
      <w:pPr>
        <w:spacing w:line="276" w:lineRule="auto"/>
        <w:jc w:val="both"/>
        <w:rPr>
          <w:i/>
          <w:sz w:val="22"/>
          <w:szCs w:val="22"/>
        </w:rPr>
      </w:pPr>
      <w:r w:rsidRPr="00663995">
        <w:rPr>
          <w:i/>
          <w:sz w:val="22"/>
          <w:szCs w:val="22"/>
        </w:rPr>
        <w:t>Naziv obveznika: PUČKO OTVORENO UČILIŠTE KOPRIVNICA</w:t>
      </w:r>
    </w:p>
    <w:p w14:paraId="1BA20C42" w14:textId="77777777" w:rsidR="00CF3E13" w:rsidRPr="00663995" w:rsidRDefault="00CF3E13" w:rsidP="00CF3E13">
      <w:pPr>
        <w:spacing w:line="276" w:lineRule="auto"/>
        <w:jc w:val="both"/>
        <w:rPr>
          <w:i/>
          <w:sz w:val="22"/>
          <w:szCs w:val="22"/>
        </w:rPr>
      </w:pPr>
      <w:r w:rsidRPr="00663995">
        <w:rPr>
          <w:i/>
          <w:sz w:val="22"/>
          <w:szCs w:val="22"/>
        </w:rPr>
        <w:t>Broj RKP-a: 27974</w:t>
      </w:r>
    </w:p>
    <w:p w14:paraId="32BCF9D3" w14:textId="77777777" w:rsidR="00CF3E13" w:rsidRPr="00663995" w:rsidRDefault="00CF3E13" w:rsidP="00CF3E13">
      <w:pPr>
        <w:spacing w:line="276" w:lineRule="auto"/>
        <w:jc w:val="both"/>
        <w:rPr>
          <w:i/>
          <w:sz w:val="22"/>
          <w:szCs w:val="22"/>
        </w:rPr>
      </w:pPr>
      <w:r w:rsidRPr="00663995">
        <w:rPr>
          <w:i/>
          <w:sz w:val="22"/>
          <w:szCs w:val="22"/>
        </w:rPr>
        <w:t>Sjedište obveznika: KOPRIVNICA</w:t>
      </w:r>
    </w:p>
    <w:p w14:paraId="16C8CFD3" w14:textId="77777777" w:rsidR="00CF3E13" w:rsidRPr="00663995" w:rsidRDefault="00CF3E13" w:rsidP="00CF3E13">
      <w:pPr>
        <w:spacing w:line="276" w:lineRule="auto"/>
        <w:jc w:val="both"/>
        <w:rPr>
          <w:i/>
          <w:sz w:val="22"/>
          <w:szCs w:val="22"/>
        </w:rPr>
      </w:pPr>
      <w:r w:rsidRPr="00663995">
        <w:rPr>
          <w:i/>
          <w:sz w:val="22"/>
          <w:szCs w:val="22"/>
        </w:rPr>
        <w:t xml:space="preserve">Matični broj: 03009688 </w:t>
      </w:r>
    </w:p>
    <w:p w14:paraId="30D97FA9" w14:textId="77777777" w:rsidR="00CF3E13" w:rsidRPr="00663995" w:rsidRDefault="00CF3E13" w:rsidP="00CF3E13">
      <w:pPr>
        <w:spacing w:line="276" w:lineRule="auto"/>
        <w:jc w:val="both"/>
        <w:rPr>
          <w:i/>
          <w:sz w:val="22"/>
          <w:szCs w:val="22"/>
        </w:rPr>
      </w:pPr>
      <w:r w:rsidRPr="00663995">
        <w:rPr>
          <w:i/>
          <w:sz w:val="22"/>
          <w:szCs w:val="22"/>
        </w:rPr>
        <w:t>Adresa sjedišta obveznika: STAROGRADSKA 1, 48000 KOPRIVNICA</w:t>
      </w:r>
    </w:p>
    <w:p w14:paraId="23033E1A" w14:textId="77777777" w:rsidR="00CF3E13" w:rsidRPr="00663995" w:rsidRDefault="00CF3E13" w:rsidP="00CF3E13">
      <w:pPr>
        <w:spacing w:line="276" w:lineRule="auto"/>
        <w:jc w:val="both"/>
        <w:rPr>
          <w:i/>
          <w:sz w:val="22"/>
          <w:szCs w:val="22"/>
        </w:rPr>
      </w:pPr>
      <w:r w:rsidRPr="00663995">
        <w:rPr>
          <w:i/>
          <w:sz w:val="22"/>
          <w:szCs w:val="22"/>
        </w:rPr>
        <w:t>OIB: 86739035476</w:t>
      </w:r>
    </w:p>
    <w:p w14:paraId="774176D9" w14:textId="77777777" w:rsidR="00CA32A5" w:rsidRPr="00663995" w:rsidRDefault="00CA32A5" w:rsidP="00CA32A5">
      <w:pPr>
        <w:spacing w:line="276" w:lineRule="auto"/>
        <w:jc w:val="both"/>
        <w:rPr>
          <w:i/>
          <w:sz w:val="22"/>
          <w:szCs w:val="22"/>
        </w:rPr>
      </w:pPr>
    </w:p>
    <w:p w14:paraId="75C01D00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 xml:space="preserve">Pučko otvoreno učilište Koprivnica je kulturna, prosvjetna, informativna i uslužna javna ustanova u kulturi koja obavlja svoju djelatnost u skladu sa Statutom Učilišta Koprivnica (KLASA: 002-03/24-01/1; URBROJ: 2137-80-24-1, od 26.06.2024.) te planskim i programskim odrednicama usklađenim s planom Grada kao Osnivača. </w:t>
      </w:r>
    </w:p>
    <w:p w14:paraId="662581DB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 xml:space="preserve">Kao ustanova Učilište je osnovano na temelju Rješenja Narodnog odbora općine Koprivnica o osnivanju Narodnog sveučilišta u Koprivnici 12. prosinca 1961. godine. Rješenjem Trgovačkog suda u Bjelovaru od 28. studenog 1995. u sudski registar upisuje se naziv Otvoreno sveučilište Koprivnica, a Rješenjem od 19. travnja 1999. upisuje se naziv Pučko otvoreno učilište Koprivnica. </w:t>
      </w:r>
    </w:p>
    <w:p w14:paraId="47F3AE50" w14:textId="76E58D0B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 xml:space="preserve">POU Koprivnica djelatnost obavlja u skladu sa Zakonom o obrazovanju odraslih (NN 144/2021), Zakonom o pučkim otvorenim učilištima (NN 54/97, 5/98, 109/99, 139/10), Zakonom o ustanovama (NN 76/93, 29/97, 47/99, 35/08, 127/19, 151/22), Zakonom o kulturnim vijećima i financiranju javnih potreba u kulturi (NN 83/22), </w:t>
      </w:r>
      <w:r w:rsidR="00CD77A5" w:rsidRPr="00663995">
        <w:rPr>
          <w:color w:val="000000"/>
          <w:sz w:val="22"/>
          <w:szCs w:val="22"/>
        </w:rPr>
        <w:t>Kolektivnim ugovorom za zaposlene u ustanovama kulture Grada Koprivnice od 30. siječnja 2023. g.</w:t>
      </w:r>
      <w:bookmarkStart w:id="1" w:name="_Hlk171340037"/>
      <w:r w:rsidR="00CD77A5" w:rsidRPr="00663995">
        <w:rPr>
          <w:color w:val="000000"/>
          <w:sz w:val="22"/>
          <w:szCs w:val="22"/>
        </w:rPr>
        <w:t>, I. Dodatkom Kolektivnom ugovoru za zaposlene u ustanovama kulture Grada Koprivnice od 29. rujna 2023. g</w:t>
      </w:r>
      <w:bookmarkStart w:id="2" w:name="_Hlk25668193"/>
      <w:bookmarkEnd w:id="1"/>
      <w:r w:rsidR="00CD77A5" w:rsidRPr="00663995">
        <w:rPr>
          <w:color w:val="000000"/>
          <w:sz w:val="22"/>
          <w:szCs w:val="22"/>
        </w:rPr>
        <w:t>. te II. Dodatkom Kolektivnom ugovoru za zaposlene u ustanovama kulture Grada Koprivnice od 22. ožujka 2024. g.,</w:t>
      </w:r>
      <w:bookmarkEnd w:id="2"/>
      <w:r w:rsidR="00CD77A5" w:rsidRPr="00663995">
        <w:rPr>
          <w:sz w:val="22"/>
          <w:szCs w:val="22"/>
        </w:rPr>
        <w:t xml:space="preserve"> </w:t>
      </w:r>
      <w:r w:rsidR="00CD77A5" w:rsidRPr="00663995">
        <w:rPr>
          <w:bCs/>
          <w:color w:val="000000"/>
          <w:sz w:val="22"/>
          <w:szCs w:val="22"/>
        </w:rPr>
        <w:t>III. Dodatkom Kolektivnom ugovoru za zaposlene u ustanovama kulture Grada Koprivnice od 5. prosinca 2024. g</w:t>
      </w:r>
      <w:r w:rsidRPr="00663995">
        <w:rPr>
          <w:sz w:val="22"/>
          <w:szCs w:val="22"/>
        </w:rPr>
        <w:t xml:space="preserve">., Zakonom o proračunu (NN 144/21), Zakonom o radu (NN 93/14, 127/17, 98/19, 151/22, 64/23), Zakonom i Uredbom o fiskalnoj odgovornosti (NN 111/18, 83/23), Pravilnikom o proračunskom računovodstvu i računskom planu (NN 124/14, 115/15, 87/16, 3/18, 126/19, 108/20, 158/23), Pravilnikom o financijskom izvještavanju u proračunskom računovodstvu (NN 3/15, 135/15, 2/17, 112/18, 126/19, 145/20, 32/21, 37/22) i drugim općim aktima POU Koprivnica. </w:t>
      </w:r>
    </w:p>
    <w:p w14:paraId="6A730149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>Ustanova se zadnjih nekoliko godina orijentira na EU fondove kao na jedan od izvora financiranja ustanove.</w:t>
      </w:r>
    </w:p>
    <w:p w14:paraId="07706219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>POU Koprivnica u segmentu kulturne djelatnosti (glazbeno-scenske djelatnosti i kina) posebno potiče suradnju s izvangradskim područjima putem suradnje sa školama, vrtićima, nastavnicima, roditeljima.</w:t>
      </w:r>
    </w:p>
    <w:p w14:paraId="7D70085C" w14:textId="553DF434" w:rsidR="00577486" w:rsidRPr="00663995" w:rsidRDefault="00250865" w:rsidP="007D09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Učilište</w:t>
      </w:r>
      <w:r w:rsidR="00577486" w:rsidRPr="00663995">
        <w:rPr>
          <w:sz w:val="22"/>
          <w:szCs w:val="22"/>
        </w:rPr>
        <w:t xml:space="preserve"> stavlja poseban </w:t>
      </w:r>
      <w:r w:rsidR="004B3FE7">
        <w:rPr>
          <w:sz w:val="22"/>
          <w:szCs w:val="22"/>
        </w:rPr>
        <w:t>naglasak</w:t>
      </w:r>
      <w:r w:rsidR="00577486" w:rsidRPr="00663995">
        <w:rPr>
          <w:sz w:val="22"/>
          <w:szCs w:val="22"/>
        </w:rPr>
        <w:t xml:space="preserve"> na razvoj svih ključnih kompetencija građana s ciljem povećanja njihove kompetencijske i kompetitivne razine.</w:t>
      </w:r>
    </w:p>
    <w:p w14:paraId="4DFDA2DD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>Trenutno je 16 stalno zaposlenih djelatnika. Svoju djelatnost ostvaruje i uz značajnu pomoć vanjskih suradnika. Glavni organizacijski oblik u operativnom smislu je Stručno vijeće Učilišta koje djeluje kao programsko tijelo, ravnatelj te Upravno vijeće Učilišta na razini odlučivanja.</w:t>
      </w:r>
    </w:p>
    <w:p w14:paraId="165DD26D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</w:p>
    <w:p w14:paraId="285E66C8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>U Učilištu su ustrojene sljedeće organizacijske cjeline:</w:t>
      </w:r>
    </w:p>
    <w:p w14:paraId="4899CF90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 xml:space="preserve"> l. Odjel za obrazovanje, cjeloživotno učenje i EU projekte </w:t>
      </w:r>
    </w:p>
    <w:p w14:paraId="4FBC9709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 xml:space="preserve">2. Odjel za glazbeno-scensku kulturu i amaterizam </w:t>
      </w:r>
    </w:p>
    <w:p w14:paraId="10FB184D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 xml:space="preserve">3. Odjel za filmsku, video i medijsku kulturu </w:t>
      </w:r>
    </w:p>
    <w:p w14:paraId="0BE00842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 xml:space="preserve">4. Odjel za opće i financijske poslove </w:t>
      </w:r>
    </w:p>
    <w:p w14:paraId="2CA98DFD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</w:p>
    <w:p w14:paraId="7FB8FDB8" w14:textId="77777777" w:rsidR="00577486" w:rsidRPr="00663995" w:rsidRDefault="00577486" w:rsidP="007D0911">
      <w:pPr>
        <w:spacing w:line="276" w:lineRule="auto"/>
        <w:jc w:val="both"/>
        <w:rPr>
          <w:b/>
          <w:bCs/>
          <w:sz w:val="22"/>
          <w:szCs w:val="22"/>
        </w:rPr>
      </w:pPr>
      <w:bookmarkStart w:id="3" w:name="_Toc150773290"/>
      <w:r w:rsidRPr="00663995">
        <w:rPr>
          <w:b/>
          <w:bCs/>
          <w:sz w:val="22"/>
          <w:szCs w:val="22"/>
        </w:rPr>
        <w:t>OBRAZLOŽENJE OPĆEG DIJELA</w:t>
      </w:r>
      <w:bookmarkEnd w:id="3"/>
    </w:p>
    <w:p w14:paraId="76EA81BD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</w:p>
    <w:p w14:paraId="1D802048" w14:textId="77777777" w:rsidR="00577486" w:rsidRPr="00663995" w:rsidRDefault="00577486" w:rsidP="007D0911">
      <w:pPr>
        <w:spacing w:line="276" w:lineRule="auto"/>
        <w:jc w:val="both"/>
        <w:rPr>
          <w:b/>
          <w:bCs/>
          <w:i/>
          <w:iCs/>
          <w:sz w:val="22"/>
          <w:szCs w:val="22"/>
        </w:rPr>
      </w:pPr>
      <w:r w:rsidRPr="00663995">
        <w:rPr>
          <w:b/>
          <w:bCs/>
          <w:i/>
          <w:iCs/>
          <w:sz w:val="22"/>
          <w:szCs w:val="22"/>
        </w:rPr>
        <w:t>Obrazloženje programa i aktivnosti</w:t>
      </w:r>
    </w:p>
    <w:p w14:paraId="57631DEE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</w:p>
    <w:p w14:paraId="10802102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>U cilju zadovoljenja zakonskih uvjeta planiramo procjenu namjenskog korištenja prihoda koji omogućuje detaljniju razradu programske i ekonomske klasifikacije u zavisnosti od izvora prihoda/primitaka odnosno rashoda/izdataka .</w:t>
      </w:r>
    </w:p>
    <w:p w14:paraId="1E7F12A2" w14:textId="3C1C8804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>Prijedlog I. izmjena i dopuna Financijskog plana Pučkog otvorenog učilišta Koprivnica izrađen je u dogovoru s Osnivačem, a prema procjeni realnih potreba usklađenih s planiranim aktivnostima.</w:t>
      </w:r>
    </w:p>
    <w:p w14:paraId="0BFAA094" w14:textId="6B9DECCE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>Prilikom izrade Prijedloga I. izmjena i dopuna Financijskog plana Učilišta korištena je ekonomska i funkcijska klasifikacija, klasifikacija po izvorima financiranja te programska klasifikacija.</w:t>
      </w:r>
    </w:p>
    <w:p w14:paraId="28EF0B6F" w14:textId="1E04B09A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>Slijedom navedenog, osim zakonom propisanog oblika, radi pristupačnijeg prikaza i dosljednosti u izvještavanju, prilažemo izvještaj "</w:t>
      </w:r>
      <w:bookmarkStart w:id="4" w:name="_Hlk150862201"/>
      <w:r w:rsidRPr="00663995">
        <w:rPr>
          <w:sz w:val="22"/>
          <w:szCs w:val="22"/>
        </w:rPr>
        <w:t>Prijedlog I. izmjena i dopuna financijskog plana za 202</w:t>
      </w:r>
      <w:r w:rsidR="00164BD0" w:rsidRPr="00663995">
        <w:rPr>
          <w:sz w:val="22"/>
          <w:szCs w:val="22"/>
        </w:rPr>
        <w:t>5</w:t>
      </w:r>
      <w:r w:rsidRPr="00663995">
        <w:rPr>
          <w:sz w:val="22"/>
          <w:szCs w:val="22"/>
        </w:rPr>
        <w:t>.g</w:t>
      </w:r>
      <w:bookmarkEnd w:id="4"/>
      <w:r w:rsidRPr="00663995">
        <w:rPr>
          <w:sz w:val="22"/>
          <w:szCs w:val="22"/>
        </w:rPr>
        <w:t>." temeljem kojeg ćemo predložiti promjene u odnosu na pozicije definirane Financijskim planom za 202</w:t>
      </w:r>
      <w:r w:rsidR="00164BD0" w:rsidRPr="00663995">
        <w:rPr>
          <w:sz w:val="22"/>
          <w:szCs w:val="22"/>
        </w:rPr>
        <w:t>5</w:t>
      </w:r>
      <w:r w:rsidRPr="00663995">
        <w:rPr>
          <w:sz w:val="22"/>
          <w:szCs w:val="22"/>
        </w:rPr>
        <w:t xml:space="preserve">.g. </w:t>
      </w:r>
    </w:p>
    <w:p w14:paraId="7596679B" w14:textId="648BF5FD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>U Prijedlogu I. izmjena i dopuna Financijskog plana POU Koprivnica za 202</w:t>
      </w:r>
      <w:r w:rsidR="00164BD0" w:rsidRPr="00663995">
        <w:rPr>
          <w:sz w:val="22"/>
          <w:szCs w:val="22"/>
        </w:rPr>
        <w:t>5</w:t>
      </w:r>
      <w:r w:rsidRPr="00663995">
        <w:rPr>
          <w:sz w:val="22"/>
          <w:szCs w:val="22"/>
        </w:rPr>
        <w:t xml:space="preserve">.g. predlažemo </w:t>
      </w:r>
      <w:r w:rsidR="00164BD0" w:rsidRPr="00663995">
        <w:rPr>
          <w:sz w:val="22"/>
          <w:szCs w:val="22"/>
        </w:rPr>
        <w:t xml:space="preserve">povećanje </w:t>
      </w:r>
      <w:r w:rsidRPr="00663995">
        <w:rPr>
          <w:sz w:val="22"/>
          <w:szCs w:val="22"/>
        </w:rPr>
        <w:t xml:space="preserve"> za </w:t>
      </w:r>
      <w:r w:rsidR="00C75453" w:rsidRPr="00663995">
        <w:rPr>
          <w:sz w:val="22"/>
          <w:szCs w:val="22"/>
        </w:rPr>
        <w:t>211.93</w:t>
      </w:r>
      <w:r w:rsidR="00F26C92" w:rsidRPr="00663995">
        <w:rPr>
          <w:sz w:val="22"/>
          <w:szCs w:val="22"/>
        </w:rPr>
        <w:t>6</w:t>
      </w:r>
      <w:r w:rsidRPr="00663995">
        <w:rPr>
          <w:sz w:val="22"/>
          <w:szCs w:val="22"/>
        </w:rPr>
        <w:t xml:space="preserve"> € te novi plan iznosi </w:t>
      </w:r>
      <w:r w:rsidR="00C75453" w:rsidRPr="00663995">
        <w:rPr>
          <w:sz w:val="22"/>
          <w:szCs w:val="22"/>
        </w:rPr>
        <w:t>1.013.34</w:t>
      </w:r>
      <w:r w:rsidR="00F26C92" w:rsidRPr="00663995">
        <w:rPr>
          <w:sz w:val="22"/>
          <w:szCs w:val="22"/>
        </w:rPr>
        <w:t xml:space="preserve">1 </w:t>
      </w:r>
      <w:r w:rsidRPr="00663995">
        <w:rPr>
          <w:sz w:val="22"/>
          <w:szCs w:val="22"/>
        </w:rPr>
        <w:t>€. U privitku ovog obrazloženja nalazi se izvještaj s uravnoteženjem prihoda i rashoda.</w:t>
      </w:r>
    </w:p>
    <w:p w14:paraId="26118DB0" w14:textId="4CD597ED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>Planirani program POU Koprivnica za 202</w:t>
      </w:r>
      <w:r w:rsidR="00BE3109" w:rsidRPr="00663995">
        <w:rPr>
          <w:sz w:val="22"/>
          <w:szCs w:val="22"/>
        </w:rPr>
        <w:t>5</w:t>
      </w:r>
      <w:r w:rsidRPr="00663995">
        <w:rPr>
          <w:sz w:val="22"/>
          <w:szCs w:val="22"/>
        </w:rPr>
        <w:t xml:space="preserve">. godinu čini redovna i programska djelatnost, a detaljno je analizirana i obrazložena prema dolje navedenim aktivnostima. </w:t>
      </w:r>
    </w:p>
    <w:p w14:paraId="45090970" w14:textId="77777777" w:rsidR="008834E8" w:rsidRPr="00663995" w:rsidRDefault="008834E8" w:rsidP="007D0911">
      <w:pPr>
        <w:spacing w:line="276" w:lineRule="auto"/>
        <w:jc w:val="both"/>
        <w:rPr>
          <w:rFonts w:eastAsia="Calibri"/>
          <w:b/>
          <w:bCs/>
          <w:color w:val="FF0000"/>
          <w:sz w:val="22"/>
          <w:szCs w:val="22"/>
        </w:rPr>
      </w:pPr>
    </w:p>
    <w:p w14:paraId="2B4D26DE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b/>
          <w:bCs/>
          <w:i/>
          <w:iCs/>
          <w:sz w:val="22"/>
          <w:szCs w:val="22"/>
        </w:rPr>
      </w:pPr>
      <w:r w:rsidRPr="00663995">
        <w:rPr>
          <w:rFonts w:eastAsia="Calibri"/>
          <w:b/>
          <w:bCs/>
          <w:i/>
          <w:iCs/>
          <w:sz w:val="22"/>
          <w:szCs w:val="22"/>
        </w:rPr>
        <w:t>Obrazloženje prihoda i rashoda prema ekonomskoj klasifikaciji</w:t>
      </w:r>
    </w:p>
    <w:p w14:paraId="49D8D93B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1F128A52" w14:textId="5A569585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t>Planirani prihodi Učilišta u Prijedlogu I. Izmjena i dopuna Financijskog plana za 202</w:t>
      </w:r>
      <w:r w:rsidR="00BE3109" w:rsidRPr="00663995">
        <w:rPr>
          <w:rFonts w:eastAsia="Calibri"/>
          <w:sz w:val="22"/>
          <w:szCs w:val="22"/>
        </w:rPr>
        <w:t>5</w:t>
      </w:r>
      <w:r w:rsidRPr="00663995">
        <w:rPr>
          <w:rFonts w:eastAsia="Calibri"/>
          <w:sz w:val="22"/>
          <w:szCs w:val="22"/>
        </w:rPr>
        <w:t xml:space="preserve">. godinu iznose </w:t>
      </w:r>
      <w:r w:rsidR="004D5E04" w:rsidRPr="00663995">
        <w:rPr>
          <w:rFonts w:eastAsia="Calibri"/>
          <w:sz w:val="22"/>
          <w:szCs w:val="22"/>
        </w:rPr>
        <w:t>987.022</w:t>
      </w:r>
      <w:r w:rsidRPr="00663995">
        <w:rPr>
          <w:rFonts w:eastAsia="Calibri"/>
          <w:sz w:val="22"/>
          <w:szCs w:val="22"/>
        </w:rPr>
        <w:t xml:space="preserve"> €, a uvećani za </w:t>
      </w:r>
      <w:r w:rsidR="00BF2C31" w:rsidRPr="00663995">
        <w:rPr>
          <w:rFonts w:eastAsia="Calibri"/>
          <w:sz w:val="22"/>
          <w:szCs w:val="22"/>
        </w:rPr>
        <w:t>manjak</w:t>
      </w:r>
      <w:r w:rsidRPr="00663995">
        <w:rPr>
          <w:rFonts w:eastAsia="Calibri"/>
          <w:sz w:val="22"/>
          <w:szCs w:val="22"/>
        </w:rPr>
        <w:t xml:space="preserve"> prihoda poslovanja iznose </w:t>
      </w:r>
      <w:r w:rsidR="00BF2C31" w:rsidRPr="00663995">
        <w:rPr>
          <w:rFonts w:eastAsia="Calibri"/>
          <w:sz w:val="22"/>
          <w:szCs w:val="22"/>
        </w:rPr>
        <w:t xml:space="preserve">1.013.341 </w:t>
      </w:r>
      <w:r w:rsidRPr="00663995">
        <w:rPr>
          <w:rFonts w:eastAsia="Calibri"/>
          <w:sz w:val="22"/>
          <w:szCs w:val="22"/>
        </w:rPr>
        <w:t>€, odnose se na:</w:t>
      </w:r>
    </w:p>
    <w:p w14:paraId="2551361F" w14:textId="44CE6474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Prihod od pomoći</w:t>
      </w:r>
      <w:r w:rsidRPr="00663995">
        <w:rPr>
          <w:rFonts w:eastAsia="Calibri"/>
          <w:sz w:val="22"/>
          <w:szCs w:val="22"/>
        </w:rPr>
        <w:t xml:space="preserve"> odnosi se na pomoći iz nenadležnog proračuna i pomoći iz EU, a planiran je u visini </w:t>
      </w:r>
      <w:r w:rsidR="00256699" w:rsidRPr="00663995">
        <w:rPr>
          <w:rFonts w:eastAsia="Calibri"/>
          <w:sz w:val="22"/>
          <w:szCs w:val="22"/>
        </w:rPr>
        <w:t>81.164</w:t>
      </w:r>
      <w:r w:rsidRPr="00663995">
        <w:rPr>
          <w:rFonts w:eastAsia="Calibri"/>
          <w:sz w:val="22"/>
          <w:szCs w:val="22"/>
        </w:rPr>
        <w:t xml:space="preserve"> €, što je smanjenje od </w:t>
      </w:r>
      <w:r w:rsidR="00256699" w:rsidRPr="00663995">
        <w:rPr>
          <w:rFonts w:eastAsia="Calibri"/>
          <w:sz w:val="22"/>
          <w:szCs w:val="22"/>
        </w:rPr>
        <w:t>15.801</w:t>
      </w:r>
      <w:r w:rsidRPr="00663995">
        <w:rPr>
          <w:rFonts w:eastAsia="Calibri"/>
          <w:sz w:val="22"/>
          <w:szCs w:val="22"/>
        </w:rPr>
        <w:t xml:space="preserve"> € u odnosu na Plan. Unutar ovog iznosa planirana su sredstva za kapitalne pomoći koje smo smanjili</w:t>
      </w:r>
      <w:r w:rsidR="00D70A3C" w:rsidRPr="00663995">
        <w:rPr>
          <w:rFonts w:eastAsia="Calibri"/>
          <w:sz w:val="22"/>
          <w:szCs w:val="22"/>
        </w:rPr>
        <w:t xml:space="preserve">, </w:t>
      </w:r>
      <w:r w:rsidRPr="00663995">
        <w:rPr>
          <w:rFonts w:eastAsia="Calibri"/>
          <w:sz w:val="22"/>
          <w:szCs w:val="22"/>
        </w:rPr>
        <w:t>a planirana su iz nenadležnog proračuna Ministarstva kulture</w:t>
      </w:r>
      <w:r w:rsidRPr="00663995">
        <w:rPr>
          <w:rFonts w:eastAsia="Calibri"/>
          <w:iCs/>
          <w:sz w:val="22"/>
          <w:szCs w:val="22"/>
        </w:rPr>
        <w:t xml:space="preserve"> i medija RH</w:t>
      </w:r>
      <w:r w:rsidRPr="00663995">
        <w:rPr>
          <w:rFonts w:eastAsia="Calibri"/>
          <w:sz w:val="22"/>
          <w:szCs w:val="22"/>
        </w:rPr>
        <w:t xml:space="preserve"> sukladno prijavljenim programima. Odnose se na prihod koji  se </w:t>
      </w:r>
      <w:r w:rsidR="00E10A45" w:rsidRPr="00663995">
        <w:rPr>
          <w:rFonts w:eastAsia="Calibri"/>
          <w:sz w:val="22"/>
          <w:szCs w:val="22"/>
        </w:rPr>
        <w:t>treba</w:t>
      </w:r>
      <w:r w:rsidR="00A643BE" w:rsidRPr="00663995">
        <w:rPr>
          <w:rFonts w:eastAsia="Calibri"/>
          <w:sz w:val="22"/>
          <w:szCs w:val="22"/>
        </w:rPr>
        <w:t xml:space="preserve">o </w:t>
      </w:r>
      <w:r w:rsidRPr="00663995">
        <w:rPr>
          <w:rFonts w:eastAsia="Calibri"/>
          <w:sz w:val="22"/>
          <w:szCs w:val="22"/>
        </w:rPr>
        <w:t>namjenski utroš</w:t>
      </w:r>
      <w:r w:rsidR="009523B5" w:rsidRPr="00663995">
        <w:rPr>
          <w:rFonts w:eastAsia="Calibri"/>
          <w:sz w:val="22"/>
          <w:szCs w:val="22"/>
        </w:rPr>
        <w:t>iti</w:t>
      </w:r>
      <w:r w:rsidRPr="00663995">
        <w:rPr>
          <w:rFonts w:eastAsia="Calibri"/>
          <w:sz w:val="22"/>
          <w:szCs w:val="22"/>
        </w:rPr>
        <w:t xml:space="preserve"> za sanaciju dvorane Domoljub, </w:t>
      </w:r>
      <w:r w:rsidR="00A643BE" w:rsidRPr="00663995">
        <w:rPr>
          <w:rFonts w:eastAsia="Calibri"/>
          <w:sz w:val="22"/>
          <w:szCs w:val="22"/>
        </w:rPr>
        <w:t>no sredstva nisu odobrena.</w:t>
      </w:r>
      <w:r w:rsidRPr="00663995">
        <w:rPr>
          <w:rFonts w:eastAsia="Calibri"/>
          <w:sz w:val="22"/>
          <w:szCs w:val="22"/>
        </w:rPr>
        <w:t xml:space="preserve"> Planirani prihodi od tekućih pomoći utrošit će se na najamnine kazališnih predstava i izvođenje koncerata u dvorani Domoljub te najamnine za filmove za popularizaciju europskog i neameričkog filma od strane HAVC-a i Europa Cinemas. </w:t>
      </w:r>
    </w:p>
    <w:p w14:paraId="3795FDEE" w14:textId="5CC1C24E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t xml:space="preserve">Tekuće pomoći iz državnog proračuna za sredstva dobivena iz EU planirali smo za provedbu projekta </w:t>
      </w:r>
      <w:r w:rsidR="00B415B4" w:rsidRPr="00663995">
        <w:rPr>
          <w:rFonts w:eastAsia="Calibri"/>
          <w:sz w:val="22"/>
          <w:szCs w:val="22"/>
        </w:rPr>
        <w:t>Akreditacija</w:t>
      </w:r>
      <w:r w:rsidR="00BA46C2" w:rsidRPr="00663995">
        <w:rPr>
          <w:rFonts w:eastAsia="Calibri"/>
          <w:sz w:val="22"/>
          <w:szCs w:val="22"/>
        </w:rPr>
        <w:t xml:space="preserve"> 1</w:t>
      </w:r>
      <w:r w:rsidRPr="00663995">
        <w:rPr>
          <w:rFonts w:eastAsia="Calibri"/>
          <w:sz w:val="22"/>
          <w:szCs w:val="22"/>
        </w:rPr>
        <w:t>.</w:t>
      </w:r>
    </w:p>
    <w:p w14:paraId="103B75EC" w14:textId="29E87DBE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lastRenderedPageBreak/>
        <w:t xml:space="preserve">Prihod od pomoći međunarodnih organizacija te institucija i tijela EU planirani su za </w:t>
      </w:r>
      <w:r w:rsidR="00B415B4" w:rsidRPr="00663995">
        <w:rPr>
          <w:rFonts w:eastAsia="Calibri"/>
          <w:sz w:val="22"/>
          <w:szCs w:val="22"/>
        </w:rPr>
        <w:t>2</w:t>
      </w:r>
      <w:r w:rsidRPr="00663995">
        <w:rPr>
          <w:rFonts w:eastAsia="Calibri"/>
          <w:sz w:val="22"/>
          <w:szCs w:val="22"/>
        </w:rPr>
        <w:t xml:space="preserve"> projekta (BU.BI</w:t>
      </w:r>
      <w:r w:rsidR="00B64C50" w:rsidRPr="00663995">
        <w:rPr>
          <w:rFonts w:eastAsia="Calibri"/>
          <w:sz w:val="22"/>
          <w:szCs w:val="22"/>
        </w:rPr>
        <w:t xml:space="preserve"> i</w:t>
      </w:r>
      <w:r w:rsidRPr="00663995">
        <w:rPr>
          <w:rFonts w:eastAsia="Calibri"/>
          <w:sz w:val="22"/>
          <w:szCs w:val="22"/>
        </w:rPr>
        <w:t xml:space="preserve"> ESCAPE TO HAPPINE</w:t>
      </w:r>
      <w:r w:rsidR="00B415B4" w:rsidRPr="00663995">
        <w:rPr>
          <w:rFonts w:eastAsia="Calibri"/>
          <w:sz w:val="22"/>
          <w:szCs w:val="22"/>
        </w:rPr>
        <w:t>S</w:t>
      </w:r>
      <w:r w:rsidRPr="00663995">
        <w:rPr>
          <w:rFonts w:eastAsia="Calibri"/>
          <w:sz w:val="22"/>
          <w:szCs w:val="22"/>
        </w:rPr>
        <w:t>) i utrošit će se sukladno sporazumima s koordinatorima projekta. Također je planiran prihod od udruženja EUROPA CINEMAS koji će se utrošiti za potrebe kina.</w:t>
      </w:r>
    </w:p>
    <w:p w14:paraId="542785C5" w14:textId="184A93E3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iCs/>
          <w:sz w:val="22"/>
          <w:szCs w:val="22"/>
        </w:rPr>
      </w:pPr>
      <w:r w:rsidRPr="00663995">
        <w:rPr>
          <w:rFonts w:eastAsia="Calibri"/>
          <w:b/>
          <w:bCs/>
          <w:iCs/>
          <w:sz w:val="22"/>
          <w:szCs w:val="22"/>
        </w:rPr>
        <w:t>Prihod od upravnih i administrativnih pristojbi</w:t>
      </w:r>
      <w:r w:rsidRPr="00663995">
        <w:rPr>
          <w:rFonts w:eastAsia="Calibri"/>
          <w:iCs/>
          <w:sz w:val="22"/>
          <w:szCs w:val="22"/>
        </w:rPr>
        <w:t xml:space="preserve"> planiran je u iznosu od 1</w:t>
      </w:r>
      <w:r w:rsidR="00F77947" w:rsidRPr="00663995">
        <w:rPr>
          <w:rFonts w:eastAsia="Calibri"/>
          <w:iCs/>
          <w:sz w:val="22"/>
          <w:szCs w:val="22"/>
        </w:rPr>
        <w:t>.</w:t>
      </w:r>
      <w:r w:rsidRPr="00663995">
        <w:rPr>
          <w:rFonts w:eastAsia="Calibri"/>
          <w:iCs/>
          <w:sz w:val="22"/>
          <w:szCs w:val="22"/>
        </w:rPr>
        <w:t>000 € te kao takav ostaje nepromijenjen.</w:t>
      </w:r>
    </w:p>
    <w:p w14:paraId="0B43C8C3" w14:textId="7D2E223B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iCs/>
          <w:sz w:val="22"/>
          <w:szCs w:val="22"/>
        </w:rPr>
      </w:pPr>
      <w:r w:rsidRPr="00663995">
        <w:rPr>
          <w:rFonts w:eastAsia="Calibri"/>
          <w:b/>
          <w:bCs/>
          <w:iCs/>
          <w:sz w:val="22"/>
          <w:szCs w:val="22"/>
        </w:rPr>
        <w:t xml:space="preserve">Vlastiti prihodi </w:t>
      </w:r>
      <w:r w:rsidRPr="00663995">
        <w:rPr>
          <w:rFonts w:eastAsia="Calibri"/>
          <w:iCs/>
          <w:sz w:val="22"/>
          <w:szCs w:val="22"/>
        </w:rPr>
        <w:t xml:space="preserve">planirani su u visini </w:t>
      </w:r>
      <w:r w:rsidR="009073ED" w:rsidRPr="00663995">
        <w:rPr>
          <w:rFonts w:eastAsia="Calibri"/>
          <w:iCs/>
          <w:sz w:val="22"/>
          <w:szCs w:val="22"/>
        </w:rPr>
        <w:t>252.540</w:t>
      </w:r>
      <w:r w:rsidRPr="00663995">
        <w:rPr>
          <w:rFonts w:eastAsia="Calibri"/>
          <w:iCs/>
          <w:sz w:val="22"/>
          <w:szCs w:val="22"/>
        </w:rPr>
        <w:t xml:space="preserve"> €</w:t>
      </w:r>
      <w:r w:rsidR="00B64C50" w:rsidRPr="00663995">
        <w:rPr>
          <w:rFonts w:eastAsia="Calibri"/>
          <w:iCs/>
          <w:sz w:val="22"/>
          <w:szCs w:val="22"/>
        </w:rPr>
        <w:t xml:space="preserve">. </w:t>
      </w:r>
      <w:r w:rsidRPr="00663995">
        <w:rPr>
          <w:rFonts w:eastAsia="Calibri"/>
          <w:iCs/>
          <w:sz w:val="22"/>
          <w:szCs w:val="22"/>
        </w:rPr>
        <w:t xml:space="preserve">Vlastiti prihodi </w:t>
      </w:r>
      <w:r w:rsidR="00C51AD1" w:rsidRPr="00663995">
        <w:rPr>
          <w:rFonts w:eastAsia="Calibri"/>
          <w:iCs/>
          <w:sz w:val="22"/>
          <w:szCs w:val="22"/>
        </w:rPr>
        <w:t>uvećani</w:t>
      </w:r>
      <w:r w:rsidRPr="00663995">
        <w:rPr>
          <w:rFonts w:eastAsia="Calibri"/>
          <w:iCs/>
          <w:sz w:val="22"/>
          <w:szCs w:val="22"/>
        </w:rPr>
        <w:t xml:space="preserve"> su za iznos od </w:t>
      </w:r>
      <w:r w:rsidR="00C51AD1" w:rsidRPr="00663995">
        <w:rPr>
          <w:rFonts w:eastAsia="Calibri"/>
          <w:iCs/>
          <w:sz w:val="22"/>
          <w:szCs w:val="22"/>
        </w:rPr>
        <w:t>60.800</w:t>
      </w:r>
      <w:r w:rsidRPr="00663995">
        <w:rPr>
          <w:rFonts w:eastAsia="Calibri"/>
          <w:iCs/>
          <w:sz w:val="22"/>
          <w:szCs w:val="22"/>
        </w:rPr>
        <w:t xml:space="preserve"> € te se odnose na prihod od prodaje usluga, prihod od najamnina i ostale nespomenute prihode. Ostvareni prihod utrošit će se na financiranje redovnog poslovanja, materijalnih troškova Učilišta, financiranje dijela programske djelatnosti</w:t>
      </w:r>
      <w:r w:rsidR="000B1BDE" w:rsidRPr="00663995">
        <w:rPr>
          <w:rFonts w:eastAsia="Calibri"/>
          <w:iCs/>
          <w:sz w:val="22"/>
          <w:szCs w:val="22"/>
        </w:rPr>
        <w:t xml:space="preserve">. </w:t>
      </w:r>
      <w:r w:rsidRPr="00663995">
        <w:rPr>
          <w:rFonts w:eastAsia="Calibri"/>
          <w:iCs/>
          <w:sz w:val="22"/>
          <w:szCs w:val="22"/>
        </w:rPr>
        <w:t>Vlastiti prihodi planirani su realno na bazi prošlogodišnjeg ostvarenja</w:t>
      </w:r>
      <w:r w:rsidR="000B1BDE" w:rsidRPr="00663995">
        <w:rPr>
          <w:rFonts w:eastAsia="Calibri"/>
          <w:iCs/>
          <w:sz w:val="22"/>
          <w:szCs w:val="22"/>
        </w:rPr>
        <w:t>.</w:t>
      </w:r>
    </w:p>
    <w:p w14:paraId="42798D6C" w14:textId="4032D7D3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iCs/>
          <w:sz w:val="22"/>
          <w:szCs w:val="22"/>
        </w:rPr>
      </w:pPr>
      <w:r w:rsidRPr="00663995">
        <w:rPr>
          <w:rFonts w:eastAsia="Calibri"/>
          <w:b/>
          <w:bCs/>
          <w:iCs/>
          <w:sz w:val="22"/>
          <w:szCs w:val="22"/>
        </w:rPr>
        <w:t>Prihod iz nadležnog proračuna</w:t>
      </w:r>
      <w:r w:rsidRPr="00663995">
        <w:rPr>
          <w:rFonts w:eastAsia="Calibri"/>
          <w:iCs/>
          <w:sz w:val="22"/>
          <w:szCs w:val="22"/>
        </w:rPr>
        <w:t xml:space="preserve"> – proračuna Grada Koprivnice planiran je u Prijedlogu I. Izmjena i dopuna financijskog plana za 202</w:t>
      </w:r>
      <w:r w:rsidR="002D4CD1" w:rsidRPr="00663995">
        <w:rPr>
          <w:rFonts w:eastAsia="Calibri"/>
          <w:iCs/>
          <w:sz w:val="22"/>
          <w:szCs w:val="22"/>
        </w:rPr>
        <w:t>5</w:t>
      </w:r>
      <w:r w:rsidRPr="00663995">
        <w:rPr>
          <w:rFonts w:eastAsia="Calibri"/>
          <w:iCs/>
          <w:sz w:val="22"/>
          <w:szCs w:val="22"/>
        </w:rPr>
        <w:t xml:space="preserve">. godinu u iznosu od </w:t>
      </w:r>
      <w:r w:rsidR="007F527D" w:rsidRPr="00663995">
        <w:rPr>
          <w:rFonts w:eastAsia="Calibri"/>
          <w:iCs/>
          <w:sz w:val="22"/>
          <w:szCs w:val="22"/>
        </w:rPr>
        <w:t xml:space="preserve">450.900 </w:t>
      </w:r>
      <w:r w:rsidRPr="00663995">
        <w:rPr>
          <w:rFonts w:eastAsia="Calibri"/>
          <w:iCs/>
          <w:sz w:val="22"/>
          <w:szCs w:val="22"/>
        </w:rPr>
        <w:t xml:space="preserve"> €, a odnosi se na financiranje aktivnosti glazbeno-scenske djelatnosti, centra za cjeloživotno učenje, dio sredstava za filmsku djelatnost te nastavak sanacije dvorane Domoljub. Prihodi se povećavanju za iznos od </w:t>
      </w:r>
      <w:r w:rsidR="007F527D" w:rsidRPr="00663995">
        <w:rPr>
          <w:rFonts w:eastAsia="Calibri"/>
          <w:iCs/>
          <w:sz w:val="22"/>
          <w:szCs w:val="22"/>
        </w:rPr>
        <w:t>166.937</w:t>
      </w:r>
      <w:r w:rsidRPr="00663995">
        <w:rPr>
          <w:rFonts w:eastAsia="Calibri"/>
          <w:iCs/>
          <w:sz w:val="22"/>
          <w:szCs w:val="22"/>
        </w:rPr>
        <w:t xml:space="preserve"> € zbog potrebnih financijskih sredstava </w:t>
      </w:r>
      <w:r w:rsidR="00B37A85" w:rsidRPr="00663995">
        <w:rPr>
          <w:rFonts w:eastAsia="Calibri"/>
          <w:iCs/>
          <w:sz w:val="22"/>
          <w:szCs w:val="22"/>
        </w:rPr>
        <w:t>za isplatu plaće</w:t>
      </w:r>
      <w:r w:rsidRPr="00663995">
        <w:rPr>
          <w:rFonts w:eastAsia="Calibri"/>
          <w:iCs/>
          <w:sz w:val="22"/>
          <w:szCs w:val="22"/>
        </w:rPr>
        <w:t xml:space="preserve"> do kraja godine za djelatnike POU Koprivnica</w:t>
      </w:r>
      <w:r w:rsidR="000F250A" w:rsidRPr="00663995">
        <w:rPr>
          <w:rFonts w:eastAsia="Calibri"/>
          <w:iCs/>
          <w:sz w:val="22"/>
          <w:szCs w:val="22"/>
        </w:rPr>
        <w:t xml:space="preserve"> te zakupnine i najamnine kazališnih predstava</w:t>
      </w:r>
      <w:r w:rsidR="00CE48FA" w:rsidRPr="00663995">
        <w:rPr>
          <w:rFonts w:eastAsia="Calibri"/>
          <w:iCs/>
          <w:sz w:val="22"/>
          <w:szCs w:val="22"/>
        </w:rPr>
        <w:t xml:space="preserve"> kao i </w:t>
      </w:r>
      <w:r w:rsidR="00972209" w:rsidRPr="00663995">
        <w:rPr>
          <w:rFonts w:eastAsia="Calibri"/>
          <w:iCs/>
          <w:sz w:val="22"/>
          <w:szCs w:val="22"/>
        </w:rPr>
        <w:t>za metodološki manjak na kraju 2024.</w:t>
      </w:r>
      <w:r w:rsidR="009073ED" w:rsidRPr="00663995">
        <w:rPr>
          <w:rFonts w:eastAsia="Calibri"/>
          <w:iCs/>
          <w:sz w:val="22"/>
          <w:szCs w:val="22"/>
        </w:rPr>
        <w:t>g</w:t>
      </w:r>
      <w:r w:rsidRPr="00663995">
        <w:rPr>
          <w:rFonts w:eastAsia="Calibri"/>
          <w:iCs/>
          <w:sz w:val="22"/>
          <w:szCs w:val="22"/>
        </w:rPr>
        <w:t>.</w:t>
      </w:r>
    </w:p>
    <w:p w14:paraId="1B412168" w14:textId="77777777" w:rsidR="000B1BDE" w:rsidRPr="00663995" w:rsidRDefault="000B1BDE" w:rsidP="007D0911">
      <w:pPr>
        <w:spacing w:line="276" w:lineRule="auto"/>
        <w:contextualSpacing/>
        <w:jc w:val="both"/>
        <w:rPr>
          <w:rFonts w:eastAsia="Calibri"/>
          <w:iCs/>
          <w:sz w:val="22"/>
          <w:szCs w:val="22"/>
        </w:rPr>
      </w:pPr>
    </w:p>
    <w:p w14:paraId="4C3344FF" w14:textId="3120BBFC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t xml:space="preserve">Ukupni planirani rashodi poslovanja u ovom Prijedlogu I. izmjena i dopuna su </w:t>
      </w:r>
      <w:r w:rsidR="00630F1C" w:rsidRPr="00663995">
        <w:rPr>
          <w:rFonts w:eastAsia="Calibri"/>
          <w:sz w:val="22"/>
          <w:szCs w:val="22"/>
        </w:rPr>
        <w:t>841.405</w:t>
      </w:r>
      <w:r w:rsidRPr="00663995">
        <w:rPr>
          <w:rFonts w:eastAsia="Calibri"/>
          <w:sz w:val="22"/>
          <w:szCs w:val="22"/>
        </w:rPr>
        <w:t xml:space="preserve"> €, a </w:t>
      </w:r>
      <w:r w:rsidR="00630F1C" w:rsidRPr="00663995">
        <w:rPr>
          <w:rFonts w:eastAsia="Calibri"/>
          <w:sz w:val="22"/>
          <w:szCs w:val="22"/>
        </w:rPr>
        <w:t xml:space="preserve">uvećali </w:t>
      </w:r>
      <w:r w:rsidRPr="00663995">
        <w:rPr>
          <w:rFonts w:eastAsia="Calibri"/>
          <w:sz w:val="22"/>
          <w:szCs w:val="22"/>
        </w:rPr>
        <w:t xml:space="preserve"> smo ih za iznos od </w:t>
      </w:r>
      <w:r w:rsidR="00A06FC8" w:rsidRPr="00663995">
        <w:rPr>
          <w:rFonts w:eastAsia="Calibri"/>
          <w:sz w:val="22"/>
          <w:szCs w:val="22"/>
        </w:rPr>
        <w:t>145.617</w:t>
      </w:r>
      <w:r w:rsidRPr="00663995">
        <w:rPr>
          <w:rFonts w:eastAsia="Calibri"/>
          <w:sz w:val="22"/>
          <w:szCs w:val="22"/>
        </w:rPr>
        <w:t xml:space="preserve"> € te sad iznose 9</w:t>
      </w:r>
      <w:r w:rsidR="00A06FC8" w:rsidRPr="00663995">
        <w:rPr>
          <w:rFonts w:eastAsia="Calibri"/>
          <w:sz w:val="22"/>
          <w:szCs w:val="22"/>
        </w:rPr>
        <w:t>87.022</w:t>
      </w:r>
      <w:r w:rsidRPr="00663995">
        <w:rPr>
          <w:rFonts w:eastAsia="Calibri"/>
          <w:sz w:val="22"/>
          <w:szCs w:val="22"/>
        </w:rPr>
        <w:t xml:space="preserve"> €. Kapitalna ulaganja su planirana u iznosu od </w:t>
      </w:r>
      <w:r w:rsidR="00FE30E5" w:rsidRPr="00663995">
        <w:rPr>
          <w:rFonts w:eastAsia="Calibri"/>
          <w:sz w:val="22"/>
          <w:szCs w:val="22"/>
        </w:rPr>
        <w:t>65.300</w:t>
      </w:r>
      <w:r w:rsidRPr="00663995">
        <w:rPr>
          <w:rFonts w:eastAsia="Calibri"/>
          <w:sz w:val="22"/>
          <w:szCs w:val="22"/>
        </w:rPr>
        <w:t xml:space="preserve"> €, a njihovo smanjenje u odnosu na plan 202</w:t>
      </w:r>
      <w:r w:rsidR="00FE30E5" w:rsidRPr="00663995">
        <w:rPr>
          <w:rFonts w:eastAsia="Calibri"/>
          <w:sz w:val="22"/>
          <w:szCs w:val="22"/>
        </w:rPr>
        <w:t>5</w:t>
      </w:r>
      <w:r w:rsidRPr="00663995">
        <w:rPr>
          <w:rFonts w:eastAsia="Calibri"/>
          <w:sz w:val="22"/>
          <w:szCs w:val="22"/>
        </w:rPr>
        <w:t xml:space="preserve">. iznosi </w:t>
      </w:r>
      <w:r w:rsidR="00FE30E5" w:rsidRPr="00663995">
        <w:rPr>
          <w:rFonts w:eastAsia="Calibri"/>
          <w:sz w:val="22"/>
          <w:szCs w:val="22"/>
        </w:rPr>
        <w:t>44.200</w:t>
      </w:r>
      <w:r w:rsidRPr="00663995">
        <w:rPr>
          <w:rFonts w:eastAsia="Calibri"/>
          <w:sz w:val="22"/>
          <w:szCs w:val="22"/>
        </w:rPr>
        <w:t xml:space="preserve"> € kn. </w:t>
      </w:r>
    </w:p>
    <w:p w14:paraId="65EABF87" w14:textId="05548A4B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Planirani su rashodi za zaposlene</w:t>
      </w:r>
      <w:r w:rsidRPr="00663995">
        <w:rPr>
          <w:rFonts w:eastAsia="Calibri"/>
          <w:sz w:val="22"/>
          <w:szCs w:val="22"/>
        </w:rPr>
        <w:t xml:space="preserve"> i to u ukupnom iznosu od </w:t>
      </w:r>
      <w:r w:rsidR="00F34249" w:rsidRPr="00663995">
        <w:rPr>
          <w:rFonts w:eastAsia="Calibri"/>
          <w:sz w:val="22"/>
          <w:szCs w:val="22"/>
        </w:rPr>
        <w:t>413.745</w:t>
      </w:r>
      <w:r w:rsidRPr="00663995">
        <w:rPr>
          <w:rFonts w:eastAsia="Calibri"/>
          <w:sz w:val="22"/>
          <w:szCs w:val="22"/>
        </w:rPr>
        <w:t xml:space="preserve"> € koje smo povećali za iznos od </w:t>
      </w:r>
      <w:r w:rsidR="00F34249" w:rsidRPr="00663995">
        <w:rPr>
          <w:rFonts w:eastAsia="Calibri"/>
          <w:sz w:val="22"/>
          <w:szCs w:val="22"/>
        </w:rPr>
        <w:t>155.330</w:t>
      </w:r>
      <w:r w:rsidRPr="00663995">
        <w:rPr>
          <w:rFonts w:eastAsia="Calibri"/>
          <w:sz w:val="22"/>
          <w:szCs w:val="22"/>
        </w:rPr>
        <w:t xml:space="preserve"> €. Navedeni rashodi su rashodi za plaće i ostali rashodi za zaposlene na bazi 16 djelatnika. </w:t>
      </w:r>
    </w:p>
    <w:p w14:paraId="79C29686" w14:textId="18FF061A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Materijalni rashodi</w:t>
      </w:r>
      <w:r w:rsidRPr="00663995">
        <w:rPr>
          <w:rFonts w:eastAsia="Calibri"/>
          <w:sz w:val="22"/>
          <w:szCs w:val="22"/>
        </w:rPr>
        <w:t xml:space="preserve"> planirani su u skladu s potrebama i troškovima poslovanja. Planirani materijalni rashodi </w:t>
      </w:r>
      <w:r w:rsidR="00A83E34" w:rsidRPr="00663995">
        <w:rPr>
          <w:rFonts w:eastAsia="Calibri"/>
          <w:sz w:val="22"/>
          <w:szCs w:val="22"/>
        </w:rPr>
        <w:t>uvećani</w:t>
      </w:r>
      <w:r w:rsidRPr="00663995">
        <w:rPr>
          <w:rFonts w:eastAsia="Calibri"/>
          <w:sz w:val="22"/>
          <w:szCs w:val="22"/>
        </w:rPr>
        <w:t xml:space="preserve"> su za iznos od </w:t>
      </w:r>
      <w:r w:rsidR="00A83E34" w:rsidRPr="00663995">
        <w:rPr>
          <w:rFonts w:eastAsia="Calibri"/>
          <w:sz w:val="22"/>
          <w:szCs w:val="22"/>
        </w:rPr>
        <w:t>34.487</w:t>
      </w:r>
      <w:r w:rsidRPr="00663995">
        <w:rPr>
          <w:rFonts w:eastAsia="Calibri"/>
          <w:sz w:val="22"/>
          <w:szCs w:val="22"/>
        </w:rPr>
        <w:t xml:space="preserve"> €, te novi plan iznosi </w:t>
      </w:r>
      <w:r w:rsidR="00A83E34" w:rsidRPr="00663995">
        <w:rPr>
          <w:rFonts w:eastAsia="Calibri"/>
          <w:sz w:val="22"/>
          <w:szCs w:val="22"/>
        </w:rPr>
        <w:t>395.747</w:t>
      </w:r>
      <w:r w:rsidRPr="00663995">
        <w:rPr>
          <w:rFonts w:eastAsia="Calibri"/>
          <w:sz w:val="22"/>
          <w:szCs w:val="22"/>
        </w:rPr>
        <w:t xml:space="preserve"> €.</w:t>
      </w:r>
    </w:p>
    <w:p w14:paraId="415669AB" w14:textId="187D06FD" w:rsidR="00E85023" w:rsidRPr="00663995" w:rsidRDefault="003D7B0C" w:rsidP="00E85023">
      <w:pPr>
        <w:spacing w:line="276" w:lineRule="auto"/>
        <w:contextualSpacing/>
        <w:jc w:val="both"/>
        <w:rPr>
          <w:rFonts w:eastAsia="Calibri"/>
          <w:iCs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Financijske rashode</w:t>
      </w:r>
      <w:r w:rsidRPr="00663995">
        <w:rPr>
          <w:rFonts w:eastAsia="Calibri"/>
          <w:sz w:val="22"/>
          <w:szCs w:val="22"/>
        </w:rPr>
        <w:t xml:space="preserve"> </w:t>
      </w:r>
      <w:bookmarkStart w:id="5" w:name="_Hlk200628524"/>
      <w:r w:rsidR="00E85023" w:rsidRPr="00663995">
        <w:rPr>
          <w:rFonts w:eastAsia="Calibri"/>
          <w:iCs/>
          <w:sz w:val="22"/>
          <w:szCs w:val="22"/>
        </w:rPr>
        <w:t>planirali smo u iznosu od 1</w:t>
      </w:r>
      <w:r w:rsidR="00F77947" w:rsidRPr="00663995">
        <w:rPr>
          <w:rFonts w:eastAsia="Calibri"/>
          <w:iCs/>
          <w:sz w:val="22"/>
          <w:szCs w:val="22"/>
        </w:rPr>
        <w:t>.1</w:t>
      </w:r>
      <w:r w:rsidR="00E85023" w:rsidRPr="00663995">
        <w:rPr>
          <w:rFonts w:eastAsia="Calibri"/>
          <w:iCs/>
          <w:sz w:val="22"/>
          <w:szCs w:val="22"/>
        </w:rPr>
        <w:t xml:space="preserve">00 € te kao </w:t>
      </w:r>
      <w:r w:rsidR="00F77947" w:rsidRPr="00663995">
        <w:rPr>
          <w:rFonts w:eastAsia="Calibri"/>
          <w:iCs/>
          <w:sz w:val="22"/>
          <w:szCs w:val="22"/>
        </w:rPr>
        <w:t xml:space="preserve">takvi </w:t>
      </w:r>
      <w:r w:rsidR="00E85023" w:rsidRPr="00663995">
        <w:rPr>
          <w:rFonts w:eastAsia="Calibri"/>
          <w:iCs/>
          <w:sz w:val="22"/>
          <w:szCs w:val="22"/>
        </w:rPr>
        <w:t>ostaj</w:t>
      </w:r>
      <w:r w:rsidR="00F77947" w:rsidRPr="00663995">
        <w:rPr>
          <w:rFonts w:eastAsia="Calibri"/>
          <w:iCs/>
          <w:sz w:val="22"/>
          <w:szCs w:val="22"/>
        </w:rPr>
        <w:t>u</w:t>
      </w:r>
      <w:r w:rsidR="00E85023" w:rsidRPr="00663995">
        <w:rPr>
          <w:rFonts w:eastAsia="Calibri"/>
          <w:iCs/>
          <w:sz w:val="22"/>
          <w:szCs w:val="22"/>
        </w:rPr>
        <w:t xml:space="preserve"> nepromijenjen</w:t>
      </w:r>
      <w:r w:rsidR="00F77947" w:rsidRPr="00663995">
        <w:rPr>
          <w:rFonts w:eastAsia="Calibri"/>
          <w:iCs/>
          <w:sz w:val="22"/>
          <w:szCs w:val="22"/>
        </w:rPr>
        <w:t>i</w:t>
      </w:r>
      <w:r w:rsidR="00E85023" w:rsidRPr="00663995">
        <w:rPr>
          <w:rFonts w:eastAsia="Calibri"/>
          <w:iCs/>
          <w:sz w:val="22"/>
          <w:szCs w:val="22"/>
        </w:rPr>
        <w:t>.</w:t>
      </w:r>
    </w:p>
    <w:bookmarkEnd w:id="5"/>
    <w:p w14:paraId="0C23B4AE" w14:textId="4EBA66FC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Rashode za nabavu nefinancijske imovine</w:t>
      </w:r>
      <w:r w:rsidRPr="00663995">
        <w:rPr>
          <w:rFonts w:eastAsia="Calibri"/>
          <w:sz w:val="22"/>
          <w:szCs w:val="22"/>
        </w:rPr>
        <w:t xml:space="preserve"> smanjili smo za iznos od </w:t>
      </w:r>
      <w:r w:rsidR="009F7AAA" w:rsidRPr="00663995">
        <w:rPr>
          <w:rFonts w:eastAsia="Calibri"/>
          <w:sz w:val="22"/>
          <w:szCs w:val="22"/>
        </w:rPr>
        <w:t>44.200</w:t>
      </w:r>
      <w:r w:rsidRPr="00663995">
        <w:rPr>
          <w:rFonts w:eastAsia="Calibri"/>
          <w:sz w:val="22"/>
          <w:szCs w:val="22"/>
        </w:rPr>
        <w:t xml:space="preserve"> € za nabavu videonadzora za  2 zgrade kojima upravlja POU Koprivnica, </w:t>
      </w:r>
      <w:r w:rsidR="005E7B79" w:rsidRPr="00663995">
        <w:rPr>
          <w:rFonts w:eastAsia="Calibri"/>
          <w:sz w:val="22"/>
          <w:szCs w:val="22"/>
        </w:rPr>
        <w:t xml:space="preserve">rekonstrukciju postojećeg sustava </w:t>
      </w:r>
      <w:proofErr w:type="spellStart"/>
      <w:r w:rsidR="005E7B79" w:rsidRPr="00663995">
        <w:rPr>
          <w:rFonts w:eastAsia="Calibri"/>
          <w:sz w:val="22"/>
          <w:szCs w:val="22"/>
        </w:rPr>
        <w:t>ventilokonvektorskog</w:t>
      </w:r>
      <w:proofErr w:type="spellEnd"/>
      <w:r w:rsidR="005E7B79" w:rsidRPr="00663995">
        <w:rPr>
          <w:rFonts w:eastAsia="Calibri"/>
          <w:sz w:val="22"/>
          <w:szCs w:val="22"/>
        </w:rPr>
        <w:t xml:space="preserve"> grijanja/hlađenja kina Velebit</w:t>
      </w:r>
      <w:r w:rsidR="00FD314A" w:rsidRPr="00663995">
        <w:rPr>
          <w:rFonts w:eastAsia="Calibri"/>
          <w:sz w:val="22"/>
          <w:szCs w:val="22"/>
        </w:rPr>
        <w:t xml:space="preserve"> te nabavu klima uređ</w:t>
      </w:r>
      <w:r w:rsidR="002219E2" w:rsidRPr="00663995">
        <w:rPr>
          <w:rFonts w:eastAsia="Calibri"/>
          <w:sz w:val="22"/>
          <w:szCs w:val="22"/>
        </w:rPr>
        <w:t>a</w:t>
      </w:r>
      <w:r w:rsidR="00FD314A" w:rsidRPr="00663995">
        <w:rPr>
          <w:rFonts w:eastAsia="Calibri"/>
          <w:sz w:val="22"/>
          <w:szCs w:val="22"/>
        </w:rPr>
        <w:t>ja</w:t>
      </w:r>
      <w:r w:rsidRPr="00663995">
        <w:rPr>
          <w:rFonts w:eastAsia="Calibri"/>
          <w:sz w:val="22"/>
          <w:szCs w:val="22"/>
        </w:rPr>
        <w:t>. Navedeni iznos uključuje i smanjenje od 20.000 EUR  za kapitalne pomoći od strane nenadležnog proračuna.</w:t>
      </w:r>
    </w:p>
    <w:p w14:paraId="50D725D1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68D29C03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b/>
          <w:bCs/>
          <w:i/>
          <w:iCs/>
          <w:sz w:val="22"/>
          <w:szCs w:val="22"/>
        </w:rPr>
      </w:pPr>
      <w:r w:rsidRPr="00663995">
        <w:rPr>
          <w:rFonts w:eastAsia="Calibri"/>
          <w:b/>
          <w:bCs/>
          <w:i/>
          <w:iCs/>
          <w:sz w:val="22"/>
          <w:szCs w:val="22"/>
        </w:rPr>
        <w:t>Prihodi i rashodi po izvorima financiranja</w:t>
      </w:r>
    </w:p>
    <w:p w14:paraId="72B81E2A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1C6A33DC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t>PRIHODI</w:t>
      </w:r>
    </w:p>
    <w:p w14:paraId="3154497A" w14:textId="1F066E1A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iCs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Opći prihodi i primici</w:t>
      </w:r>
      <w:r w:rsidRPr="00663995">
        <w:rPr>
          <w:rFonts w:eastAsia="Calibri"/>
          <w:sz w:val="22"/>
          <w:szCs w:val="22"/>
        </w:rPr>
        <w:t xml:space="preserve"> (izvor 1), planiran</w:t>
      </w:r>
      <w:r w:rsidR="00487CDD" w:rsidRPr="00663995">
        <w:rPr>
          <w:rFonts w:eastAsia="Calibri"/>
          <w:sz w:val="22"/>
          <w:szCs w:val="22"/>
        </w:rPr>
        <w:t>i su</w:t>
      </w:r>
      <w:r w:rsidRPr="00663995">
        <w:rPr>
          <w:rFonts w:eastAsia="Calibri"/>
          <w:sz w:val="22"/>
          <w:szCs w:val="22"/>
        </w:rPr>
        <w:t xml:space="preserve"> u visini od </w:t>
      </w:r>
      <w:r w:rsidR="00535796" w:rsidRPr="00663995">
        <w:rPr>
          <w:rFonts w:eastAsia="Calibri"/>
          <w:sz w:val="22"/>
          <w:szCs w:val="22"/>
        </w:rPr>
        <w:t>617.837.</w:t>
      </w:r>
      <w:r w:rsidRPr="00663995">
        <w:rPr>
          <w:rFonts w:eastAsia="Calibri"/>
          <w:sz w:val="22"/>
          <w:szCs w:val="22"/>
        </w:rPr>
        <w:t xml:space="preserve"> € u skladu s dogovorom i limitima danim od strane Osnivača. </w:t>
      </w:r>
      <w:r w:rsidRPr="00663995">
        <w:rPr>
          <w:rFonts w:eastAsia="Calibri"/>
          <w:iCs/>
          <w:sz w:val="22"/>
          <w:szCs w:val="22"/>
        </w:rPr>
        <w:t>Prihod</w:t>
      </w:r>
      <w:r w:rsidR="00CE7F87" w:rsidRPr="00663995">
        <w:rPr>
          <w:rFonts w:eastAsia="Calibri"/>
          <w:iCs/>
          <w:sz w:val="22"/>
          <w:szCs w:val="22"/>
        </w:rPr>
        <w:t>e smo</w:t>
      </w:r>
      <w:r w:rsidRPr="00663995">
        <w:rPr>
          <w:rFonts w:eastAsia="Calibri"/>
          <w:iCs/>
          <w:sz w:val="22"/>
          <w:szCs w:val="22"/>
        </w:rPr>
        <w:t xml:space="preserve"> poveća</w:t>
      </w:r>
      <w:r w:rsidR="00EB6F58" w:rsidRPr="00663995">
        <w:rPr>
          <w:rFonts w:eastAsia="Calibri"/>
          <w:iCs/>
          <w:sz w:val="22"/>
          <w:szCs w:val="22"/>
        </w:rPr>
        <w:t>li</w:t>
      </w:r>
      <w:r w:rsidRPr="00663995">
        <w:rPr>
          <w:rFonts w:eastAsia="Calibri"/>
          <w:iCs/>
          <w:sz w:val="22"/>
          <w:szCs w:val="22"/>
        </w:rPr>
        <w:t xml:space="preserve"> za iznos od </w:t>
      </w:r>
      <w:r w:rsidR="0077126F" w:rsidRPr="00663995">
        <w:rPr>
          <w:rFonts w:eastAsia="Calibri"/>
          <w:iCs/>
          <w:sz w:val="22"/>
          <w:szCs w:val="22"/>
        </w:rPr>
        <w:t>166.937</w:t>
      </w:r>
      <w:r w:rsidRPr="00663995">
        <w:rPr>
          <w:rFonts w:eastAsia="Calibri"/>
          <w:iCs/>
          <w:sz w:val="22"/>
          <w:szCs w:val="22"/>
        </w:rPr>
        <w:t xml:space="preserve"> € zbog potrebnih financijskih sredstava ostalih rashoda za zaposlene do kraja godine za djelatnike POU Koprivnica.</w:t>
      </w:r>
    </w:p>
    <w:p w14:paraId="09939CE6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iCs/>
          <w:sz w:val="22"/>
          <w:szCs w:val="22"/>
        </w:rPr>
      </w:pPr>
    </w:p>
    <w:p w14:paraId="7EF6D348" w14:textId="56DF9FB3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Vlastiti prihodi</w:t>
      </w:r>
      <w:r w:rsidRPr="00663995">
        <w:rPr>
          <w:rFonts w:eastAsia="Calibri"/>
          <w:sz w:val="22"/>
          <w:szCs w:val="22"/>
        </w:rPr>
        <w:t xml:space="preserve"> (izvor </w:t>
      </w:r>
      <w:r w:rsidR="00111557" w:rsidRPr="00663995">
        <w:rPr>
          <w:rFonts w:eastAsia="Calibri"/>
          <w:sz w:val="22"/>
          <w:szCs w:val="22"/>
        </w:rPr>
        <w:t>3</w:t>
      </w:r>
      <w:r w:rsidRPr="00663995">
        <w:rPr>
          <w:rFonts w:eastAsia="Calibri"/>
          <w:sz w:val="22"/>
          <w:szCs w:val="22"/>
        </w:rPr>
        <w:t>) za 202</w:t>
      </w:r>
      <w:r w:rsidR="005140A5" w:rsidRPr="00663995">
        <w:rPr>
          <w:rFonts w:eastAsia="Calibri"/>
          <w:sz w:val="22"/>
          <w:szCs w:val="22"/>
        </w:rPr>
        <w:t>5</w:t>
      </w:r>
      <w:r w:rsidRPr="00663995">
        <w:rPr>
          <w:rFonts w:eastAsia="Calibri"/>
          <w:sz w:val="22"/>
          <w:szCs w:val="22"/>
        </w:rPr>
        <w:t xml:space="preserve">. planirani se u iznosu od </w:t>
      </w:r>
      <w:r w:rsidR="00E23CD2" w:rsidRPr="00663995">
        <w:rPr>
          <w:rFonts w:eastAsia="Calibri"/>
          <w:sz w:val="22"/>
          <w:szCs w:val="22"/>
        </w:rPr>
        <w:t>252.840</w:t>
      </w:r>
      <w:r w:rsidRPr="00663995">
        <w:rPr>
          <w:rFonts w:eastAsia="Calibri"/>
          <w:sz w:val="22"/>
          <w:szCs w:val="22"/>
        </w:rPr>
        <w:t xml:space="preserve"> €</w:t>
      </w:r>
      <w:r w:rsidR="005140A5" w:rsidRPr="00663995">
        <w:rPr>
          <w:rFonts w:eastAsia="Calibri"/>
          <w:sz w:val="22"/>
          <w:szCs w:val="22"/>
        </w:rPr>
        <w:t>,</w:t>
      </w:r>
      <w:r w:rsidRPr="00663995">
        <w:rPr>
          <w:rFonts w:eastAsia="Calibri"/>
          <w:sz w:val="22"/>
          <w:szCs w:val="22"/>
        </w:rPr>
        <w:t xml:space="preserve"> no </w:t>
      </w:r>
      <w:r w:rsidR="00E23CD2" w:rsidRPr="00663995">
        <w:rPr>
          <w:rFonts w:eastAsia="Calibri"/>
          <w:sz w:val="22"/>
          <w:szCs w:val="22"/>
        </w:rPr>
        <w:t xml:space="preserve">povećali </w:t>
      </w:r>
      <w:r w:rsidR="005140A5" w:rsidRPr="00663995">
        <w:rPr>
          <w:rFonts w:eastAsia="Calibri"/>
          <w:sz w:val="22"/>
          <w:szCs w:val="22"/>
        </w:rPr>
        <w:t xml:space="preserve">smo ih </w:t>
      </w:r>
      <w:r w:rsidRPr="00663995">
        <w:rPr>
          <w:rFonts w:eastAsia="Calibri"/>
          <w:sz w:val="22"/>
          <w:szCs w:val="22"/>
        </w:rPr>
        <w:t xml:space="preserve">u iznosu od </w:t>
      </w:r>
      <w:r w:rsidR="005140A5" w:rsidRPr="00663995">
        <w:rPr>
          <w:rFonts w:eastAsia="Calibri"/>
          <w:sz w:val="22"/>
          <w:szCs w:val="22"/>
        </w:rPr>
        <w:t>60.800</w:t>
      </w:r>
      <w:r w:rsidRPr="00663995">
        <w:rPr>
          <w:rFonts w:eastAsia="Calibri"/>
          <w:sz w:val="22"/>
          <w:szCs w:val="22"/>
        </w:rPr>
        <w:t xml:space="preserve"> €, a odnose se na prihode od najma i usluga iz programske djelatnosti.</w:t>
      </w:r>
    </w:p>
    <w:p w14:paraId="5E14660B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4F9B9B9F" w14:textId="4C451861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Prihodi od pomoći</w:t>
      </w:r>
      <w:r w:rsidRPr="00663995">
        <w:rPr>
          <w:rFonts w:eastAsia="Calibri"/>
          <w:sz w:val="22"/>
          <w:szCs w:val="22"/>
        </w:rPr>
        <w:t xml:space="preserve"> (izvor </w:t>
      </w:r>
      <w:r w:rsidR="00085C1E" w:rsidRPr="00663995">
        <w:rPr>
          <w:rFonts w:eastAsia="Calibri"/>
          <w:sz w:val="22"/>
          <w:szCs w:val="22"/>
        </w:rPr>
        <w:t>5</w:t>
      </w:r>
      <w:r w:rsidRPr="00663995">
        <w:rPr>
          <w:rFonts w:eastAsia="Calibri"/>
          <w:sz w:val="22"/>
          <w:szCs w:val="22"/>
        </w:rPr>
        <w:t>) obuhvaćaju pomoć od Ministarstva kulture i medija RH i Ministarstva obrazovanja i znanosti, kao i pomoć od EU za sufinanciranje programske djelatnosti, rekonstrukciju dvorane Domoljub te sredstva za provođenje Erasmus+ programa sukladno ugovoru o financiranju. Planirani prihod iznosi za 202</w:t>
      </w:r>
      <w:r w:rsidR="003C4DAF" w:rsidRPr="00663995">
        <w:rPr>
          <w:rFonts w:eastAsia="Calibri"/>
          <w:sz w:val="22"/>
          <w:szCs w:val="22"/>
        </w:rPr>
        <w:t>5</w:t>
      </w:r>
      <w:r w:rsidRPr="00663995">
        <w:rPr>
          <w:rFonts w:eastAsia="Calibri"/>
          <w:sz w:val="22"/>
          <w:szCs w:val="22"/>
        </w:rPr>
        <w:t xml:space="preserve">. godinu  </w:t>
      </w:r>
      <w:r w:rsidR="00E115D4" w:rsidRPr="00663995">
        <w:rPr>
          <w:rFonts w:eastAsia="Calibri"/>
          <w:sz w:val="22"/>
          <w:szCs w:val="22"/>
        </w:rPr>
        <w:t>96.965</w:t>
      </w:r>
      <w:r w:rsidRPr="00663995">
        <w:rPr>
          <w:rFonts w:eastAsia="Calibri"/>
          <w:sz w:val="22"/>
          <w:szCs w:val="22"/>
        </w:rPr>
        <w:t xml:space="preserve"> €. Navedeni iznos smanjili smo za iznos od </w:t>
      </w:r>
      <w:r w:rsidR="00E115D4" w:rsidRPr="00663995">
        <w:rPr>
          <w:rFonts w:eastAsia="Calibri"/>
          <w:sz w:val="22"/>
          <w:szCs w:val="22"/>
        </w:rPr>
        <w:t>15.801</w:t>
      </w:r>
      <w:r w:rsidRPr="00663995">
        <w:rPr>
          <w:rFonts w:eastAsia="Calibri"/>
          <w:sz w:val="22"/>
          <w:szCs w:val="22"/>
        </w:rPr>
        <w:t xml:space="preserve"> €. Najveći iznos smanjenja odnosi se na planirana sredstva iz  nenadležnog proračuna za rashode za nabavu nefinancijske imovine.</w:t>
      </w:r>
    </w:p>
    <w:p w14:paraId="759FB01A" w14:textId="77777777" w:rsidR="00F363F2" w:rsidRPr="00663995" w:rsidRDefault="00F363F2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7BDC9A7F" w14:textId="14A51A3B" w:rsidR="00F363F2" w:rsidRPr="00663995" w:rsidRDefault="00F363F2" w:rsidP="00F363F2">
      <w:pPr>
        <w:spacing w:line="276" w:lineRule="auto"/>
        <w:contextualSpacing/>
        <w:jc w:val="both"/>
        <w:rPr>
          <w:rFonts w:eastAsia="Calibri"/>
          <w:b/>
          <w:bCs/>
          <w:iCs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Prihodi od donacija</w:t>
      </w:r>
      <w:r w:rsidR="00085C1E" w:rsidRPr="00663995">
        <w:rPr>
          <w:rFonts w:eastAsia="Calibri"/>
          <w:b/>
          <w:bCs/>
          <w:sz w:val="22"/>
          <w:szCs w:val="22"/>
        </w:rPr>
        <w:t xml:space="preserve"> </w:t>
      </w:r>
      <w:r w:rsidR="00085C1E" w:rsidRPr="00663995">
        <w:rPr>
          <w:rFonts w:eastAsia="Calibri"/>
          <w:sz w:val="22"/>
          <w:szCs w:val="22"/>
        </w:rPr>
        <w:t>(izvor 6)</w:t>
      </w:r>
      <w:r w:rsidR="00085C1E" w:rsidRPr="009331A0">
        <w:rPr>
          <w:rFonts w:eastAsia="Calibri"/>
          <w:b/>
          <w:bCs/>
          <w:sz w:val="22"/>
          <w:szCs w:val="22"/>
        </w:rPr>
        <w:t xml:space="preserve"> </w:t>
      </w:r>
      <w:r w:rsidRPr="00663995">
        <w:rPr>
          <w:rFonts w:eastAsia="Calibri"/>
          <w:b/>
          <w:bCs/>
          <w:sz w:val="22"/>
          <w:szCs w:val="22"/>
        </w:rPr>
        <w:t xml:space="preserve"> </w:t>
      </w:r>
      <w:r w:rsidRPr="00663995">
        <w:rPr>
          <w:rFonts w:eastAsia="Calibri"/>
          <w:iCs/>
          <w:sz w:val="22"/>
          <w:szCs w:val="22"/>
        </w:rPr>
        <w:t>planirali smo u iznosu od 700 € te kao takvi ostaju nepromijenjeni.</w:t>
      </w:r>
    </w:p>
    <w:p w14:paraId="3941D617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2DBF004E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lastRenderedPageBreak/>
        <w:t>RASHODI</w:t>
      </w:r>
    </w:p>
    <w:p w14:paraId="137B82E9" w14:textId="231DB4E9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iCs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Općim prihodima i primicima</w:t>
      </w:r>
      <w:r w:rsidRPr="00663995">
        <w:rPr>
          <w:rFonts w:eastAsia="Calibri"/>
          <w:sz w:val="22"/>
          <w:szCs w:val="22"/>
        </w:rPr>
        <w:t xml:space="preserve"> (izvor 1) financirani su rashodi za zaposlene, uredski materijal i ostali materijalni rashodi, financijski rashodi i rashodi za nabavu dugotrajne imovine, te su za 202</w:t>
      </w:r>
      <w:r w:rsidR="00110006" w:rsidRPr="00663995">
        <w:rPr>
          <w:rFonts w:eastAsia="Calibri"/>
          <w:sz w:val="22"/>
          <w:szCs w:val="22"/>
        </w:rPr>
        <w:t>5</w:t>
      </w:r>
      <w:r w:rsidRPr="00663995">
        <w:rPr>
          <w:rFonts w:eastAsia="Calibri"/>
          <w:sz w:val="22"/>
          <w:szCs w:val="22"/>
        </w:rPr>
        <w:t xml:space="preserve">. planirani u iznosu od </w:t>
      </w:r>
      <w:r w:rsidR="00667DFF" w:rsidRPr="00663995">
        <w:rPr>
          <w:rFonts w:eastAsia="Calibri"/>
          <w:sz w:val="22"/>
          <w:szCs w:val="22"/>
        </w:rPr>
        <w:t>450.900</w:t>
      </w:r>
      <w:r w:rsidRPr="00663995">
        <w:rPr>
          <w:rFonts w:eastAsia="Calibri"/>
          <w:sz w:val="22"/>
          <w:szCs w:val="22"/>
        </w:rPr>
        <w:t xml:space="preserve"> €, a povećavamo ih za iznos od </w:t>
      </w:r>
      <w:r w:rsidR="00110006" w:rsidRPr="00663995">
        <w:rPr>
          <w:rFonts w:eastAsia="Calibri"/>
          <w:sz w:val="22"/>
          <w:szCs w:val="22"/>
        </w:rPr>
        <w:t>1</w:t>
      </w:r>
      <w:r w:rsidR="00667DFF" w:rsidRPr="00663995">
        <w:rPr>
          <w:rFonts w:eastAsia="Calibri"/>
          <w:sz w:val="22"/>
          <w:szCs w:val="22"/>
        </w:rPr>
        <w:t>55.970</w:t>
      </w:r>
      <w:r w:rsidRPr="00663995">
        <w:rPr>
          <w:rFonts w:eastAsia="Calibri"/>
          <w:sz w:val="22"/>
          <w:szCs w:val="22"/>
        </w:rPr>
        <w:t xml:space="preserve"> €</w:t>
      </w:r>
      <w:r w:rsidRPr="00663995">
        <w:rPr>
          <w:rFonts w:eastAsia="Calibri"/>
          <w:iCs/>
          <w:sz w:val="22"/>
          <w:szCs w:val="22"/>
        </w:rPr>
        <w:t xml:space="preserve"> za potrebe ostalih rashoda za zaposlene do kraja godine</w:t>
      </w:r>
      <w:r w:rsidR="00667DFF" w:rsidRPr="00663995">
        <w:rPr>
          <w:rFonts w:eastAsia="Calibri"/>
          <w:iCs/>
          <w:sz w:val="22"/>
          <w:szCs w:val="22"/>
        </w:rPr>
        <w:t xml:space="preserve"> te zakupnina i najamnina za kazališne pred</w:t>
      </w:r>
      <w:r w:rsidR="00807A83" w:rsidRPr="00663995">
        <w:rPr>
          <w:rFonts w:eastAsia="Calibri"/>
          <w:iCs/>
          <w:sz w:val="22"/>
          <w:szCs w:val="22"/>
        </w:rPr>
        <w:t>stave</w:t>
      </w:r>
      <w:r w:rsidRPr="00663995">
        <w:rPr>
          <w:rFonts w:eastAsia="Calibri"/>
          <w:iCs/>
          <w:sz w:val="22"/>
          <w:szCs w:val="22"/>
        </w:rPr>
        <w:t>.</w:t>
      </w:r>
    </w:p>
    <w:p w14:paraId="0459DE91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06BC23D1" w14:textId="2543C8F5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Vlastitim prihodima</w:t>
      </w:r>
      <w:r w:rsidRPr="00663995">
        <w:rPr>
          <w:rFonts w:eastAsia="Calibri"/>
          <w:sz w:val="22"/>
          <w:szCs w:val="22"/>
        </w:rPr>
        <w:t xml:space="preserve"> (izvor</w:t>
      </w:r>
      <w:r w:rsidR="00085C1E" w:rsidRPr="00663995">
        <w:rPr>
          <w:rFonts w:eastAsia="Calibri"/>
          <w:sz w:val="22"/>
          <w:szCs w:val="22"/>
        </w:rPr>
        <w:t xml:space="preserve"> </w:t>
      </w:r>
      <w:r w:rsidR="006D557A" w:rsidRPr="00663995">
        <w:rPr>
          <w:rFonts w:eastAsia="Calibri"/>
          <w:sz w:val="22"/>
          <w:szCs w:val="22"/>
        </w:rPr>
        <w:t>3</w:t>
      </w:r>
      <w:r w:rsidRPr="00663995">
        <w:rPr>
          <w:rFonts w:eastAsia="Calibri"/>
          <w:sz w:val="22"/>
          <w:szCs w:val="22"/>
        </w:rPr>
        <w:t xml:space="preserve">) financirani su materijalni rashodi, rashod za zaposlene, financijski rashodi i rashodi za nabavu nefinancijske imovine u iznosu od </w:t>
      </w:r>
      <w:r w:rsidR="00807A83" w:rsidRPr="00663995">
        <w:rPr>
          <w:rFonts w:eastAsia="Calibri"/>
          <w:sz w:val="22"/>
          <w:szCs w:val="22"/>
        </w:rPr>
        <w:t>2</w:t>
      </w:r>
      <w:r w:rsidR="000F66B5" w:rsidRPr="00663995">
        <w:rPr>
          <w:rFonts w:eastAsia="Calibri"/>
          <w:sz w:val="22"/>
          <w:szCs w:val="22"/>
        </w:rPr>
        <w:t>92.840</w:t>
      </w:r>
      <w:r w:rsidRPr="00663995">
        <w:rPr>
          <w:rFonts w:eastAsia="Calibri"/>
          <w:sz w:val="22"/>
          <w:szCs w:val="22"/>
        </w:rPr>
        <w:t xml:space="preserve"> €, a </w:t>
      </w:r>
      <w:r w:rsidR="000B7832" w:rsidRPr="00663995">
        <w:rPr>
          <w:rFonts w:eastAsia="Calibri"/>
          <w:sz w:val="22"/>
          <w:szCs w:val="22"/>
        </w:rPr>
        <w:t>povećanje</w:t>
      </w:r>
      <w:r w:rsidRPr="00663995">
        <w:rPr>
          <w:rFonts w:eastAsia="Calibri"/>
          <w:sz w:val="22"/>
          <w:szCs w:val="22"/>
        </w:rPr>
        <w:t xml:space="preserve"> iznosi </w:t>
      </w:r>
      <w:r w:rsidR="000F66B5" w:rsidRPr="00663995">
        <w:rPr>
          <w:rFonts w:eastAsia="Calibri"/>
          <w:sz w:val="22"/>
          <w:szCs w:val="22"/>
        </w:rPr>
        <w:t>24.003</w:t>
      </w:r>
      <w:r w:rsidRPr="00663995">
        <w:rPr>
          <w:rFonts w:eastAsia="Calibri"/>
          <w:sz w:val="22"/>
          <w:szCs w:val="22"/>
        </w:rPr>
        <w:t xml:space="preserve"> € za troškove rashoda za materijaln</w:t>
      </w:r>
      <w:r w:rsidR="000B7832" w:rsidRPr="00663995">
        <w:rPr>
          <w:rFonts w:eastAsia="Calibri"/>
          <w:sz w:val="22"/>
          <w:szCs w:val="22"/>
        </w:rPr>
        <w:t>e</w:t>
      </w:r>
      <w:r w:rsidRPr="00663995">
        <w:rPr>
          <w:rFonts w:eastAsia="Calibri"/>
          <w:sz w:val="22"/>
          <w:szCs w:val="22"/>
        </w:rPr>
        <w:t xml:space="preserve"> troškove.</w:t>
      </w:r>
    </w:p>
    <w:p w14:paraId="7AB6B2CF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4DF69DA5" w14:textId="7899BC22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Pomoći</w:t>
      </w:r>
      <w:r w:rsidRPr="00663995">
        <w:rPr>
          <w:rFonts w:eastAsia="Calibri"/>
          <w:sz w:val="22"/>
          <w:szCs w:val="22"/>
        </w:rPr>
        <w:t xml:space="preserve"> (izvor </w:t>
      </w:r>
      <w:r w:rsidR="00085C1E" w:rsidRPr="00663995">
        <w:rPr>
          <w:rFonts w:eastAsia="Calibri"/>
          <w:sz w:val="22"/>
          <w:szCs w:val="22"/>
        </w:rPr>
        <w:t>5</w:t>
      </w:r>
      <w:r w:rsidRPr="00663995">
        <w:rPr>
          <w:rFonts w:eastAsia="Calibri"/>
          <w:sz w:val="22"/>
          <w:szCs w:val="22"/>
        </w:rPr>
        <w:t>) u 202</w:t>
      </w:r>
      <w:r w:rsidR="008907E7">
        <w:rPr>
          <w:rFonts w:eastAsia="Calibri"/>
          <w:sz w:val="22"/>
          <w:szCs w:val="22"/>
        </w:rPr>
        <w:t>5</w:t>
      </w:r>
      <w:r w:rsidRPr="00663995">
        <w:rPr>
          <w:rFonts w:eastAsia="Calibri"/>
          <w:sz w:val="22"/>
          <w:szCs w:val="22"/>
        </w:rPr>
        <w:t xml:space="preserve">. godini financiraju rashode za programsku djelatnost </w:t>
      </w:r>
      <w:r w:rsidR="00516C65" w:rsidRPr="00663995">
        <w:rPr>
          <w:rFonts w:eastAsia="Calibri"/>
          <w:sz w:val="22"/>
          <w:szCs w:val="22"/>
        </w:rPr>
        <w:t>u</w:t>
      </w:r>
      <w:r w:rsidRPr="00663995">
        <w:rPr>
          <w:rFonts w:eastAsia="Calibri"/>
          <w:sz w:val="22"/>
          <w:szCs w:val="22"/>
        </w:rPr>
        <w:t xml:space="preserve"> dvoran</w:t>
      </w:r>
      <w:r w:rsidR="00516C65" w:rsidRPr="00663995">
        <w:rPr>
          <w:rFonts w:eastAsia="Calibri"/>
          <w:sz w:val="22"/>
          <w:szCs w:val="22"/>
        </w:rPr>
        <w:t>i</w:t>
      </w:r>
      <w:r w:rsidRPr="00663995">
        <w:rPr>
          <w:rFonts w:eastAsia="Calibri"/>
          <w:sz w:val="22"/>
          <w:szCs w:val="22"/>
        </w:rPr>
        <w:t xml:space="preserve"> Domoljub, projekte Erasmus+ KA2 programa </w:t>
      </w:r>
      <w:proofErr w:type="spellStart"/>
      <w:r w:rsidRPr="00663995">
        <w:rPr>
          <w:rFonts w:eastAsia="Calibri"/>
          <w:sz w:val="22"/>
          <w:szCs w:val="22"/>
        </w:rPr>
        <w:t>Escape</w:t>
      </w:r>
      <w:proofErr w:type="spellEnd"/>
      <w:r w:rsidRPr="00663995">
        <w:rPr>
          <w:rFonts w:eastAsia="Calibri"/>
          <w:sz w:val="22"/>
          <w:szCs w:val="22"/>
        </w:rPr>
        <w:t xml:space="preserve"> to </w:t>
      </w:r>
      <w:proofErr w:type="spellStart"/>
      <w:r w:rsidRPr="00663995">
        <w:rPr>
          <w:rFonts w:eastAsia="Calibri"/>
          <w:sz w:val="22"/>
          <w:szCs w:val="22"/>
        </w:rPr>
        <w:t>happiness</w:t>
      </w:r>
      <w:proofErr w:type="spellEnd"/>
      <w:r w:rsidRPr="00663995">
        <w:rPr>
          <w:rFonts w:eastAsia="Calibri"/>
          <w:sz w:val="22"/>
          <w:szCs w:val="22"/>
        </w:rPr>
        <w:t>,</w:t>
      </w:r>
      <w:r w:rsidR="004022D9" w:rsidRPr="00663995">
        <w:rPr>
          <w:rFonts w:eastAsia="Calibri"/>
          <w:sz w:val="22"/>
          <w:szCs w:val="22"/>
        </w:rPr>
        <w:t xml:space="preserve"> BU</w:t>
      </w:r>
      <w:r w:rsidR="002E13FA" w:rsidRPr="00663995">
        <w:rPr>
          <w:rFonts w:eastAsia="Calibri"/>
          <w:sz w:val="22"/>
          <w:szCs w:val="22"/>
        </w:rPr>
        <w:t>.</w:t>
      </w:r>
      <w:r w:rsidR="004022D9" w:rsidRPr="00663995">
        <w:rPr>
          <w:rFonts w:eastAsia="Calibri"/>
          <w:sz w:val="22"/>
          <w:szCs w:val="22"/>
        </w:rPr>
        <w:t>BI</w:t>
      </w:r>
      <w:r w:rsidR="002E13FA" w:rsidRPr="00663995">
        <w:rPr>
          <w:rFonts w:eastAsia="Calibri"/>
          <w:sz w:val="22"/>
          <w:szCs w:val="22"/>
        </w:rPr>
        <w:t>.</w:t>
      </w:r>
      <w:r w:rsidR="002E13FA" w:rsidRPr="00663995">
        <w:rPr>
          <w:sz w:val="22"/>
          <w:szCs w:val="22"/>
        </w:rPr>
        <w:t xml:space="preserve"> te </w:t>
      </w:r>
      <w:r w:rsidR="002E13FA" w:rsidRPr="00663995">
        <w:rPr>
          <w:rFonts w:eastAsia="Calibri"/>
          <w:sz w:val="22"/>
          <w:szCs w:val="22"/>
        </w:rPr>
        <w:t>projekta u okviru odobrene Erasmus Akreditacije</w:t>
      </w:r>
      <w:r w:rsidRPr="00663995">
        <w:rPr>
          <w:rFonts w:eastAsia="Calibri"/>
          <w:sz w:val="22"/>
          <w:szCs w:val="22"/>
        </w:rPr>
        <w:t xml:space="preserve"> u iznosu od </w:t>
      </w:r>
      <w:r w:rsidR="002E13FA" w:rsidRPr="00663995">
        <w:rPr>
          <w:rFonts w:eastAsia="Calibri"/>
          <w:sz w:val="22"/>
          <w:szCs w:val="22"/>
        </w:rPr>
        <w:t>96.</w:t>
      </w:r>
      <w:r w:rsidR="009331A0" w:rsidRPr="00663995">
        <w:rPr>
          <w:rFonts w:eastAsia="Calibri"/>
          <w:sz w:val="22"/>
          <w:szCs w:val="22"/>
        </w:rPr>
        <w:t>965</w:t>
      </w:r>
      <w:r w:rsidRPr="00663995">
        <w:rPr>
          <w:rFonts w:eastAsia="Calibri"/>
          <w:sz w:val="22"/>
          <w:szCs w:val="22"/>
        </w:rPr>
        <w:t xml:space="preserve"> €, a smanjujemo ih za </w:t>
      </w:r>
      <w:r w:rsidR="009331A0" w:rsidRPr="00663995">
        <w:rPr>
          <w:rFonts w:eastAsia="Calibri"/>
          <w:sz w:val="22"/>
          <w:szCs w:val="22"/>
        </w:rPr>
        <w:t>34.356</w:t>
      </w:r>
      <w:r w:rsidRPr="00663995">
        <w:rPr>
          <w:rFonts w:eastAsia="Calibri"/>
          <w:sz w:val="22"/>
          <w:szCs w:val="22"/>
        </w:rPr>
        <w:t xml:space="preserve"> €. Najveće smanjenje odnosi se na planirana sredstva iz nenadležnog proračuna za rashode za nabavu nefinancijske imovine.</w:t>
      </w:r>
    </w:p>
    <w:p w14:paraId="090A92E5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1BB2B0EA" w14:textId="7B7A69ED" w:rsidR="009331A0" w:rsidRPr="009331A0" w:rsidRDefault="001667AE" w:rsidP="009331A0">
      <w:pPr>
        <w:spacing w:line="276" w:lineRule="auto"/>
        <w:contextualSpacing/>
        <w:jc w:val="both"/>
        <w:rPr>
          <w:rFonts w:eastAsia="Calibri"/>
          <w:b/>
          <w:bCs/>
          <w:iCs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Donacije</w:t>
      </w:r>
      <w:r w:rsidR="004C40A3" w:rsidRPr="00663995">
        <w:rPr>
          <w:rFonts w:eastAsia="Calibri"/>
          <w:b/>
          <w:bCs/>
          <w:sz w:val="22"/>
          <w:szCs w:val="22"/>
        </w:rPr>
        <w:t xml:space="preserve"> </w:t>
      </w:r>
      <w:r w:rsidR="004C40A3" w:rsidRPr="00663995">
        <w:rPr>
          <w:rFonts w:eastAsia="Calibri"/>
          <w:sz w:val="22"/>
          <w:szCs w:val="22"/>
        </w:rPr>
        <w:t>(izvor 6)</w:t>
      </w:r>
      <w:r w:rsidR="009331A0" w:rsidRPr="009331A0">
        <w:rPr>
          <w:rFonts w:eastAsia="Calibri"/>
          <w:b/>
          <w:bCs/>
          <w:sz w:val="22"/>
          <w:szCs w:val="22"/>
        </w:rPr>
        <w:t xml:space="preserve"> </w:t>
      </w:r>
      <w:r w:rsidR="009331A0" w:rsidRPr="009331A0">
        <w:rPr>
          <w:rFonts w:eastAsia="Calibri"/>
          <w:iCs/>
          <w:sz w:val="22"/>
          <w:szCs w:val="22"/>
        </w:rPr>
        <w:t>planirali smo</w:t>
      </w:r>
      <w:r w:rsidRPr="00663995">
        <w:rPr>
          <w:rFonts w:eastAsia="Calibri"/>
          <w:iCs/>
          <w:sz w:val="22"/>
          <w:szCs w:val="22"/>
        </w:rPr>
        <w:t xml:space="preserve"> rashod</w:t>
      </w:r>
      <w:r w:rsidR="009331A0" w:rsidRPr="009331A0">
        <w:rPr>
          <w:rFonts w:eastAsia="Calibri"/>
          <w:iCs/>
          <w:sz w:val="22"/>
          <w:szCs w:val="22"/>
        </w:rPr>
        <w:t xml:space="preserve"> u iznosu od 700 € te kao takvi ostaju nepromijenjeni.</w:t>
      </w:r>
    </w:p>
    <w:p w14:paraId="49D2B456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335D30D1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b/>
          <w:bCs/>
          <w:i/>
          <w:iCs/>
          <w:sz w:val="22"/>
          <w:szCs w:val="22"/>
        </w:rPr>
      </w:pPr>
      <w:r w:rsidRPr="00663995">
        <w:rPr>
          <w:rFonts w:eastAsia="Calibri"/>
          <w:b/>
          <w:bCs/>
          <w:i/>
          <w:iCs/>
          <w:sz w:val="22"/>
          <w:szCs w:val="22"/>
        </w:rPr>
        <w:t>Rashodi prema funkcijskoj klasifikaciji</w:t>
      </w:r>
    </w:p>
    <w:p w14:paraId="19269925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78CDE466" w14:textId="3AE623A0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t>Rashodi prema funkcijskoj klasifikaciji za 202</w:t>
      </w:r>
      <w:r w:rsidR="00A76031" w:rsidRPr="00663995">
        <w:rPr>
          <w:rFonts w:eastAsia="Calibri"/>
          <w:sz w:val="22"/>
          <w:szCs w:val="22"/>
        </w:rPr>
        <w:t>5</w:t>
      </w:r>
      <w:r w:rsidRPr="00663995">
        <w:rPr>
          <w:rFonts w:eastAsia="Calibri"/>
          <w:sz w:val="22"/>
          <w:szCs w:val="22"/>
        </w:rPr>
        <w:t xml:space="preserve">. godinu planirani su na razini 08 – Rekreacija, kultura i religija, te 09 – Obrazovanje, u ukupnom iznosu od </w:t>
      </w:r>
      <w:r w:rsidR="00A76031" w:rsidRPr="00663995">
        <w:rPr>
          <w:rFonts w:eastAsia="Calibri"/>
          <w:sz w:val="22"/>
          <w:szCs w:val="22"/>
        </w:rPr>
        <w:t>987.022</w:t>
      </w:r>
      <w:r w:rsidRPr="00663995">
        <w:rPr>
          <w:rFonts w:eastAsia="Calibri"/>
          <w:sz w:val="22"/>
          <w:szCs w:val="22"/>
        </w:rPr>
        <w:t xml:space="preserve"> €. </w:t>
      </w:r>
    </w:p>
    <w:p w14:paraId="0DC01398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1CBC6F7C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t>Raspoloživa sredstva iz prethodnih godina</w:t>
      </w:r>
    </w:p>
    <w:p w14:paraId="040DA38B" w14:textId="0BA2D3F8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t xml:space="preserve">Rezultat poslovanja (konto 92) za 2024. prema tablici 1.  iznosi </w:t>
      </w:r>
      <w:r w:rsidR="006229DB" w:rsidRPr="00663995">
        <w:rPr>
          <w:rFonts w:eastAsia="Calibri"/>
          <w:sz w:val="22"/>
          <w:szCs w:val="22"/>
        </w:rPr>
        <w:t>-26.319</w:t>
      </w:r>
      <w:r w:rsidRPr="00663995">
        <w:rPr>
          <w:rFonts w:eastAsia="Calibri"/>
          <w:sz w:val="22"/>
          <w:szCs w:val="22"/>
        </w:rPr>
        <w:t xml:space="preserve"> €, a prema izvorima financiranja sastoji se od:</w:t>
      </w:r>
    </w:p>
    <w:p w14:paraId="1A47C784" w14:textId="291F5F5C" w:rsidR="003D7B0C" w:rsidRPr="00663995" w:rsidRDefault="003D7B0C" w:rsidP="007D0911">
      <w:pPr>
        <w:numPr>
          <w:ilvl w:val="0"/>
          <w:numId w:val="6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t>Izvor 11 Opći prihodi i primici</w:t>
      </w:r>
      <w:r w:rsidRPr="00663995">
        <w:rPr>
          <w:rFonts w:eastAsia="Calibri"/>
          <w:sz w:val="22"/>
          <w:szCs w:val="22"/>
        </w:rPr>
        <w:tab/>
      </w:r>
      <w:r w:rsidRPr="00663995">
        <w:rPr>
          <w:rFonts w:eastAsia="Calibri"/>
          <w:sz w:val="22"/>
          <w:szCs w:val="22"/>
        </w:rPr>
        <w:tab/>
      </w:r>
      <w:r w:rsidRPr="00663995">
        <w:rPr>
          <w:rFonts w:eastAsia="Calibri"/>
          <w:sz w:val="22"/>
          <w:szCs w:val="22"/>
        </w:rPr>
        <w:tab/>
        <w:t>-</w:t>
      </w:r>
      <w:r w:rsidR="003E180C" w:rsidRPr="00663995">
        <w:rPr>
          <w:rFonts w:eastAsia="Calibri"/>
          <w:sz w:val="22"/>
          <w:szCs w:val="22"/>
        </w:rPr>
        <w:t>10.967</w:t>
      </w:r>
      <w:r w:rsidRPr="00663995">
        <w:rPr>
          <w:rFonts w:eastAsia="Calibri"/>
          <w:sz w:val="22"/>
          <w:szCs w:val="22"/>
        </w:rPr>
        <w:t xml:space="preserve"> €</w:t>
      </w:r>
    </w:p>
    <w:p w14:paraId="4EBDD963" w14:textId="10642821" w:rsidR="003D7B0C" w:rsidRPr="00663995" w:rsidRDefault="003D7B0C" w:rsidP="007D0911">
      <w:pPr>
        <w:numPr>
          <w:ilvl w:val="0"/>
          <w:numId w:val="6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t xml:space="preserve">Izvor </w:t>
      </w:r>
      <w:r w:rsidR="00293DA8">
        <w:rPr>
          <w:rFonts w:eastAsia="Calibri"/>
          <w:sz w:val="22"/>
          <w:szCs w:val="22"/>
        </w:rPr>
        <w:t>3</w:t>
      </w:r>
      <w:r w:rsidRPr="00663995">
        <w:rPr>
          <w:rFonts w:eastAsia="Calibri"/>
          <w:sz w:val="22"/>
          <w:szCs w:val="22"/>
        </w:rPr>
        <w:t>1 Vlastiti prihodi</w:t>
      </w:r>
      <w:r w:rsidRPr="00663995">
        <w:rPr>
          <w:rFonts w:eastAsia="Calibri"/>
          <w:sz w:val="22"/>
          <w:szCs w:val="22"/>
        </w:rPr>
        <w:tab/>
      </w:r>
      <w:r w:rsidRPr="00663995">
        <w:rPr>
          <w:rFonts w:eastAsia="Calibri"/>
          <w:sz w:val="22"/>
          <w:szCs w:val="22"/>
        </w:rPr>
        <w:tab/>
      </w:r>
      <w:r w:rsidRPr="00663995">
        <w:rPr>
          <w:rFonts w:eastAsia="Calibri"/>
          <w:sz w:val="22"/>
          <w:szCs w:val="22"/>
        </w:rPr>
        <w:tab/>
      </w:r>
      <w:r w:rsidR="00B51DC4" w:rsidRPr="00663995">
        <w:rPr>
          <w:rFonts w:eastAsia="Calibri"/>
          <w:sz w:val="22"/>
          <w:szCs w:val="22"/>
        </w:rPr>
        <w:t xml:space="preserve">   3.203</w:t>
      </w:r>
      <w:r w:rsidRPr="00663995">
        <w:rPr>
          <w:rFonts w:eastAsia="Calibri"/>
          <w:sz w:val="22"/>
          <w:szCs w:val="22"/>
        </w:rPr>
        <w:t xml:space="preserve"> €</w:t>
      </w:r>
    </w:p>
    <w:p w14:paraId="64497AE9" w14:textId="4BCD5DBA" w:rsidR="003D7B0C" w:rsidRPr="00663995" w:rsidRDefault="003D7B0C" w:rsidP="007D0911">
      <w:pPr>
        <w:numPr>
          <w:ilvl w:val="0"/>
          <w:numId w:val="6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t xml:space="preserve">Izvor </w:t>
      </w:r>
      <w:r w:rsidR="00293DA8">
        <w:rPr>
          <w:rFonts w:eastAsia="Calibri"/>
          <w:sz w:val="22"/>
          <w:szCs w:val="22"/>
        </w:rPr>
        <w:t>55</w:t>
      </w:r>
      <w:r w:rsidRPr="00663995">
        <w:rPr>
          <w:rFonts w:eastAsia="Calibri"/>
          <w:sz w:val="22"/>
          <w:szCs w:val="22"/>
        </w:rPr>
        <w:t xml:space="preserve"> Pomoći - proračunski korisnici</w:t>
      </w:r>
      <w:r w:rsidRPr="00663995">
        <w:rPr>
          <w:rFonts w:eastAsia="Calibri"/>
          <w:sz w:val="22"/>
          <w:szCs w:val="22"/>
        </w:rPr>
        <w:tab/>
      </w:r>
      <w:r w:rsidRPr="00663995">
        <w:rPr>
          <w:rFonts w:eastAsia="Calibri"/>
          <w:sz w:val="22"/>
          <w:szCs w:val="22"/>
        </w:rPr>
        <w:tab/>
        <w:t>-</w:t>
      </w:r>
      <w:r w:rsidR="00B51DC4" w:rsidRPr="00663995">
        <w:rPr>
          <w:rFonts w:eastAsia="Calibri"/>
          <w:sz w:val="22"/>
          <w:szCs w:val="22"/>
        </w:rPr>
        <w:t>18.555</w:t>
      </w:r>
      <w:r w:rsidRPr="00663995">
        <w:rPr>
          <w:rFonts w:eastAsia="Calibri"/>
          <w:sz w:val="22"/>
          <w:szCs w:val="22"/>
        </w:rPr>
        <w:t xml:space="preserve"> €</w:t>
      </w:r>
    </w:p>
    <w:p w14:paraId="71FD3593" w14:textId="26454106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t>Svi navedeni manjkovi podmireni su tijekom 202</w:t>
      </w:r>
      <w:r w:rsidR="006229DB" w:rsidRPr="00663995">
        <w:rPr>
          <w:rFonts w:eastAsia="Calibri"/>
          <w:sz w:val="22"/>
          <w:szCs w:val="22"/>
        </w:rPr>
        <w:t>5</w:t>
      </w:r>
      <w:r w:rsidRPr="00663995">
        <w:rPr>
          <w:rFonts w:eastAsia="Calibri"/>
          <w:sz w:val="22"/>
          <w:szCs w:val="22"/>
        </w:rPr>
        <w:t>., a ostvareni višak prihoda iz vlastitih prihoda na kraju 202</w:t>
      </w:r>
      <w:r w:rsidR="006229DB" w:rsidRPr="00663995">
        <w:rPr>
          <w:rFonts w:eastAsia="Calibri"/>
          <w:sz w:val="22"/>
          <w:szCs w:val="22"/>
        </w:rPr>
        <w:t>4</w:t>
      </w:r>
      <w:r w:rsidRPr="00663995">
        <w:rPr>
          <w:rFonts w:eastAsia="Calibri"/>
          <w:sz w:val="22"/>
          <w:szCs w:val="22"/>
        </w:rPr>
        <w:t>. planira se utrošiti do kraja godine.</w:t>
      </w:r>
    </w:p>
    <w:p w14:paraId="19FD4F0D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i/>
          <w:iCs/>
          <w:sz w:val="22"/>
          <w:szCs w:val="22"/>
        </w:rPr>
      </w:pPr>
    </w:p>
    <w:p w14:paraId="69798A39" w14:textId="77777777" w:rsidR="00D2480A" w:rsidRPr="00663995" w:rsidRDefault="00D2480A" w:rsidP="007D0911">
      <w:pPr>
        <w:spacing w:line="276" w:lineRule="auto"/>
        <w:jc w:val="both"/>
        <w:rPr>
          <w:b/>
          <w:bCs/>
          <w:sz w:val="22"/>
          <w:szCs w:val="22"/>
        </w:rPr>
      </w:pPr>
    </w:p>
    <w:p w14:paraId="7CBD24E4" w14:textId="77777777" w:rsidR="00DF78FC" w:rsidRPr="00DF78FC" w:rsidRDefault="00DF78FC" w:rsidP="00DF78FC">
      <w:pPr>
        <w:spacing w:line="276" w:lineRule="auto"/>
        <w:jc w:val="both"/>
        <w:rPr>
          <w:b/>
          <w:bCs/>
          <w:sz w:val="22"/>
          <w:szCs w:val="22"/>
        </w:rPr>
      </w:pPr>
      <w:r w:rsidRPr="00DF78FC">
        <w:rPr>
          <w:b/>
          <w:bCs/>
          <w:sz w:val="22"/>
          <w:szCs w:val="22"/>
        </w:rPr>
        <w:t>Izvještaj o postignutim ciljevima i rezultatima programa temeljenim na pokazateljima uspješnosti iz nadležnosti proračunskog korisnika za razdoblje 01.01.2025. - 30.05.2025.</w:t>
      </w:r>
    </w:p>
    <w:p w14:paraId="7F3D4C37" w14:textId="77777777" w:rsidR="00DF78FC" w:rsidRPr="00DF78FC" w:rsidRDefault="00DF78FC" w:rsidP="00DF78FC">
      <w:pPr>
        <w:spacing w:line="276" w:lineRule="auto"/>
        <w:jc w:val="both"/>
        <w:rPr>
          <w:b/>
          <w:bCs/>
          <w:i/>
          <w:iCs/>
          <w:sz w:val="22"/>
          <w:szCs w:val="22"/>
        </w:rPr>
      </w:pPr>
    </w:p>
    <w:p w14:paraId="6DA1D0E4" w14:textId="77777777" w:rsidR="00DF78FC" w:rsidRPr="00DF78FC" w:rsidRDefault="00DF78FC" w:rsidP="00DF78FC">
      <w:pPr>
        <w:spacing w:line="276" w:lineRule="auto"/>
        <w:jc w:val="both"/>
        <w:rPr>
          <w:b/>
          <w:bCs/>
          <w:sz w:val="22"/>
          <w:szCs w:val="22"/>
        </w:rPr>
      </w:pPr>
      <w:bookmarkStart w:id="6" w:name="_Hlk116552154"/>
      <w:bookmarkStart w:id="7" w:name="_Hlk148618686"/>
      <w:r w:rsidRPr="00DF78FC">
        <w:rPr>
          <w:b/>
          <w:bCs/>
          <w:sz w:val="22"/>
          <w:szCs w:val="22"/>
        </w:rPr>
        <w:t>Glazbeno-scenska djelatnost</w:t>
      </w:r>
    </w:p>
    <w:bookmarkEnd w:id="6"/>
    <w:bookmarkEnd w:id="7"/>
    <w:p w14:paraId="73D79EDB" w14:textId="77777777" w:rsidR="00DF78FC" w:rsidRPr="00DF78FC" w:rsidRDefault="00DF78FC" w:rsidP="00DF78FC">
      <w:pPr>
        <w:spacing w:line="276" w:lineRule="auto"/>
        <w:jc w:val="both"/>
        <w:rPr>
          <w:sz w:val="22"/>
          <w:szCs w:val="22"/>
        </w:rPr>
      </w:pPr>
      <w:r w:rsidRPr="00DF78FC">
        <w:rPr>
          <w:sz w:val="22"/>
          <w:szCs w:val="22"/>
        </w:rPr>
        <w:t xml:space="preserve">Tijekom godine, do zaključno 30.5.2025. u dvorani Domoljub održano je 5 predstava za odrasle, na kojima je bilo 1084 gledatelja i 6 predstava za djecu u 7 izvedbi s ukupno 1.159 gledatelja. Organizirali smo kazališne predstave za srednje škole, dječje vrtiće i osnovne škole i to 6 predstava  u 12 izvedbi na kojima je sveukupno bilo 2.773 gledatelja. Što se tiče glazbenog programa, do sada smo organizirali 5 koncerata na kojem je bilo 673 posjetitelja. Na ostalim organiziranim događanjima u dvorani Domoljub sveukupno je bilo 5882 posjetitelja. Do konca godine planiramo održati 4 dječje predstave, 4 predstave za odrasle i 4 koncerta. </w:t>
      </w:r>
    </w:p>
    <w:p w14:paraId="31F62448" w14:textId="1BAB1141" w:rsidR="00DF78FC" w:rsidRPr="00DF78FC" w:rsidRDefault="00DF78FC" w:rsidP="00DF78FC">
      <w:pPr>
        <w:spacing w:line="276" w:lineRule="auto"/>
        <w:jc w:val="both"/>
        <w:rPr>
          <w:b/>
          <w:bCs/>
          <w:sz w:val="22"/>
          <w:szCs w:val="22"/>
        </w:rPr>
      </w:pPr>
      <w:r w:rsidRPr="00DF78FC">
        <w:rPr>
          <w:sz w:val="22"/>
          <w:szCs w:val="22"/>
        </w:rPr>
        <w:t xml:space="preserve">Do 30. svibnja 2025. obilježili smo mnoge važne datume poput Mjeseca </w:t>
      </w:r>
      <w:proofErr w:type="spellStart"/>
      <w:r w:rsidRPr="00DF78FC">
        <w:rPr>
          <w:sz w:val="22"/>
          <w:szCs w:val="22"/>
        </w:rPr>
        <w:t>frankofonije</w:t>
      </w:r>
      <w:proofErr w:type="spellEnd"/>
      <w:r w:rsidRPr="00DF78FC">
        <w:rPr>
          <w:sz w:val="22"/>
          <w:szCs w:val="22"/>
        </w:rPr>
        <w:t xml:space="preserve">, sudjelovali smo u Festivalu smijeha, obilježili smo mjesec posvećen obitelji Zrinski, Svjetski dan kazališta, Dan planete Zemlje, Europski dan parkova, Tjedan oralnog zdravlja i Međunarodni dan jazz glazbe. Uključili smo se u obilježavanje Dana medijske pismenosti kroz organizaciju gostovanja predstave „Abeceda interneta“ produkcije </w:t>
      </w:r>
      <w:proofErr w:type="spellStart"/>
      <w:r w:rsidRPr="00DF78FC">
        <w:rPr>
          <w:sz w:val="22"/>
          <w:szCs w:val="22"/>
        </w:rPr>
        <w:t>Fun</w:t>
      </w:r>
      <w:proofErr w:type="spellEnd"/>
      <w:r w:rsidRPr="00DF78FC">
        <w:rPr>
          <w:sz w:val="22"/>
          <w:szCs w:val="22"/>
        </w:rPr>
        <w:t xml:space="preserve"> Da </w:t>
      </w:r>
      <w:proofErr w:type="spellStart"/>
      <w:r w:rsidRPr="00DF78FC">
        <w:rPr>
          <w:sz w:val="22"/>
          <w:szCs w:val="22"/>
        </w:rPr>
        <w:t>Mental</w:t>
      </w:r>
      <w:proofErr w:type="spellEnd"/>
      <w:r w:rsidRPr="00DF78FC">
        <w:rPr>
          <w:sz w:val="22"/>
          <w:szCs w:val="22"/>
        </w:rPr>
        <w:t xml:space="preserve">. Organizirali smo četiri Lova na blago Domoljuba za učenike </w:t>
      </w:r>
      <w:r w:rsidRPr="00DF78FC">
        <w:rPr>
          <w:sz w:val="22"/>
          <w:szCs w:val="22"/>
        </w:rPr>
        <w:lastRenderedPageBreak/>
        <w:t xml:space="preserve">osnovnih škola, te dva posjeta Domoljubu (upoznavanje rada „iza scene“). Osim navedenog suorganizirali smo projekciju filma G35 i panel raspravu u povodu obilježavanja mjeseca </w:t>
      </w:r>
      <w:proofErr w:type="spellStart"/>
      <w:r w:rsidRPr="00DF78FC">
        <w:rPr>
          <w:sz w:val="22"/>
          <w:szCs w:val="22"/>
        </w:rPr>
        <w:t>multiple</w:t>
      </w:r>
      <w:proofErr w:type="spellEnd"/>
      <w:r w:rsidRPr="00DF78FC">
        <w:rPr>
          <w:sz w:val="22"/>
          <w:szCs w:val="22"/>
        </w:rPr>
        <w:t xml:space="preserve"> skleroze s ciljem podizanja svijesti o bolesti, </w:t>
      </w:r>
      <w:proofErr w:type="spellStart"/>
      <w:r w:rsidRPr="00DF78FC">
        <w:rPr>
          <w:sz w:val="22"/>
          <w:szCs w:val="22"/>
        </w:rPr>
        <w:t>destigmatizacije</w:t>
      </w:r>
      <w:proofErr w:type="spellEnd"/>
      <w:r w:rsidRPr="00DF78FC">
        <w:rPr>
          <w:sz w:val="22"/>
          <w:szCs w:val="22"/>
        </w:rPr>
        <w:t xml:space="preserve"> i pružanje informacija o </w:t>
      </w:r>
      <w:proofErr w:type="spellStart"/>
      <w:r w:rsidR="004B3FE7">
        <w:rPr>
          <w:sz w:val="22"/>
          <w:szCs w:val="22"/>
        </w:rPr>
        <w:t>m</w:t>
      </w:r>
      <w:r w:rsidRPr="00DF78FC">
        <w:rPr>
          <w:sz w:val="22"/>
          <w:szCs w:val="22"/>
        </w:rPr>
        <w:t>ultipl</w:t>
      </w:r>
      <w:r w:rsidR="004B3FE7">
        <w:rPr>
          <w:sz w:val="22"/>
          <w:szCs w:val="22"/>
        </w:rPr>
        <w:t>oj</w:t>
      </w:r>
      <w:proofErr w:type="spellEnd"/>
      <w:r w:rsidRPr="00DF78FC">
        <w:rPr>
          <w:sz w:val="22"/>
          <w:szCs w:val="22"/>
        </w:rPr>
        <w:t xml:space="preserve"> sklerozi, te podrške osobama koje žive s ovom</w:t>
      </w:r>
      <w:r w:rsidRPr="00DF78FC">
        <w:rPr>
          <w:b/>
          <w:bCs/>
          <w:sz w:val="22"/>
          <w:szCs w:val="22"/>
        </w:rPr>
        <w:t xml:space="preserve"> </w:t>
      </w:r>
      <w:r w:rsidRPr="00DF78FC">
        <w:rPr>
          <w:sz w:val="22"/>
          <w:szCs w:val="22"/>
        </w:rPr>
        <w:t>bolešću.</w:t>
      </w:r>
    </w:p>
    <w:p w14:paraId="4ADAA736" w14:textId="77777777" w:rsidR="00DF78FC" w:rsidRPr="00DF78FC" w:rsidRDefault="00DF78FC" w:rsidP="00DF78FC">
      <w:pPr>
        <w:spacing w:line="276" w:lineRule="auto"/>
        <w:jc w:val="both"/>
        <w:rPr>
          <w:b/>
          <w:bCs/>
          <w:sz w:val="22"/>
          <w:szCs w:val="22"/>
        </w:rPr>
      </w:pPr>
    </w:p>
    <w:p w14:paraId="44998E17" w14:textId="77777777" w:rsidR="003C4074" w:rsidRPr="00663995" w:rsidRDefault="003C4074" w:rsidP="007D0911">
      <w:pPr>
        <w:spacing w:line="276" w:lineRule="auto"/>
        <w:jc w:val="both"/>
        <w:rPr>
          <w:color w:val="FF0000"/>
          <w:sz w:val="22"/>
          <w:szCs w:val="22"/>
        </w:rPr>
      </w:pPr>
    </w:p>
    <w:p w14:paraId="6C824DC6" w14:textId="587CE94B" w:rsidR="00C136C4" w:rsidRPr="00C136C4" w:rsidRDefault="00C136C4" w:rsidP="00C136C4">
      <w:pPr>
        <w:shd w:val="clear" w:color="auto" w:fill="FFFFFF"/>
        <w:spacing w:line="276" w:lineRule="auto"/>
        <w:jc w:val="both"/>
        <w:textAlignment w:val="baseline"/>
        <w:rPr>
          <w:b/>
          <w:bCs/>
          <w:sz w:val="22"/>
          <w:szCs w:val="22"/>
        </w:rPr>
      </w:pPr>
      <w:r w:rsidRPr="00C136C4">
        <w:rPr>
          <w:b/>
          <w:bCs/>
          <w:sz w:val="22"/>
          <w:szCs w:val="22"/>
        </w:rPr>
        <w:t>Kino djelatnost</w:t>
      </w:r>
    </w:p>
    <w:p w14:paraId="5DEE98EB" w14:textId="77777777" w:rsidR="00C136C4" w:rsidRPr="00C136C4" w:rsidRDefault="00C136C4" w:rsidP="00C136C4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C136C4">
        <w:rPr>
          <w:sz w:val="22"/>
          <w:szCs w:val="22"/>
        </w:rPr>
        <w:t xml:space="preserve">U  periodu od 1. siječnja do 31. svibnja 2025. održane su  462 </w:t>
      </w:r>
      <w:proofErr w:type="spellStart"/>
      <w:r w:rsidRPr="00C136C4">
        <w:rPr>
          <w:sz w:val="22"/>
          <w:szCs w:val="22"/>
        </w:rPr>
        <w:t>kinoprojekcije</w:t>
      </w:r>
      <w:proofErr w:type="spellEnd"/>
      <w:r w:rsidRPr="00C136C4">
        <w:rPr>
          <w:sz w:val="22"/>
          <w:szCs w:val="22"/>
        </w:rPr>
        <w:t xml:space="preserve">  koje je pogledalo  11.369  gledatelja.</w:t>
      </w:r>
    </w:p>
    <w:p w14:paraId="256D501B" w14:textId="77777777" w:rsidR="00C136C4" w:rsidRPr="00C136C4" w:rsidRDefault="00C136C4" w:rsidP="00C136C4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C136C4">
        <w:rPr>
          <w:sz w:val="22"/>
          <w:szCs w:val="22"/>
        </w:rPr>
        <w:t>Održano je 11 posebnih programa:</w:t>
      </w:r>
    </w:p>
    <w:p w14:paraId="6DA6E263" w14:textId="0CC19F71" w:rsidR="00C136C4" w:rsidRPr="00C136C4" w:rsidRDefault="00C136C4" w:rsidP="00C136C4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C136C4">
        <w:rPr>
          <w:sz w:val="22"/>
          <w:szCs w:val="22"/>
        </w:rPr>
        <w:t>Međunarodni dan sjećanja na Hol</w:t>
      </w:r>
      <w:r w:rsidR="004B3FE7">
        <w:rPr>
          <w:sz w:val="22"/>
          <w:szCs w:val="22"/>
        </w:rPr>
        <w:t>o</w:t>
      </w:r>
      <w:r w:rsidRPr="00C136C4">
        <w:rPr>
          <w:sz w:val="22"/>
          <w:szCs w:val="22"/>
        </w:rPr>
        <w:t>kaust: 1 projekcija, 11 gledatelja</w:t>
      </w:r>
    </w:p>
    <w:p w14:paraId="3647F437" w14:textId="77777777" w:rsidR="00C136C4" w:rsidRPr="00C136C4" w:rsidRDefault="00C136C4" w:rsidP="00C136C4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C136C4">
        <w:rPr>
          <w:sz w:val="22"/>
          <w:szCs w:val="22"/>
        </w:rPr>
        <w:t>Festival poljskog filma (nastavak), 1 projekcija, 9 gledatelja</w:t>
      </w:r>
    </w:p>
    <w:p w14:paraId="0170AC63" w14:textId="77777777" w:rsidR="00C136C4" w:rsidRPr="00C136C4" w:rsidRDefault="00C136C4" w:rsidP="00C136C4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proofErr w:type="spellStart"/>
      <w:r w:rsidRPr="00C136C4">
        <w:rPr>
          <w:sz w:val="22"/>
          <w:szCs w:val="22"/>
        </w:rPr>
        <w:t>Festivalci</w:t>
      </w:r>
      <w:proofErr w:type="spellEnd"/>
      <w:r w:rsidRPr="00C136C4">
        <w:rPr>
          <w:sz w:val="22"/>
          <w:szCs w:val="22"/>
        </w:rPr>
        <w:t>. 43 projekcije, 337 gledatelja</w:t>
      </w:r>
    </w:p>
    <w:p w14:paraId="5A92139A" w14:textId="77777777" w:rsidR="00C136C4" w:rsidRPr="00C136C4" w:rsidRDefault="00C136C4" w:rsidP="00C136C4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C136C4">
        <w:rPr>
          <w:sz w:val="22"/>
          <w:szCs w:val="22"/>
        </w:rPr>
        <w:t>Koprivnička premijera filma „Naša djeca“, 1 projekcija, 108 gledatelja</w:t>
      </w:r>
    </w:p>
    <w:p w14:paraId="3106D948" w14:textId="77777777" w:rsidR="00C136C4" w:rsidRPr="00C136C4" w:rsidRDefault="00C136C4" w:rsidP="00C136C4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C136C4">
        <w:rPr>
          <w:sz w:val="22"/>
          <w:szCs w:val="22"/>
        </w:rPr>
        <w:t>Koprivnička premijera filma „“Šlager“: 1 projekcija, 112 gledatelja</w:t>
      </w:r>
    </w:p>
    <w:p w14:paraId="6ECA7865" w14:textId="77777777" w:rsidR="00C136C4" w:rsidRPr="00C136C4" w:rsidRDefault="00C136C4" w:rsidP="00C136C4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proofErr w:type="spellStart"/>
      <w:r w:rsidRPr="00C136C4">
        <w:rPr>
          <w:sz w:val="22"/>
          <w:szCs w:val="22"/>
        </w:rPr>
        <w:t>Ženijalni</w:t>
      </w:r>
      <w:proofErr w:type="spellEnd"/>
      <w:r w:rsidRPr="00C136C4">
        <w:rPr>
          <w:sz w:val="22"/>
          <w:szCs w:val="22"/>
        </w:rPr>
        <w:t xml:space="preserve"> dani: 6 projekcija, 289 gledatelja</w:t>
      </w:r>
    </w:p>
    <w:p w14:paraId="6879A157" w14:textId="77777777" w:rsidR="00C136C4" w:rsidRPr="00C136C4" w:rsidRDefault="00C136C4" w:rsidP="00C136C4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proofErr w:type="spellStart"/>
      <w:r w:rsidRPr="00C136C4">
        <w:rPr>
          <w:sz w:val="22"/>
          <w:szCs w:val="22"/>
        </w:rPr>
        <w:t>Frankofonija</w:t>
      </w:r>
      <w:proofErr w:type="spellEnd"/>
      <w:r w:rsidRPr="00C136C4">
        <w:rPr>
          <w:sz w:val="22"/>
          <w:szCs w:val="22"/>
        </w:rPr>
        <w:t>: 6 projekcija, 91 gledatelja</w:t>
      </w:r>
    </w:p>
    <w:p w14:paraId="1D2F811E" w14:textId="77777777" w:rsidR="00C136C4" w:rsidRPr="00C136C4" w:rsidRDefault="00C136C4" w:rsidP="00C136C4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C136C4">
        <w:rPr>
          <w:sz w:val="22"/>
          <w:szCs w:val="22"/>
        </w:rPr>
        <w:t>Praznici u kinu Velebit: 6 projekcije, 359 gledatelja</w:t>
      </w:r>
    </w:p>
    <w:p w14:paraId="42790EB3" w14:textId="77777777" w:rsidR="00C136C4" w:rsidRPr="00C136C4" w:rsidRDefault="00C136C4" w:rsidP="00C136C4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C136C4">
        <w:rPr>
          <w:sz w:val="22"/>
          <w:szCs w:val="22"/>
        </w:rPr>
        <w:t>Senzorna projekcija:  projekcija, 139 gledatelja</w:t>
      </w:r>
    </w:p>
    <w:p w14:paraId="3935C8B6" w14:textId="77777777" w:rsidR="00C136C4" w:rsidRPr="00C136C4" w:rsidRDefault="00C136C4" w:rsidP="00C136C4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C136C4">
        <w:rPr>
          <w:sz w:val="22"/>
          <w:szCs w:val="22"/>
        </w:rPr>
        <w:t>Revija autora Pedra Almodovara: 5 projekcija, 28  gledatelja</w:t>
      </w:r>
    </w:p>
    <w:p w14:paraId="5F61C63B" w14:textId="77777777" w:rsidR="00C136C4" w:rsidRPr="00C136C4" w:rsidRDefault="00C136C4" w:rsidP="00C136C4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C136C4">
        <w:rPr>
          <w:sz w:val="22"/>
          <w:szCs w:val="22"/>
        </w:rPr>
        <w:t>Mjesec našeg filma kratkometražni: 2 projekcije, gledatelja 5</w:t>
      </w:r>
    </w:p>
    <w:p w14:paraId="44FEB6A6" w14:textId="77777777" w:rsidR="00C136C4" w:rsidRPr="00C136C4" w:rsidRDefault="00C136C4" w:rsidP="00C136C4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C136C4">
        <w:rPr>
          <w:sz w:val="22"/>
          <w:szCs w:val="22"/>
        </w:rPr>
        <w:t>Mjesec našeg filma dugometražni: 2 projekcije, gledatelja 5</w:t>
      </w:r>
    </w:p>
    <w:p w14:paraId="7AB1E9C0" w14:textId="77777777" w:rsidR="00C136C4" w:rsidRPr="00C136C4" w:rsidRDefault="00C136C4" w:rsidP="00C136C4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</w:p>
    <w:p w14:paraId="166156B9" w14:textId="77777777" w:rsidR="00C136C4" w:rsidRPr="00C136C4" w:rsidRDefault="00C136C4" w:rsidP="00C136C4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C136C4">
        <w:rPr>
          <w:sz w:val="22"/>
          <w:szCs w:val="22"/>
        </w:rPr>
        <w:t>Održano je 19  školskih projekcija koje je pogledalo  1288 učenika.</w:t>
      </w:r>
    </w:p>
    <w:p w14:paraId="2F48C74F" w14:textId="77777777" w:rsidR="00C136C4" w:rsidRPr="00C136C4" w:rsidRDefault="00C136C4" w:rsidP="00C136C4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</w:p>
    <w:p w14:paraId="1612DBD9" w14:textId="77777777" w:rsidR="00C136C4" w:rsidRPr="00C136C4" w:rsidRDefault="00C136C4" w:rsidP="00C136C4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C136C4">
        <w:rPr>
          <w:sz w:val="22"/>
          <w:szCs w:val="22"/>
        </w:rPr>
        <w:t>Održane su i dvije radionice filmske pismenosti za nastavnike i profesore- jedna radionica za početnike, a druga radionica za polaznike koji su prošle godine pohađali prvi stupanj radionice.</w:t>
      </w:r>
    </w:p>
    <w:p w14:paraId="0CD1BC1D" w14:textId="77777777" w:rsidR="00D119FD" w:rsidRPr="00663995" w:rsidRDefault="00D119FD" w:rsidP="00D119FD">
      <w:pPr>
        <w:shd w:val="clear" w:color="auto" w:fill="FFFFFF"/>
        <w:spacing w:line="276" w:lineRule="auto"/>
        <w:jc w:val="both"/>
        <w:textAlignment w:val="baseline"/>
        <w:rPr>
          <w:b/>
          <w:bCs/>
          <w:sz w:val="22"/>
          <w:szCs w:val="22"/>
        </w:rPr>
      </w:pPr>
    </w:p>
    <w:p w14:paraId="652A6CB0" w14:textId="77777777" w:rsidR="00D119FD" w:rsidRPr="00663995" w:rsidRDefault="00D119FD" w:rsidP="00D119FD">
      <w:pPr>
        <w:shd w:val="clear" w:color="auto" w:fill="FFFFFF"/>
        <w:spacing w:line="276" w:lineRule="auto"/>
        <w:jc w:val="both"/>
        <w:textAlignment w:val="baseline"/>
        <w:rPr>
          <w:b/>
          <w:bCs/>
          <w:sz w:val="22"/>
          <w:szCs w:val="22"/>
        </w:rPr>
      </w:pPr>
      <w:r w:rsidRPr="00663995">
        <w:rPr>
          <w:b/>
          <w:bCs/>
          <w:sz w:val="22"/>
          <w:szCs w:val="22"/>
        </w:rPr>
        <w:t>Obrazovna djelatnost</w:t>
      </w:r>
    </w:p>
    <w:p w14:paraId="27989912" w14:textId="77777777" w:rsidR="00D119FD" w:rsidRPr="00663995" w:rsidRDefault="00D119FD" w:rsidP="00D119FD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663995">
        <w:rPr>
          <w:sz w:val="22"/>
          <w:szCs w:val="22"/>
        </w:rPr>
        <w:t xml:space="preserve">U razdoblju od 1. siječnja do kraja svibnja ove godine osim provedbe i završetka niza programa koji su započeli u zadnjem kvartalu 2024. godine, organizirali smo 15 novih grupa polaznika raznih programa/radionica/tečajeva. Tih 15 programa započetih u 2025. godini pohađao je (duži programi osposobljavanja još traju) 191 polaznik. </w:t>
      </w:r>
    </w:p>
    <w:p w14:paraId="2435080E" w14:textId="77777777" w:rsidR="00D119FD" w:rsidRPr="00663995" w:rsidRDefault="00D119FD" w:rsidP="00D119FD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663995">
        <w:rPr>
          <w:sz w:val="22"/>
          <w:szCs w:val="22"/>
        </w:rPr>
        <w:t xml:space="preserve">U spomenutom razdoblju organizirali smo sljedeće: </w:t>
      </w:r>
    </w:p>
    <w:p w14:paraId="2182C3A0" w14:textId="77777777" w:rsidR="00D119FD" w:rsidRPr="00663995" w:rsidRDefault="00D119FD" w:rsidP="00D119FD">
      <w:pPr>
        <w:numPr>
          <w:ilvl w:val="0"/>
          <w:numId w:val="5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663995">
        <w:rPr>
          <w:sz w:val="22"/>
          <w:szCs w:val="22"/>
        </w:rPr>
        <w:t>program obrazovanja za stjecanje djelomične kvalifikacije pomoćnik u nastavi za 3 grupe od ukupno 50 polaznika,</w:t>
      </w:r>
    </w:p>
    <w:p w14:paraId="30978FFE" w14:textId="77777777" w:rsidR="00D119FD" w:rsidRPr="00663995" w:rsidRDefault="00D119FD" w:rsidP="00D119FD">
      <w:pPr>
        <w:numPr>
          <w:ilvl w:val="0"/>
          <w:numId w:val="5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663995">
        <w:rPr>
          <w:sz w:val="22"/>
          <w:szCs w:val="22"/>
        </w:rPr>
        <w:t>tečaj krojenja i šivanja za 7 polaznika,</w:t>
      </w:r>
    </w:p>
    <w:p w14:paraId="417BC5F6" w14:textId="77777777" w:rsidR="00D119FD" w:rsidRPr="00663995" w:rsidRDefault="00D119FD" w:rsidP="00D119FD">
      <w:pPr>
        <w:numPr>
          <w:ilvl w:val="0"/>
          <w:numId w:val="5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663995">
        <w:rPr>
          <w:sz w:val="22"/>
          <w:szCs w:val="22"/>
        </w:rPr>
        <w:t>interaktivnu edukativnu igru za 8 grupa od ukupno 110 polaznika,</w:t>
      </w:r>
    </w:p>
    <w:p w14:paraId="44663B2B" w14:textId="77777777" w:rsidR="00D119FD" w:rsidRPr="00663995" w:rsidRDefault="00D119FD" w:rsidP="00D119FD">
      <w:pPr>
        <w:numPr>
          <w:ilvl w:val="0"/>
          <w:numId w:val="5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663995">
        <w:rPr>
          <w:sz w:val="22"/>
          <w:szCs w:val="22"/>
        </w:rPr>
        <w:t>program obrazovanja za stjecanje djelomične kvalifikacije njegovatelj u institucionalnoj i izvaninstitucionalnoj skrbi o starijim i nemoćnim osobama za 13 polaznika,</w:t>
      </w:r>
    </w:p>
    <w:p w14:paraId="20F8C16E" w14:textId="77777777" w:rsidR="00D119FD" w:rsidRPr="00663995" w:rsidRDefault="00D119FD" w:rsidP="00D119FD">
      <w:pPr>
        <w:numPr>
          <w:ilvl w:val="0"/>
          <w:numId w:val="5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663995">
        <w:rPr>
          <w:sz w:val="22"/>
          <w:szCs w:val="22"/>
        </w:rPr>
        <w:t xml:space="preserve">program obrazovanja za stjecanje </w:t>
      </w:r>
      <w:proofErr w:type="spellStart"/>
      <w:r w:rsidRPr="00663995">
        <w:rPr>
          <w:sz w:val="22"/>
          <w:szCs w:val="22"/>
        </w:rPr>
        <w:t>mikrokvalifikacije</w:t>
      </w:r>
      <w:proofErr w:type="spellEnd"/>
      <w:r w:rsidRPr="00663995">
        <w:rPr>
          <w:sz w:val="22"/>
          <w:szCs w:val="22"/>
        </w:rPr>
        <w:t xml:space="preserve"> klasične ručne </w:t>
      </w:r>
      <w:proofErr w:type="spellStart"/>
      <w:r w:rsidRPr="00663995">
        <w:rPr>
          <w:sz w:val="22"/>
          <w:szCs w:val="22"/>
        </w:rPr>
        <w:t>masažne</w:t>
      </w:r>
      <w:proofErr w:type="spellEnd"/>
      <w:r w:rsidRPr="00663995">
        <w:rPr>
          <w:sz w:val="22"/>
          <w:szCs w:val="22"/>
        </w:rPr>
        <w:t xml:space="preserve"> tehnike za 10 polaznika,</w:t>
      </w:r>
    </w:p>
    <w:p w14:paraId="02216684" w14:textId="77777777" w:rsidR="00D119FD" w:rsidRPr="00663995" w:rsidRDefault="00D119FD" w:rsidP="00D119FD">
      <w:pPr>
        <w:numPr>
          <w:ilvl w:val="0"/>
          <w:numId w:val="5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663995">
        <w:rPr>
          <w:sz w:val="22"/>
          <w:szCs w:val="22"/>
        </w:rPr>
        <w:t>individualni tečaj kompjuterskog opismenjavanja.</w:t>
      </w:r>
    </w:p>
    <w:p w14:paraId="5666895A" w14:textId="77777777" w:rsidR="00D119FD" w:rsidRPr="00663995" w:rsidRDefault="00D119FD" w:rsidP="00D119FD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663995">
        <w:rPr>
          <w:sz w:val="22"/>
          <w:szCs w:val="22"/>
        </w:rPr>
        <w:t>Pučko otvoreno učilište Koprivnica je u svibnju na temelju postupka vanjskog vrednovanja ustanova za obrazovanje odraslih, provedenom od strane Agencije za strukovno obrazovanje i obrazovanje odraslih, dobilo Rješenje o ocjeni razine kvalitete kojom je ocijenjeno s vrlo visokom razinom kvalitete, što je najviša ocjena, a dodjeljuje se kada je ustanova prepoznata kao primjer izvrsnosti na nacionalnoj razini.</w:t>
      </w:r>
    </w:p>
    <w:p w14:paraId="36B032C4" w14:textId="77777777" w:rsidR="00D119FD" w:rsidRPr="00663995" w:rsidRDefault="00D119FD" w:rsidP="00D119FD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663995">
        <w:rPr>
          <w:sz w:val="22"/>
          <w:szCs w:val="22"/>
        </w:rPr>
        <w:t>Od europskih projekata u prva četiri mjeseca 2025. godine provodili smo tri projekta:</w:t>
      </w:r>
    </w:p>
    <w:p w14:paraId="2098575B" w14:textId="77777777" w:rsidR="00D119FD" w:rsidRPr="00663995" w:rsidRDefault="00D119FD" w:rsidP="00D119FD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663995">
        <w:rPr>
          <w:sz w:val="22"/>
          <w:szCs w:val="22"/>
        </w:rPr>
        <w:lastRenderedPageBreak/>
        <w:t xml:space="preserve">Projekt </w:t>
      </w:r>
      <w:proofErr w:type="spellStart"/>
      <w:r w:rsidRPr="00663995">
        <w:rPr>
          <w:sz w:val="22"/>
          <w:szCs w:val="22"/>
        </w:rPr>
        <w:t>Escape</w:t>
      </w:r>
      <w:proofErr w:type="spellEnd"/>
      <w:r w:rsidRPr="00663995">
        <w:rPr>
          <w:sz w:val="22"/>
          <w:szCs w:val="22"/>
        </w:rPr>
        <w:t xml:space="preserve"> to </w:t>
      </w:r>
      <w:proofErr w:type="spellStart"/>
      <w:r w:rsidRPr="00663995">
        <w:rPr>
          <w:sz w:val="22"/>
          <w:szCs w:val="22"/>
        </w:rPr>
        <w:t>happiness</w:t>
      </w:r>
      <w:proofErr w:type="spellEnd"/>
      <w:r w:rsidRPr="00663995">
        <w:rPr>
          <w:sz w:val="22"/>
          <w:szCs w:val="22"/>
        </w:rPr>
        <w:t xml:space="preserve"> iz programa Erasmus+ KA2 završio je 30.4.2025. godine. Ove godine finalizirani su svi projektni rezultati, od kojih je najinovativniji platforma za online učenje dizajnirana za edukatore odraslih koji žele poticati dobrobit i osobni rast kod svojih polaznika. Omogućili smo iskustvo sobe za bijeg za 6 grupa ili ukupno 56 sudionika. Svi su rezultati predstavljeni na završnoj konferenciji projekta, odnosno događaju s multiplicirajućim učinkom, koji se održao 1. travnja 2025. Sredinom travnja održan je završni projektni sastanak u Sarajevu kod partnera domaćina </w:t>
      </w:r>
      <w:proofErr w:type="spellStart"/>
      <w:r w:rsidRPr="00663995">
        <w:rPr>
          <w:sz w:val="22"/>
          <w:szCs w:val="22"/>
        </w:rPr>
        <w:t>Edukopro</w:t>
      </w:r>
      <w:proofErr w:type="spellEnd"/>
      <w:r w:rsidRPr="00663995">
        <w:rPr>
          <w:sz w:val="22"/>
          <w:szCs w:val="22"/>
        </w:rPr>
        <w:t xml:space="preserve">. </w:t>
      </w:r>
    </w:p>
    <w:p w14:paraId="0F5C02D9" w14:textId="3554F2D3" w:rsidR="00D119FD" w:rsidRPr="00663995" w:rsidRDefault="00D119FD" w:rsidP="00D119FD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bookmarkStart w:id="8" w:name="_Hlk166674666"/>
      <w:r w:rsidRPr="009B552E">
        <w:rPr>
          <w:sz w:val="22"/>
          <w:szCs w:val="22"/>
        </w:rPr>
        <w:t xml:space="preserve">Projekt </w:t>
      </w:r>
      <w:hyperlink r:id="rId11" w:history="1">
        <w:proofErr w:type="spellStart"/>
        <w:r w:rsidRPr="009B552E">
          <w:rPr>
            <w:rStyle w:val="Hiperveza"/>
            <w:color w:val="auto"/>
            <w:sz w:val="22"/>
            <w:szCs w:val="22"/>
          </w:rPr>
          <w:t>Beyond</w:t>
        </w:r>
        <w:proofErr w:type="spellEnd"/>
        <w:r w:rsidRPr="009B552E">
          <w:rPr>
            <w:rStyle w:val="Hiperveza"/>
            <w:color w:val="auto"/>
            <w:sz w:val="22"/>
            <w:szCs w:val="22"/>
          </w:rPr>
          <w:t xml:space="preserve"> </w:t>
        </w:r>
        <w:proofErr w:type="spellStart"/>
        <w:r w:rsidRPr="009B552E">
          <w:rPr>
            <w:rStyle w:val="Hiperveza"/>
            <w:color w:val="auto"/>
            <w:sz w:val="22"/>
            <w:szCs w:val="22"/>
          </w:rPr>
          <w:t>lack</w:t>
        </w:r>
        <w:proofErr w:type="spellEnd"/>
        <w:r w:rsidRPr="009B552E">
          <w:rPr>
            <w:rStyle w:val="Hiperveza"/>
            <w:color w:val="auto"/>
            <w:sz w:val="22"/>
            <w:szCs w:val="22"/>
          </w:rPr>
          <w:t xml:space="preserve"> </w:t>
        </w:r>
        <w:proofErr w:type="spellStart"/>
        <w:r w:rsidRPr="009B552E">
          <w:rPr>
            <w:rStyle w:val="Hiperveza"/>
            <w:color w:val="auto"/>
            <w:sz w:val="22"/>
            <w:szCs w:val="22"/>
          </w:rPr>
          <w:t>of</w:t>
        </w:r>
        <w:proofErr w:type="spellEnd"/>
        <w:r w:rsidRPr="009B552E">
          <w:rPr>
            <w:rStyle w:val="Hiperveza"/>
            <w:color w:val="auto"/>
            <w:sz w:val="22"/>
            <w:szCs w:val="22"/>
          </w:rPr>
          <w:t xml:space="preserve"> </w:t>
        </w:r>
        <w:proofErr w:type="spellStart"/>
        <w:r w:rsidRPr="009B552E">
          <w:rPr>
            <w:rStyle w:val="Hiperveza"/>
            <w:color w:val="auto"/>
            <w:sz w:val="22"/>
            <w:szCs w:val="22"/>
          </w:rPr>
          <w:t>Understanding</w:t>
        </w:r>
        <w:proofErr w:type="spellEnd"/>
        <w:r w:rsidRPr="009B552E">
          <w:rPr>
            <w:rStyle w:val="Hiperveza"/>
            <w:color w:val="auto"/>
            <w:sz w:val="22"/>
            <w:szCs w:val="22"/>
          </w:rPr>
          <w:t xml:space="preserve">, </w:t>
        </w:r>
        <w:proofErr w:type="spellStart"/>
        <w:r w:rsidRPr="009B552E">
          <w:rPr>
            <w:rStyle w:val="Hiperveza"/>
            <w:color w:val="auto"/>
            <w:sz w:val="22"/>
            <w:szCs w:val="22"/>
          </w:rPr>
          <w:t>Beyond</w:t>
        </w:r>
        <w:proofErr w:type="spellEnd"/>
        <w:r w:rsidRPr="009B552E">
          <w:rPr>
            <w:rStyle w:val="Hiperveza"/>
            <w:color w:val="auto"/>
            <w:sz w:val="22"/>
            <w:szCs w:val="22"/>
          </w:rPr>
          <w:t xml:space="preserve"> </w:t>
        </w:r>
        <w:proofErr w:type="spellStart"/>
        <w:r w:rsidRPr="009B552E">
          <w:rPr>
            <w:rStyle w:val="Hiperveza"/>
            <w:color w:val="auto"/>
            <w:sz w:val="22"/>
            <w:szCs w:val="22"/>
          </w:rPr>
          <w:t>disInformation</w:t>
        </w:r>
        <w:proofErr w:type="spellEnd"/>
      </w:hyperlink>
      <w:r w:rsidRPr="00663995">
        <w:rPr>
          <w:sz w:val="22"/>
          <w:szCs w:val="22"/>
        </w:rPr>
        <w:t xml:space="preserve"> iz programa Erasmus+ KA2 ušao je u drugu godinu provedbe. Održan je projektni sastanak u siječnju u </w:t>
      </w:r>
      <w:proofErr w:type="spellStart"/>
      <w:r w:rsidRPr="00663995">
        <w:rPr>
          <w:sz w:val="22"/>
          <w:szCs w:val="22"/>
        </w:rPr>
        <w:t>Piraeusu</w:t>
      </w:r>
      <w:proofErr w:type="spellEnd"/>
      <w:r w:rsidRPr="00663995">
        <w:rPr>
          <w:sz w:val="22"/>
          <w:szCs w:val="22"/>
        </w:rPr>
        <w:t xml:space="preserve"> (Grčka), </w:t>
      </w:r>
      <w:r w:rsidR="00FB7F67" w:rsidRPr="00663995">
        <w:rPr>
          <w:sz w:val="22"/>
          <w:szCs w:val="22"/>
        </w:rPr>
        <w:t xml:space="preserve">a </w:t>
      </w:r>
      <w:r w:rsidRPr="00663995">
        <w:rPr>
          <w:sz w:val="22"/>
          <w:szCs w:val="22"/>
        </w:rPr>
        <w:t>s ciljem istraživanja navika konzumacije vijesti i razumijevanja vijesti kod različitih korisnika te procjene sposobnosti prepoznavanja manipulativnog jezika i lažnih vijesti održali smo tri fokus grupe za ukupno 30 osoba iz ciljne skupine 50+. Cilj projekta je bolje upoznati funkcionalnu pismenost i mogućnosti njenog utjecaja na sposobnost prepoznavanja dezinformacija. Projekt bi trebao završiti 31. listopada 2025. godine.</w:t>
      </w:r>
    </w:p>
    <w:p w14:paraId="57E5E891" w14:textId="77777777" w:rsidR="00D119FD" w:rsidRPr="00663995" w:rsidRDefault="00D119FD" w:rsidP="00D119FD">
      <w:pPr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663995">
        <w:rPr>
          <w:sz w:val="22"/>
          <w:szCs w:val="22"/>
        </w:rPr>
        <w:t>Prvi projekt u okviru odobrene Erasmus Akreditacije u području obrazovanja odraslih za razdoblje od 2024. do 2027. godine započeo je 1.6.2024. i traje do 31.8.2025. godine. U okviru projekta predviđene su četiri mobilnosti osoblja i aktivnost pozvanog stručnjaka koja je realizirana u prosincu 2024. godine kad je psihologinja Ana Mirković održala trodnevni trening za sve djelatnike POU Koprivnica na temu komunikacije i timskog rada. Mobilnosti se održavaju u svibnju, lipnju i dvije u srpnju.</w:t>
      </w:r>
    </w:p>
    <w:bookmarkEnd w:id="8"/>
    <w:p w14:paraId="7570C746" w14:textId="77777777" w:rsidR="00617341" w:rsidRPr="00663995" w:rsidRDefault="00617341" w:rsidP="007D0911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</w:p>
    <w:p w14:paraId="701C4CEF" w14:textId="77777777" w:rsidR="00432A5C" w:rsidRPr="00663995" w:rsidRDefault="00432A5C" w:rsidP="007D0911">
      <w:pPr>
        <w:tabs>
          <w:tab w:val="left" w:pos="7425"/>
        </w:tabs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3E481A6E" w14:textId="68CF3475" w:rsidR="004E7287" w:rsidRPr="00663995" w:rsidRDefault="00CE4993" w:rsidP="007D0911">
      <w:pPr>
        <w:tabs>
          <w:tab w:val="left" w:pos="7425"/>
        </w:tabs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663995">
        <w:rPr>
          <w:b/>
          <w:bCs/>
          <w:color w:val="000000" w:themeColor="text1"/>
          <w:sz w:val="22"/>
          <w:szCs w:val="22"/>
        </w:rPr>
        <w:t xml:space="preserve">OBRAZLOŽENJE </w:t>
      </w:r>
      <w:r w:rsidR="007326D8" w:rsidRPr="00663995">
        <w:rPr>
          <w:b/>
          <w:bCs/>
          <w:color w:val="000000" w:themeColor="text1"/>
          <w:sz w:val="22"/>
          <w:szCs w:val="22"/>
        </w:rPr>
        <w:t>POSEBN</w:t>
      </w:r>
      <w:r w:rsidRPr="00663995">
        <w:rPr>
          <w:b/>
          <w:bCs/>
          <w:color w:val="000000" w:themeColor="text1"/>
          <w:sz w:val="22"/>
          <w:szCs w:val="22"/>
        </w:rPr>
        <w:t>OG</w:t>
      </w:r>
      <w:r w:rsidR="007326D8" w:rsidRPr="00663995">
        <w:rPr>
          <w:b/>
          <w:bCs/>
          <w:color w:val="000000" w:themeColor="text1"/>
          <w:sz w:val="22"/>
          <w:szCs w:val="22"/>
        </w:rPr>
        <w:t xml:space="preserve"> DI</w:t>
      </w:r>
      <w:r w:rsidRPr="00663995">
        <w:rPr>
          <w:b/>
          <w:bCs/>
          <w:color w:val="000000" w:themeColor="text1"/>
          <w:sz w:val="22"/>
          <w:szCs w:val="22"/>
        </w:rPr>
        <w:t>JELA</w:t>
      </w:r>
    </w:p>
    <w:p w14:paraId="1A72DB05" w14:textId="6AFB1B02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color w:val="000000" w:themeColor="text1"/>
          <w:sz w:val="22"/>
          <w:szCs w:val="22"/>
        </w:rPr>
        <w:t xml:space="preserve"> </w:t>
      </w:r>
    </w:p>
    <w:p w14:paraId="4348FF4C" w14:textId="77777777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663995">
        <w:rPr>
          <w:b/>
          <w:bCs/>
          <w:color w:val="000000" w:themeColor="text1"/>
          <w:sz w:val="22"/>
          <w:szCs w:val="22"/>
        </w:rPr>
        <w:t>Naziv aktivnosti:</w:t>
      </w:r>
    </w:p>
    <w:p w14:paraId="6276CE17" w14:textId="77777777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02CD2D23" w14:textId="27A98C7E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b/>
          <w:bCs/>
          <w:color w:val="000000" w:themeColor="text1"/>
          <w:sz w:val="22"/>
          <w:szCs w:val="22"/>
        </w:rPr>
        <w:t xml:space="preserve">A300401 </w:t>
      </w:r>
      <w:bookmarkStart w:id="9" w:name="_Hlk25578828"/>
      <w:r w:rsidRPr="00663995">
        <w:rPr>
          <w:b/>
          <w:bCs/>
          <w:color w:val="000000" w:themeColor="text1"/>
          <w:sz w:val="22"/>
          <w:szCs w:val="22"/>
        </w:rPr>
        <w:t>Centar za cjeloživotno učenje</w:t>
      </w:r>
      <w:r w:rsidRPr="00663995">
        <w:rPr>
          <w:color w:val="000000" w:themeColor="text1"/>
          <w:sz w:val="22"/>
          <w:szCs w:val="22"/>
        </w:rPr>
        <w:t xml:space="preserve"> </w:t>
      </w:r>
      <w:bookmarkEnd w:id="9"/>
      <w:r w:rsidRPr="00663995">
        <w:rPr>
          <w:color w:val="000000" w:themeColor="text1"/>
          <w:sz w:val="22"/>
          <w:szCs w:val="22"/>
        </w:rPr>
        <w:t>- izvor financiranja: opći prihodi i primici / 1</w:t>
      </w:r>
      <w:r w:rsidR="001B6A61" w:rsidRPr="00663995">
        <w:rPr>
          <w:color w:val="000000" w:themeColor="text1"/>
          <w:sz w:val="22"/>
          <w:szCs w:val="22"/>
        </w:rPr>
        <w:t>1</w:t>
      </w:r>
      <w:r w:rsidRPr="00663995">
        <w:rPr>
          <w:color w:val="000000" w:themeColor="text1"/>
          <w:sz w:val="22"/>
          <w:szCs w:val="22"/>
        </w:rPr>
        <w:t xml:space="preserve"> i  vlastiti prihodi / </w:t>
      </w:r>
      <w:r w:rsidR="00CE6C03" w:rsidRPr="00663995">
        <w:rPr>
          <w:color w:val="000000" w:themeColor="text1"/>
          <w:sz w:val="22"/>
          <w:szCs w:val="22"/>
        </w:rPr>
        <w:t>3</w:t>
      </w:r>
      <w:r w:rsidR="001B6A61" w:rsidRPr="00663995">
        <w:rPr>
          <w:color w:val="000000" w:themeColor="text1"/>
          <w:sz w:val="22"/>
          <w:szCs w:val="22"/>
        </w:rPr>
        <w:t>1</w:t>
      </w:r>
    </w:p>
    <w:p w14:paraId="144956F5" w14:textId="183EF34F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color w:val="000000" w:themeColor="text1"/>
          <w:sz w:val="22"/>
          <w:szCs w:val="22"/>
        </w:rPr>
        <w:t xml:space="preserve">Za financiranje Centra za cjeloživotno učenje prethodno je planiran iznos od </w:t>
      </w:r>
      <w:r w:rsidR="00520D93" w:rsidRPr="00663995">
        <w:rPr>
          <w:color w:val="000000" w:themeColor="text1"/>
          <w:sz w:val="22"/>
          <w:szCs w:val="22"/>
        </w:rPr>
        <w:t>46</w:t>
      </w:r>
      <w:r w:rsidRPr="00663995">
        <w:rPr>
          <w:color w:val="000000" w:themeColor="text1"/>
          <w:sz w:val="22"/>
          <w:szCs w:val="22"/>
        </w:rPr>
        <w:t>.</w:t>
      </w:r>
      <w:r w:rsidR="00FA4736" w:rsidRPr="00663995">
        <w:rPr>
          <w:color w:val="000000" w:themeColor="text1"/>
          <w:sz w:val="22"/>
          <w:szCs w:val="22"/>
        </w:rPr>
        <w:t>775,</w:t>
      </w:r>
      <w:r w:rsidRPr="00663995">
        <w:rPr>
          <w:color w:val="000000" w:themeColor="text1"/>
          <w:sz w:val="22"/>
          <w:szCs w:val="22"/>
        </w:rPr>
        <w:t xml:space="preserve">00 €. Planirana sredstva za aktivnosti povećavaju se za iznos od </w:t>
      </w:r>
      <w:r w:rsidR="007877A6" w:rsidRPr="00663995">
        <w:rPr>
          <w:color w:val="000000" w:themeColor="text1"/>
          <w:sz w:val="22"/>
          <w:szCs w:val="22"/>
        </w:rPr>
        <w:t>2.320</w:t>
      </w:r>
      <w:r w:rsidRPr="00663995">
        <w:rPr>
          <w:color w:val="000000" w:themeColor="text1"/>
          <w:sz w:val="22"/>
          <w:szCs w:val="22"/>
        </w:rPr>
        <w:t xml:space="preserve"> € iz viška prihoda poslovanja za materijalne rashode. Iz izvora općih prihoda i primitaka planirali smo rashod za</w:t>
      </w:r>
      <w:r w:rsidR="00040A3D" w:rsidRPr="00663995">
        <w:rPr>
          <w:color w:val="000000" w:themeColor="text1"/>
          <w:sz w:val="22"/>
          <w:szCs w:val="22"/>
        </w:rPr>
        <w:t xml:space="preserve"> nabavu videonadzora</w:t>
      </w:r>
      <w:r w:rsidR="00511CCA" w:rsidRPr="00663995">
        <w:rPr>
          <w:color w:val="000000" w:themeColor="text1"/>
          <w:sz w:val="22"/>
          <w:szCs w:val="22"/>
        </w:rPr>
        <w:t xml:space="preserve"> zgrade</w:t>
      </w:r>
      <w:r w:rsidRPr="00663995">
        <w:rPr>
          <w:color w:val="000000" w:themeColor="text1"/>
          <w:sz w:val="22"/>
          <w:szCs w:val="22"/>
        </w:rPr>
        <w:t>.</w:t>
      </w:r>
    </w:p>
    <w:p w14:paraId="2C68E817" w14:textId="77777777" w:rsidR="004951E8" w:rsidRPr="00663995" w:rsidRDefault="004951E8" w:rsidP="007D0911">
      <w:pPr>
        <w:tabs>
          <w:tab w:val="left" w:pos="7425"/>
        </w:tabs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0FA1CB30" w14:textId="6D86CF1F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b/>
          <w:bCs/>
          <w:color w:val="000000" w:themeColor="text1"/>
          <w:sz w:val="22"/>
          <w:szCs w:val="22"/>
        </w:rPr>
        <w:t>A300404 Andragoška djelatnost</w:t>
      </w:r>
      <w:r w:rsidRPr="00663995">
        <w:rPr>
          <w:color w:val="000000" w:themeColor="text1"/>
          <w:sz w:val="22"/>
          <w:szCs w:val="22"/>
        </w:rPr>
        <w:t xml:space="preserve"> - izvor financiranja: vlastiti prihodi / </w:t>
      </w:r>
      <w:r w:rsidR="001B6A61" w:rsidRPr="00663995">
        <w:rPr>
          <w:color w:val="000000" w:themeColor="text1"/>
          <w:sz w:val="22"/>
          <w:szCs w:val="22"/>
        </w:rPr>
        <w:t>31</w:t>
      </w:r>
    </w:p>
    <w:p w14:paraId="4CFCA3B0" w14:textId="2F1E526F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bookmarkStart w:id="10" w:name="_Hlk25582541"/>
      <w:bookmarkStart w:id="11" w:name="_Hlk518296848"/>
      <w:bookmarkStart w:id="12" w:name="_Hlk58856475"/>
      <w:r w:rsidRPr="00663995">
        <w:rPr>
          <w:color w:val="000000" w:themeColor="text1"/>
          <w:sz w:val="22"/>
          <w:szCs w:val="22"/>
        </w:rPr>
        <w:t xml:space="preserve">Za financiranje Andragoške djelatnosti prethodno je planiran iznos od </w:t>
      </w:r>
      <w:r w:rsidR="006527BB" w:rsidRPr="00663995">
        <w:rPr>
          <w:color w:val="000000" w:themeColor="text1"/>
          <w:sz w:val="22"/>
          <w:szCs w:val="22"/>
        </w:rPr>
        <w:t>104.920</w:t>
      </w:r>
      <w:r w:rsidRPr="00663995">
        <w:rPr>
          <w:color w:val="000000" w:themeColor="text1"/>
          <w:sz w:val="22"/>
          <w:szCs w:val="22"/>
        </w:rPr>
        <w:t xml:space="preserve"> € </w:t>
      </w:r>
      <w:bookmarkStart w:id="13" w:name="_Hlk518297581"/>
      <w:r w:rsidRPr="00663995">
        <w:rPr>
          <w:color w:val="000000" w:themeColor="text1"/>
          <w:sz w:val="22"/>
          <w:szCs w:val="22"/>
        </w:rPr>
        <w:t xml:space="preserve">te se predlaže povećanje u ukupnom iznosu od </w:t>
      </w:r>
      <w:r w:rsidR="006527BB" w:rsidRPr="00663995">
        <w:rPr>
          <w:color w:val="000000" w:themeColor="text1"/>
          <w:sz w:val="22"/>
          <w:szCs w:val="22"/>
        </w:rPr>
        <w:t>22.500</w:t>
      </w:r>
      <w:r w:rsidRPr="00663995">
        <w:rPr>
          <w:color w:val="000000" w:themeColor="text1"/>
          <w:sz w:val="22"/>
          <w:szCs w:val="22"/>
        </w:rPr>
        <w:t xml:space="preserve"> €</w:t>
      </w:r>
      <w:bookmarkEnd w:id="10"/>
      <w:r w:rsidRPr="00663995">
        <w:rPr>
          <w:color w:val="000000" w:themeColor="text1"/>
          <w:sz w:val="22"/>
          <w:szCs w:val="22"/>
        </w:rPr>
        <w:t xml:space="preserve"> iz vlastitih prihoda. </w:t>
      </w:r>
      <w:r w:rsidR="007E5E98" w:rsidRPr="00663995">
        <w:rPr>
          <w:color w:val="000000" w:themeColor="text1"/>
          <w:sz w:val="22"/>
          <w:szCs w:val="22"/>
        </w:rPr>
        <w:t>P</w:t>
      </w:r>
      <w:r w:rsidRPr="00663995">
        <w:rPr>
          <w:color w:val="000000" w:themeColor="text1"/>
          <w:sz w:val="22"/>
          <w:szCs w:val="22"/>
        </w:rPr>
        <w:t>ovećanje se odnosi na</w:t>
      </w:r>
      <w:bookmarkEnd w:id="11"/>
      <w:bookmarkEnd w:id="13"/>
      <w:r w:rsidRPr="00663995">
        <w:rPr>
          <w:color w:val="000000" w:themeColor="text1"/>
          <w:sz w:val="22"/>
          <w:szCs w:val="22"/>
        </w:rPr>
        <w:t xml:space="preserve"> materijalne</w:t>
      </w:r>
      <w:r w:rsidR="0048049E" w:rsidRPr="00663995">
        <w:rPr>
          <w:color w:val="000000" w:themeColor="text1"/>
          <w:sz w:val="22"/>
          <w:szCs w:val="22"/>
        </w:rPr>
        <w:t xml:space="preserve"> </w:t>
      </w:r>
      <w:r w:rsidRPr="00663995">
        <w:rPr>
          <w:color w:val="000000" w:themeColor="text1"/>
          <w:sz w:val="22"/>
          <w:szCs w:val="22"/>
        </w:rPr>
        <w:t xml:space="preserve">troškove (uredski mat. i </w:t>
      </w:r>
      <w:r w:rsidR="00E90924" w:rsidRPr="00663995">
        <w:rPr>
          <w:color w:val="000000" w:themeColor="text1"/>
          <w:sz w:val="22"/>
          <w:szCs w:val="22"/>
        </w:rPr>
        <w:t>stručna usavršavanja, ostale usluge</w:t>
      </w:r>
      <w:r w:rsidRPr="00663995">
        <w:rPr>
          <w:color w:val="000000" w:themeColor="text1"/>
          <w:sz w:val="22"/>
          <w:szCs w:val="22"/>
        </w:rPr>
        <w:t>) u skladu s troškovima za potrebe poslovanja obrazovne djelatnosti</w:t>
      </w:r>
      <w:bookmarkEnd w:id="12"/>
      <w:r w:rsidRPr="00663995">
        <w:rPr>
          <w:color w:val="000000" w:themeColor="text1"/>
          <w:sz w:val="22"/>
          <w:szCs w:val="22"/>
        </w:rPr>
        <w:t xml:space="preserve">. </w:t>
      </w:r>
    </w:p>
    <w:p w14:paraId="333EB529" w14:textId="77777777" w:rsidR="000F0C2B" w:rsidRPr="00663995" w:rsidRDefault="000F0C2B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13207A12" w14:textId="693609CC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b/>
          <w:bCs/>
          <w:color w:val="000000" w:themeColor="text1"/>
          <w:sz w:val="22"/>
          <w:szCs w:val="22"/>
        </w:rPr>
        <w:t>A300801 Glazbeno–scenska djelatnost</w:t>
      </w:r>
      <w:r w:rsidRPr="00663995">
        <w:rPr>
          <w:color w:val="000000" w:themeColor="text1"/>
          <w:sz w:val="22"/>
          <w:szCs w:val="22"/>
        </w:rPr>
        <w:t xml:space="preserve"> - </w:t>
      </w:r>
      <w:bookmarkStart w:id="14" w:name="_Hlk200542346"/>
      <w:r w:rsidRPr="00663995">
        <w:rPr>
          <w:color w:val="000000" w:themeColor="text1"/>
          <w:sz w:val="22"/>
          <w:szCs w:val="22"/>
        </w:rPr>
        <w:t>izvor financiranja: opći prihodi i primici / 1</w:t>
      </w:r>
      <w:r w:rsidR="001B6A61" w:rsidRPr="00663995">
        <w:rPr>
          <w:color w:val="000000" w:themeColor="text1"/>
          <w:sz w:val="22"/>
          <w:szCs w:val="22"/>
        </w:rPr>
        <w:t>1</w:t>
      </w:r>
      <w:r w:rsidR="00A737F8" w:rsidRPr="00663995">
        <w:rPr>
          <w:color w:val="000000" w:themeColor="text1"/>
          <w:sz w:val="22"/>
          <w:szCs w:val="22"/>
        </w:rPr>
        <w:t xml:space="preserve">, </w:t>
      </w:r>
      <w:r w:rsidRPr="00663995">
        <w:rPr>
          <w:color w:val="000000" w:themeColor="text1"/>
          <w:sz w:val="22"/>
          <w:szCs w:val="22"/>
        </w:rPr>
        <w:t xml:space="preserve"> tekuće pomoći iz nenadležnog proračuna / </w:t>
      </w:r>
      <w:r w:rsidR="00D8342C">
        <w:rPr>
          <w:color w:val="000000" w:themeColor="text1"/>
          <w:sz w:val="22"/>
          <w:szCs w:val="22"/>
        </w:rPr>
        <w:t>55</w:t>
      </w:r>
    </w:p>
    <w:p w14:paraId="5FF7C3ED" w14:textId="0E45C019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bookmarkStart w:id="15" w:name="_Hlk58856563"/>
      <w:bookmarkEnd w:id="14"/>
      <w:r w:rsidRPr="00663995">
        <w:rPr>
          <w:color w:val="000000" w:themeColor="text1"/>
          <w:sz w:val="22"/>
          <w:szCs w:val="22"/>
        </w:rPr>
        <w:t xml:space="preserve">Za financiranje glazbeno scenske djelatnosti u POU Koprivnica planiran je iznos od </w:t>
      </w:r>
      <w:r w:rsidR="00AC0AB7" w:rsidRPr="00663995">
        <w:rPr>
          <w:color w:val="000000" w:themeColor="text1"/>
          <w:sz w:val="22"/>
          <w:szCs w:val="22"/>
        </w:rPr>
        <w:t>4</w:t>
      </w:r>
      <w:r w:rsidR="00E22EA6" w:rsidRPr="00663995">
        <w:rPr>
          <w:color w:val="000000" w:themeColor="text1"/>
          <w:sz w:val="22"/>
          <w:szCs w:val="22"/>
        </w:rPr>
        <w:t>29.465</w:t>
      </w:r>
      <w:r w:rsidRPr="00663995">
        <w:rPr>
          <w:color w:val="000000" w:themeColor="text1"/>
          <w:sz w:val="22"/>
          <w:szCs w:val="22"/>
        </w:rPr>
        <w:t xml:space="preserve">,00 €. </w:t>
      </w:r>
      <w:bookmarkStart w:id="16" w:name="_Hlk40289526"/>
    </w:p>
    <w:p w14:paraId="3F244E90" w14:textId="066516C9" w:rsidR="007326D8" w:rsidRPr="00663995" w:rsidRDefault="006A3B57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color w:val="000000" w:themeColor="text1"/>
          <w:sz w:val="22"/>
          <w:szCs w:val="22"/>
        </w:rPr>
        <w:t>Na ovoj aktivnosti p</w:t>
      </w:r>
      <w:r w:rsidR="007326D8" w:rsidRPr="00663995">
        <w:rPr>
          <w:color w:val="000000" w:themeColor="text1"/>
          <w:sz w:val="22"/>
          <w:szCs w:val="22"/>
        </w:rPr>
        <w:t>redlažemo povećanje</w:t>
      </w:r>
      <w:r w:rsidRPr="00663995">
        <w:rPr>
          <w:color w:val="000000" w:themeColor="text1"/>
          <w:sz w:val="22"/>
          <w:szCs w:val="22"/>
        </w:rPr>
        <w:t xml:space="preserve"> u ukupnom iznosu od</w:t>
      </w:r>
      <w:r w:rsidR="007326D8" w:rsidRPr="00663995">
        <w:rPr>
          <w:color w:val="000000" w:themeColor="text1"/>
          <w:sz w:val="22"/>
          <w:szCs w:val="22"/>
        </w:rPr>
        <w:t xml:space="preserve"> </w:t>
      </w:r>
      <w:r w:rsidR="00E22EA6" w:rsidRPr="00663995">
        <w:rPr>
          <w:color w:val="000000" w:themeColor="text1"/>
          <w:sz w:val="22"/>
          <w:szCs w:val="22"/>
        </w:rPr>
        <w:t>139.100</w:t>
      </w:r>
      <w:r w:rsidR="007326D8" w:rsidRPr="00663995">
        <w:rPr>
          <w:color w:val="000000" w:themeColor="text1"/>
          <w:sz w:val="22"/>
          <w:szCs w:val="22"/>
        </w:rPr>
        <w:t>,00 €</w:t>
      </w:r>
      <w:r w:rsidR="00C261B8" w:rsidRPr="00663995">
        <w:rPr>
          <w:color w:val="000000" w:themeColor="text1"/>
          <w:sz w:val="22"/>
          <w:szCs w:val="22"/>
        </w:rPr>
        <w:t xml:space="preserve">. </w:t>
      </w:r>
      <w:r w:rsidR="004E6B6C" w:rsidRPr="00663995">
        <w:rPr>
          <w:color w:val="000000" w:themeColor="text1"/>
          <w:sz w:val="22"/>
          <w:szCs w:val="22"/>
        </w:rPr>
        <w:t>Poveća</w:t>
      </w:r>
      <w:r w:rsidR="00C261B8" w:rsidRPr="00663995">
        <w:rPr>
          <w:color w:val="000000" w:themeColor="text1"/>
          <w:sz w:val="22"/>
          <w:szCs w:val="22"/>
        </w:rPr>
        <w:t>nje se odnosi na ras</w:t>
      </w:r>
      <w:r w:rsidR="001164C7" w:rsidRPr="00663995">
        <w:rPr>
          <w:color w:val="000000" w:themeColor="text1"/>
          <w:sz w:val="22"/>
          <w:szCs w:val="22"/>
        </w:rPr>
        <w:t>hode za</w:t>
      </w:r>
      <w:r w:rsidR="004E6B6C" w:rsidRPr="00663995">
        <w:rPr>
          <w:color w:val="000000" w:themeColor="text1"/>
          <w:sz w:val="22"/>
          <w:szCs w:val="22"/>
        </w:rPr>
        <w:t xml:space="preserve"> zaposlene koji nam je potreban za isplatu plaća do kraja 202</w:t>
      </w:r>
      <w:r w:rsidR="00E22EA6" w:rsidRPr="00663995">
        <w:rPr>
          <w:color w:val="000000" w:themeColor="text1"/>
          <w:sz w:val="22"/>
          <w:szCs w:val="22"/>
        </w:rPr>
        <w:t>5</w:t>
      </w:r>
      <w:r w:rsidR="004E6B6C" w:rsidRPr="00663995">
        <w:rPr>
          <w:color w:val="000000" w:themeColor="text1"/>
          <w:sz w:val="22"/>
          <w:szCs w:val="22"/>
        </w:rPr>
        <w:t>. godine</w:t>
      </w:r>
      <w:r w:rsidR="00837CE4" w:rsidRPr="00663995">
        <w:rPr>
          <w:color w:val="000000" w:themeColor="text1"/>
          <w:sz w:val="22"/>
          <w:szCs w:val="22"/>
        </w:rPr>
        <w:t xml:space="preserve"> te materijalne rashode (zakupnine i najamnine za predstave</w:t>
      </w:r>
      <w:r w:rsidR="00B82837" w:rsidRPr="00663995">
        <w:rPr>
          <w:color w:val="000000" w:themeColor="text1"/>
          <w:sz w:val="22"/>
          <w:szCs w:val="22"/>
        </w:rPr>
        <w:t xml:space="preserve">) iz izvora </w:t>
      </w:r>
      <w:r w:rsidR="00D859BD" w:rsidRPr="00663995">
        <w:rPr>
          <w:color w:val="000000" w:themeColor="text1"/>
          <w:sz w:val="22"/>
          <w:szCs w:val="22"/>
        </w:rPr>
        <w:t>općih prihoda i primitaka.</w:t>
      </w:r>
      <w:r w:rsidR="00517AC0" w:rsidRPr="00663995">
        <w:rPr>
          <w:color w:val="000000" w:themeColor="text1"/>
          <w:sz w:val="22"/>
          <w:szCs w:val="22"/>
        </w:rPr>
        <w:t xml:space="preserve"> S</w:t>
      </w:r>
      <w:r w:rsidR="00485716" w:rsidRPr="00663995">
        <w:rPr>
          <w:color w:val="000000" w:themeColor="text1"/>
          <w:sz w:val="22"/>
          <w:szCs w:val="22"/>
        </w:rPr>
        <w:t xml:space="preserve">manjujemo materijalne troškove za zakupnine i najamnine </w:t>
      </w:r>
      <w:r w:rsidR="0064695F" w:rsidRPr="00663995">
        <w:rPr>
          <w:color w:val="000000" w:themeColor="text1"/>
          <w:sz w:val="22"/>
          <w:szCs w:val="22"/>
        </w:rPr>
        <w:t xml:space="preserve"> i </w:t>
      </w:r>
      <w:r w:rsidR="007326D8" w:rsidRPr="00663995">
        <w:rPr>
          <w:color w:val="000000" w:themeColor="text1"/>
          <w:sz w:val="22"/>
          <w:szCs w:val="22"/>
        </w:rPr>
        <w:t>intelektualne usluge iz izvora nenadležnog proračuna u skladu s rezultatima natječaja Ministarstva kulture i medija RH</w:t>
      </w:r>
      <w:bookmarkEnd w:id="15"/>
      <w:bookmarkEnd w:id="16"/>
      <w:r w:rsidR="007326D8" w:rsidRPr="00663995">
        <w:rPr>
          <w:color w:val="000000" w:themeColor="text1"/>
          <w:sz w:val="22"/>
          <w:szCs w:val="22"/>
        </w:rPr>
        <w:t xml:space="preserve">. </w:t>
      </w:r>
    </w:p>
    <w:p w14:paraId="2578C3EC" w14:textId="77777777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2500E9B6" w14:textId="31F463E3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sz w:val="22"/>
          <w:szCs w:val="22"/>
        </w:rPr>
      </w:pPr>
      <w:r w:rsidRPr="00663995">
        <w:rPr>
          <w:b/>
          <w:bCs/>
          <w:sz w:val="22"/>
          <w:szCs w:val="22"/>
        </w:rPr>
        <w:lastRenderedPageBreak/>
        <w:t>A300802 Filmska djelatnost</w:t>
      </w:r>
      <w:r w:rsidRPr="00663995">
        <w:rPr>
          <w:sz w:val="22"/>
          <w:szCs w:val="22"/>
        </w:rPr>
        <w:t xml:space="preserve"> - izvor financiranja: vlastiti prihodi / </w:t>
      </w:r>
      <w:r w:rsidR="003C18E6">
        <w:rPr>
          <w:sz w:val="22"/>
          <w:szCs w:val="22"/>
        </w:rPr>
        <w:t>31</w:t>
      </w:r>
      <w:r w:rsidRPr="00663995">
        <w:rPr>
          <w:sz w:val="22"/>
          <w:szCs w:val="22"/>
        </w:rPr>
        <w:t xml:space="preserve"> i opći prihodi, primici / </w:t>
      </w:r>
      <w:r w:rsidR="003C18E6">
        <w:rPr>
          <w:sz w:val="22"/>
          <w:szCs w:val="22"/>
        </w:rPr>
        <w:t>1</w:t>
      </w:r>
      <w:r w:rsidRPr="00663995">
        <w:rPr>
          <w:sz w:val="22"/>
          <w:szCs w:val="22"/>
        </w:rPr>
        <w:t>1 i pomoći iz nenadležnog proračuna</w:t>
      </w:r>
      <w:r w:rsidR="00107EAC" w:rsidRPr="00663995">
        <w:rPr>
          <w:sz w:val="22"/>
          <w:szCs w:val="22"/>
        </w:rPr>
        <w:t xml:space="preserve"> </w:t>
      </w:r>
      <w:r w:rsidRPr="00663995">
        <w:rPr>
          <w:sz w:val="22"/>
          <w:szCs w:val="22"/>
        </w:rPr>
        <w:t>/</w:t>
      </w:r>
      <w:r w:rsidR="00107EAC" w:rsidRPr="00663995">
        <w:rPr>
          <w:sz w:val="22"/>
          <w:szCs w:val="22"/>
        </w:rPr>
        <w:t xml:space="preserve"> </w:t>
      </w:r>
      <w:r w:rsidR="003C18E6">
        <w:rPr>
          <w:sz w:val="22"/>
          <w:szCs w:val="22"/>
        </w:rPr>
        <w:t>55</w:t>
      </w:r>
    </w:p>
    <w:p w14:paraId="25D51F8E" w14:textId="7DE646FA" w:rsidR="007D3A9C" w:rsidRPr="00663995" w:rsidRDefault="007326D8" w:rsidP="007D3A9C">
      <w:pPr>
        <w:spacing w:line="276" w:lineRule="auto"/>
        <w:contextualSpacing/>
        <w:jc w:val="both"/>
        <w:rPr>
          <w:rFonts w:eastAsia="Calibri"/>
          <w:iCs/>
          <w:sz w:val="22"/>
          <w:szCs w:val="22"/>
        </w:rPr>
      </w:pPr>
      <w:bookmarkStart w:id="17" w:name="_Hlk58856588"/>
      <w:r w:rsidRPr="00663995">
        <w:rPr>
          <w:sz w:val="22"/>
          <w:szCs w:val="22"/>
        </w:rPr>
        <w:t xml:space="preserve">Za financiranje filmske djelatnosti planiran je iznos od </w:t>
      </w:r>
      <w:r w:rsidR="00727E21" w:rsidRPr="00663995">
        <w:rPr>
          <w:sz w:val="22"/>
          <w:szCs w:val="22"/>
        </w:rPr>
        <w:t>91.970</w:t>
      </w:r>
      <w:r w:rsidRPr="00663995">
        <w:rPr>
          <w:sz w:val="22"/>
          <w:szCs w:val="22"/>
        </w:rPr>
        <w:t xml:space="preserve"> € za zgradu kina „Velebit”. Predlažemo povećanje od </w:t>
      </w:r>
      <w:r w:rsidR="003F4E06" w:rsidRPr="00663995">
        <w:rPr>
          <w:sz w:val="22"/>
          <w:szCs w:val="22"/>
        </w:rPr>
        <w:t>16.350</w:t>
      </w:r>
      <w:r w:rsidRPr="00663995">
        <w:rPr>
          <w:sz w:val="22"/>
          <w:szCs w:val="22"/>
        </w:rPr>
        <w:t xml:space="preserve"> €. U navedenoj aktivnosti najveći dio povećanja od 1</w:t>
      </w:r>
      <w:r w:rsidR="007D3A9C" w:rsidRPr="00663995">
        <w:rPr>
          <w:sz w:val="22"/>
          <w:szCs w:val="22"/>
        </w:rPr>
        <w:t>3</w:t>
      </w:r>
      <w:r w:rsidRPr="00663995">
        <w:rPr>
          <w:sz w:val="22"/>
          <w:szCs w:val="22"/>
        </w:rPr>
        <w:t>.</w:t>
      </w:r>
      <w:r w:rsidR="007D3A9C" w:rsidRPr="00663995">
        <w:rPr>
          <w:sz w:val="22"/>
          <w:szCs w:val="22"/>
        </w:rPr>
        <w:t>7</w:t>
      </w:r>
      <w:r w:rsidR="003F4E06" w:rsidRPr="00663995">
        <w:rPr>
          <w:sz w:val="22"/>
          <w:szCs w:val="22"/>
        </w:rPr>
        <w:t>5</w:t>
      </w:r>
      <w:r w:rsidRPr="00663995">
        <w:rPr>
          <w:sz w:val="22"/>
          <w:szCs w:val="22"/>
        </w:rPr>
        <w:t xml:space="preserve">0 € odnosi </w:t>
      </w:r>
      <w:bookmarkEnd w:id="17"/>
      <w:r w:rsidRPr="00663995">
        <w:rPr>
          <w:sz w:val="22"/>
          <w:szCs w:val="22"/>
        </w:rPr>
        <w:t>se na rashode za</w:t>
      </w:r>
      <w:r w:rsidR="007D3A9C" w:rsidRPr="00663995">
        <w:rPr>
          <w:sz w:val="22"/>
          <w:szCs w:val="22"/>
        </w:rPr>
        <w:t xml:space="preserve"> </w:t>
      </w:r>
      <w:r w:rsidR="00B11B83" w:rsidRPr="00663995">
        <w:rPr>
          <w:sz w:val="22"/>
          <w:szCs w:val="22"/>
        </w:rPr>
        <w:t xml:space="preserve">rekonstrukciju postojećeg sustava </w:t>
      </w:r>
      <w:proofErr w:type="spellStart"/>
      <w:r w:rsidR="00B11B83" w:rsidRPr="00663995">
        <w:rPr>
          <w:sz w:val="22"/>
          <w:szCs w:val="22"/>
        </w:rPr>
        <w:t>ventilokonvektorskog</w:t>
      </w:r>
      <w:proofErr w:type="spellEnd"/>
      <w:r w:rsidR="00B11B83" w:rsidRPr="00663995">
        <w:rPr>
          <w:sz w:val="22"/>
          <w:szCs w:val="22"/>
        </w:rPr>
        <w:t xml:space="preserve"> grijanja/hlađenja kina Velebit.</w:t>
      </w:r>
    </w:p>
    <w:p w14:paraId="7AC50315" w14:textId="77777777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EE0000"/>
          <w:sz w:val="22"/>
          <w:szCs w:val="22"/>
        </w:rPr>
      </w:pPr>
    </w:p>
    <w:p w14:paraId="731438B5" w14:textId="3E70DF0C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sz w:val="22"/>
          <w:szCs w:val="22"/>
        </w:rPr>
      </w:pPr>
      <w:r w:rsidRPr="00663995">
        <w:rPr>
          <w:b/>
          <w:bCs/>
          <w:sz w:val="22"/>
          <w:szCs w:val="22"/>
        </w:rPr>
        <w:t>A300803 Glazbeno–scenska djelatnost</w:t>
      </w:r>
      <w:r w:rsidRPr="00663995">
        <w:rPr>
          <w:sz w:val="22"/>
          <w:szCs w:val="22"/>
        </w:rPr>
        <w:t xml:space="preserve"> - izvor financiranja: vlastiti prihodi / </w:t>
      </w:r>
      <w:r w:rsidR="001822F2">
        <w:rPr>
          <w:sz w:val="22"/>
          <w:szCs w:val="22"/>
        </w:rPr>
        <w:t>31</w:t>
      </w:r>
      <w:r w:rsidRPr="00663995">
        <w:rPr>
          <w:sz w:val="22"/>
          <w:szCs w:val="22"/>
        </w:rPr>
        <w:t xml:space="preserve"> i  </w:t>
      </w:r>
      <w:r w:rsidR="00A80CFC" w:rsidRPr="00663995">
        <w:rPr>
          <w:sz w:val="22"/>
          <w:szCs w:val="22"/>
        </w:rPr>
        <w:t>donacije</w:t>
      </w:r>
      <w:r w:rsidRPr="00663995">
        <w:rPr>
          <w:sz w:val="22"/>
          <w:szCs w:val="22"/>
        </w:rPr>
        <w:t>/</w:t>
      </w:r>
      <w:r w:rsidR="006C40EA">
        <w:rPr>
          <w:sz w:val="22"/>
          <w:szCs w:val="22"/>
        </w:rPr>
        <w:t>62</w:t>
      </w:r>
    </w:p>
    <w:p w14:paraId="69D07029" w14:textId="5F696F6F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sz w:val="22"/>
          <w:szCs w:val="22"/>
        </w:rPr>
      </w:pPr>
      <w:bookmarkStart w:id="18" w:name="_Hlk58856717"/>
      <w:r w:rsidRPr="00663995">
        <w:rPr>
          <w:sz w:val="22"/>
          <w:szCs w:val="22"/>
        </w:rPr>
        <w:t xml:space="preserve">Za financiranje glazbeno scenske djelatnosti iz vlastitih sredstava </w:t>
      </w:r>
      <w:bookmarkEnd w:id="18"/>
      <w:r w:rsidRPr="00663995">
        <w:rPr>
          <w:sz w:val="22"/>
          <w:szCs w:val="22"/>
        </w:rPr>
        <w:t>za 202</w:t>
      </w:r>
      <w:r w:rsidR="00633AD1" w:rsidRPr="00663995">
        <w:rPr>
          <w:sz w:val="22"/>
          <w:szCs w:val="22"/>
        </w:rPr>
        <w:t>5</w:t>
      </w:r>
      <w:r w:rsidRPr="00663995">
        <w:rPr>
          <w:sz w:val="22"/>
          <w:szCs w:val="22"/>
        </w:rPr>
        <w:t xml:space="preserve">. godinu planiran je iznos od </w:t>
      </w:r>
      <w:r w:rsidR="00EB585B" w:rsidRPr="00663995">
        <w:rPr>
          <w:sz w:val="22"/>
          <w:szCs w:val="22"/>
        </w:rPr>
        <w:t>82.110</w:t>
      </w:r>
      <w:r w:rsidRPr="00663995">
        <w:rPr>
          <w:sz w:val="22"/>
          <w:szCs w:val="22"/>
        </w:rPr>
        <w:t xml:space="preserve"> €</w:t>
      </w:r>
      <w:r w:rsidR="00AF3431" w:rsidRPr="00663995">
        <w:rPr>
          <w:sz w:val="22"/>
          <w:szCs w:val="22"/>
        </w:rPr>
        <w:t>.</w:t>
      </w:r>
      <w:r w:rsidRPr="00663995">
        <w:rPr>
          <w:sz w:val="22"/>
          <w:szCs w:val="22"/>
        </w:rPr>
        <w:t xml:space="preserve"> Navedenu aktivnost povećavamo za </w:t>
      </w:r>
      <w:r w:rsidR="00EB585B" w:rsidRPr="00663995">
        <w:rPr>
          <w:sz w:val="22"/>
          <w:szCs w:val="22"/>
        </w:rPr>
        <w:t>7.600</w:t>
      </w:r>
      <w:r w:rsidRPr="00663995">
        <w:rPr>
          <w:sz w:val="22"/>
          <w:szCs w:val="22"/>
        </w:rPr>
        <w:t xml:space="preserve"> €</w:t>
      </w:r>
      <w:r w:rsidR="00AF3431" w:rsidRPr="00663995">
        <w:rPr>
          <w:sz w:val="22"/>
          <w:szCs w:val="22"/>
        </w:rPr>
        <w:t xml:space="preserve"> </w:t>
      </w:r>
      <w:r w:rsidR="003C3A71" w:rsidRPr="00663995">
        <w:rPr>
          <w:sz w:val="22"/>
          <w:szCs w:val="22"/>
        </w:rPr>
        <w:t>za potrebe redovnog poslovanja.</w:t>
      </w:r>
    </w:p>
    <w:p w14:paraId="7C6BD132" w14:textId="77777777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4F45787A" w14:textId="60ED27AA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b/>
          <w:bCs/>
          <w:sz w:val="22"/>
          <w:szCs w:val="22"/>
        </w:rPr>
      </w:pPr>
      <w:r w:rsidRPr="00663995">
        <w:rPr>
          <w:b/>
          <w:bCs/>
          <w:sz w:val="22"/>
          <w:szCs w:val="22"/>
        </w:rPr>
        <w:t>K3008006 Rekonstrukcija dvorane Domoljub</w:t>
      </w:r>
      <w:r w:rsidR="0067092C" w:rsidRPr="00663995">
        <w:rPr>
          <w:sz w:val="22"/>
          <w:szCs w:val="22"/>
        </w:rPr>
        <w:t xml:space="preserve"> - izvor financiranja: opći prihodi i primici /</w:t>
      </w:r>
      <w:r w:rsidR="006C40EA">
        <w:rPr>
          <w:sz w:val="22"/>
          <w:szCs w:val="22"/>
        </w:rPr>
        <w:t>11</w:t>
      </w:r>
      <w:r w:rsidR="0067092C" w:rsidRPr="00663995">
        <w:rPr>
          <w:sz w:val="22"/>
          <w:szCs w:val="22"/>
        </w:rPr>
        <w:t xml:space="preserve"> vlastiti prihodi / </w:t>
      </w:r>
      <w:r w:rsidR="006C40EA">
        <w:rPr>
          <w:sz w:val="22"/>
          <w:szCs w:val="22"/>
        </w:rPr>
        <w:t>31</w:t>
      </w:r>
      <w:r w:rsidR="00107EAC" w:rsidRPr="00663995">
        <w:rPr>
          <w:sz w:val="22"/>
          <w:szCs w:val="22"/>
        </w:rPr>
        <w:t xml:space="preserve"> i pomoći iz nenadležnog proračuna / </w:t>
      </w:r>
      <w:r w:rsidR="006C40EA">
        <w:rPr>
          <w:sz w:val="22"/>
          <w:szCs w:val="22"/>
        </w:rPr>
        <w:t>55</w:t>
      </w:r>
    </w:p>
    <w:p w14:paraId="372BD057" w14:textId="083CA399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color w:val="000000" w:themeColor="text1"/>
          <w:sz w:val="22"/>
          <w:szCs w:val="22"/>
        </w:rPr>
        <w:t xml:space="preserve">Za nastavak rekonstrukcije dvorane Domoljub iz nenadležnog proračuna temeljem prijave na natječaj Ministarstva kulture za 2024. godinu planirano je </w:t>
      </w:r>
      <w:r w:rsidR="00B9676A" w:rsidRPr="00663995">
        <w:rPr>
          <w:color w:val="000000" w:themeColor="text1"/>
          <w:sz w:val="22"/>
          <w:szCs w:val="22"/>
        </w:rPr>
        <w:t>20</w:t>
      </w:r>
      <w:r w:rsidRPr="00663995">
        <w:rPr>
          <w:color w:val="000000" w:themeColor="text1"/>
          <w:sz w:val="22"/>
          <w:szCs w:val="22"/>
        </w:rPr>
        <w:t>.</w:t>
      </w:r>
      <w:r w:rsidR="00B9676A" w:rsidRPr="00663995">
        <w:rPr>
          <w:color w:val="000000" w:themeColor="text1"/>
          <w:sz w:val="22"/>
          <w:szCs w:val="22"/>
        </w:rPr>
        <w:t>0</w:t>
      </w:r>
      <w:r w:rsidRPr="00663995">
        <w:rPr>
          <w:color w:val="000000" w:themeColor="text1"/>
          <w:sz w:val="22"/>
          <w:szCs w:val="22"/>
        </w:rPr>
        <w:t xml:space="preserve">00,00 </w:t>
      </w:r>
      <w:r w:rsidR="001F1FB6" w:rsidRPr="00663995">
        <w:rPr>
          <w:color w:val="000000" w:themeColor="text1"/>
          <w:sz w:val="22"/>
          <w:szCs w:val="22"/>
        </w:rPr>
        <w:t>€.</w:t>
      </w:r>
      <w:r w:rsidRPr="00663995">
        <w:rPr>
          <w:color w:val="000000" w:themeColor="text1"/>
          <w:sz w:val="22"/>
          <w:szCs w:val="22"/>
        </w:rPr>
        <w:t xml:space="preserve"> Smanjujemo iznos za dodatna ulaganja na nefinancijskoj imovini</w:t>
      </w:r>
      <w:r w:rsidR="00320A41" w:rsidRPr="00663995">
        <w:rPr>
          <w:color w:val="000000" w:themeColor="text1"/>
          <w:sz w:val="22"/>
          <w:szCs w:val="22"/>
        </w:rPr>
        <w:t xml:space="preserve"> za iznos od </w:t>
      </w:r>
      <w:r w:rsidR="00B9676A" w:rsidRPr="00663995">
        <w:rPr>
          <w:color w:val="000000" w:themeColor="text1"/>
          <w:sz w:val="22"/>
          <w:szCs w:val="22"/>
        </w:rPr>
        <w:t>20</w:t>
      </w:r>
      <w:r w:rsidR="00320A41" w:rsidRPr="00663995">
        <w:rPr>
          <w:color w:val="000000" w:themeColor="text1"/>
          <w:sz w:val="22"/>
          <w:szCs w:val="22"/>
        </w:rPr>
        <w:t>.</w:t>
      </w:r>
      <w:r w:rsidR="00B9676A" w:rsidRPr="00663995">
        <w:rPr>
          <w:color w:val="000000" w:themeColor="text1"/>
          <w:sz w:val="22"/>
          <w:szCs w:val="22"/>
        </w:rPr>
        <w:t>0</w:t>
      </w:r>
      <w:r w:rsidR="00320A41" w:rsidRPr="00663995">
        <w:rPr>
          <w:color w:val="000000" w:themeColor="text1"/>
          <w:sz w:val="22"/>
          <w:szCs w:val="22"/>
        </w:rPr>
        <w:t xml:space="preserve">00,00 € u skladu </w:t>
      </w:r>
      <w:r w:rsidR="00B9676A" w:rsidRPr="00663995">
        <w:rPr>
          <w:color w:val="000000" w:themeColor="text1"/>
          <w:sz w:val="22"/>
          <w:szCs w:val="22"/>
        </w:rPr>
        <w:t>s rezultatima natječaja</w:t>
      </w:r>
      <w:r w:rsidRPr="00663995">
        <w:rPr>
          <w:color w:val="000000" w:themeColor="text1"/>
          <w:sz w:val="22"/>
          <w:szCs w:val="22"/>
        </w:rPr>
        <w:t>.</w:t>
      </w:r>
      <w:r w:rsidR="00D04C4F" w:rsidRPr="00663995">
        <w:rPr>
          <w:color w:val="000000" w:themeColor="text1"/>
          <w:sz w:val="22"/>
          <w:szCs w:val="22"/>
        </w:rPr>
        <w:t xml:space="preserve"> Smanjujemo iznos za dodatna ulaganja na nefinancijskoj imovini za iznos od </w:t>
      </w:r>
      <w:r w:rsidR="00033C4C" w:rsidRPr="00663995">
        <w:rPr>
          <w:color w:val="000000" w:themeColor="text1"/>
          <w:sz w:val="22"/>
          <w:szCs w:val="22"/>
        </w:rPr>
        <w:t>14</w:t>
      </w:r>
      <w:r w:rsidR="00D04C4F" w:rsidRPr="00663995">
        <w:rPr>
          <w:color w:val="000000" w:themeColor="text1"/>
          <w:sz w:val="22"/>
          <w:szCs w:val="22"/>
        </w:rPr>
        <w:t>.</w:t>
      </w:r>
      <w:r w:rsidR="00033C4C" w:rsidRPr="00663995">
        <w:rPr>
          <w:color w:val="000000" w:themeColor="text1"/>
          <w:sz w:val="22"/>
          <w:szCs w:val="22"/>
        </w:rPr>
        <w:t>6</w:t>
      </w:r>
      <w:r w:rsidR="00D04C4F" w:rsidRPr="00663995">
        <w:rPr>
          <w:color w:val="000000" w:themeColor="text1"/>
          <w:sz w:val="22"/>
          <w:szCs w:val="22"/>
        </w:rPr>
        <w:t xml:space="preserve">00,00 € iz izvora opći prihodi i primici jer </w:t>
      </w:r>
      <w:r w:rsidR="009D2BC4" w:rsidRPr="00663995">
        <w:rPr>
          <w:color w:val="000000" w:themeColor="text1"/>
          <w:sz w:val="22"/>
          <w:szCs w:val="22"/>
        </w:rPr>
        <w:t>odobrena sredstva neće biti dovoljna za nastavak rekonstrukcije dvorene Domoljub.</w:t>
      </w:r>
      <w:r w:rsidR="00903B08" w:rsidRPr="00663995">
        <w:rPr>
          <w:color w:val="000000" w:themeColor="text1"/>
          <w:sz w:val="22"/>
          <w:szCs w:val="22"/>
        </w:rPr>
        <w:t xml:space="preserve"> </w:t>
      </w:r>
    </w:p>
    <w:p w14:paraId="1E86CE65" w14:textId="77777777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34A8C545" w14:textId="6764661C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b/>
          <w:bCs/>
          <w:color w:val="000000" w:themeColor="text1"/>
          <w:sz w:val="22"/>
          <w:szCs w:val="22"/>
        </w:rPr>
        <w:t>A300412 ESCAPE TO HAPPINESS</w:t>
      </w:r>
      <w:r w:rsidRPr="00663995">
        <w:rPr>
          <w:color w:val="000000" w:themeColor="text1"/>
          <w:sz w:val="22"/>
          <w:szCs w:val="22"/>
        </w:rPr>
        <w:t xml:space="preserve"> - izvor financiranja: EU</w:t>
      </w:r>
      <w:r w:rsidR="00E67F95">
        <w:rPr>
          <w:color w:val="000000" w:themeColor="text1"/>
          <w:sz w:val="22"/>
          <w:szCs w:val="22"/>
        </w:rPr>
        <w:t>/55</w:t>
      </w:r>
    </w:p>
    <w:p w14:paraId="49A4B3F8" w14:textId="4DE8563F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color w:val="000000" w:themeColor="text1"/>
          <w:sz w:val="22"/>
          <w:szCs w:val="22"/>
        </w:rPr>
        <w:t>U 202</w:t>
      </w:r>
      <w:r w:rsidR="002047A7">
        <w:rPr>
          <w:color w:val="000000" w:themeColor="text1"/>
          <w:sz w:val="22"/>
          <w:szCs w:val="22"/>
        </w:rPr>
        <w:t>5</w:t>
      </w:r>
      <w:r w:rsidRPr="00663995">
        <w:rPr>
          <w:color w:val="000000" w:themeColor="text1"/>
          <w:sz w:val="22"/>
          <w:szCs w:val="22"/>
        </w:rPr>
        <w:t>. godini planiramo aktivnosti u projektu „</w:t>
      </w:r>
      <w:proofErr w:type="spellStart"/>
      <w:r w:rsidRPr="00663995">
        <w:rPr>
          <w:color w:val="000000" w:themeColor="text1"/>
          <w:sz w:val="22"/>
          <w:szCs w:val="22"/>
        </w:rPr>
        <w:t>Escape</w:t>
      </w:r>
      <w:proofErr w:type="spellEnd"/>
      <w:r w:rsidRPr="00663995">
        <w:rPr>
          <w:color w:val="000000" w:themeColor="text1"/>
          <w:sz w:val="22"/>
          <w:szCs w:val="22"/>
        </w:rPr>
        <w:t xml:space="preserve"> to </w:t>
      </w:r>
      <w:proofErr w:type="spellStart"/>
      <w:r w:rsidRPr="00663995">
        <w:rPr>
          <w:color w:val="000000" w:themeColor="text1"/>
          <w:sz w:val="22"/>
          <w:szCs w:val="22"/>
        </w:rPr>
        <w:t>happiness</w:t>
      </w:r>
      <w:proofErr w:type="spellEnd"/>
      <w:r w:rsidRPr="00663995">
        <w:rPr>
          <w:color w:val="000000" w:themeColor="text1"/>
          <w:sz w:val="22"/>
          <w:szCs w:val="22"/>
        </w:rPr>
        <w:t xml:space="preserve">“. Nositelj projekta je </w:t>
      </w:r>
      <w:proofErr w:type="spellStart"/>
      <w:r w:rsidRPr="00663995">
        <w:rPr>
          <w:color w:val="000000" w:themeColor="text1"/>
          <w:sz w:val="22"/>
          <w:szCs w:val="22"/>
        </w:rPr>
        <w:t>Zasavska</w:t>
      </w:r>
      <w:proofErr w:type="spellEnd"/>
      <w:r w:rsidRPr="00663995">
        <w:rPr>
          <w:color w:val="000000" w:themeColor="text1"/>
          <w:sz w:val="22"/>
          <w:szCs w:val="22"/>
        </w:rPr>
        <w:t xml:space="preserve"> ljudska </w:t>
      </w:r>
      <w:proofErr w:type="spellStart"/>
      <w:r w:rsidRPr="00663995">
        <w:rPr>
          <w:color w:val="000000" w:themeColor="text1"/>
          <w:sz w:val="22"/>
          <w:szCs w:val="22"/>
        </w:rPr>
        <w:t>univerza</w:t>
      </w:r>
      <w:proofErr w:type="spellEnd"/>
      <w:r w:rsidRPr="00663995">
        <w:rPr>
          <w:color w:val="000000" w:themeColor="text1"/>
          <w:sz w:val="22"/>
          <w:szCs w:val="22"/>
        </w:rPr>
        <w:t>, POU Koprivnica je partner. Projekt se provodi</w:t>
      </w:r>
      <w:r w:rsidR="00957C49" w:rsidRPr="00663995">
        <w:rPr>
          <w:color w:val="000000" w:themeColor="text1"/>
          <w:sz w:val="22"/>
          <w:szCs w:val="22"/>
        </w:rPr>
        <w:t>o</w:t>
      </w:r>
      <w:r w:rsidRPr="00663995">
        <w:rPr>
          <w:color w:val="000000" w:themeColor="text1"/>
          <w:sz w:val="22"/>
          <w:szCs w:val="22"/>
        </w:rPr>
        <w:t xml:space="preserve"> od 31.12.2022. do 30.</w:t>
      </w:r>
      <w:r w:rsidR="006A1E7A" w:rsidRPr="00663995">
        <w:rPr>
          <w:color w:val="000000" w:themeColor="text1"/>
          <w:sz w:val="22"/>
          <w:szCs w:val="22"/>
        </w:rPr>
        <w:t>4</w:t>
      </w:r>
      <w:r w:rsidRPr="00663995">
        <w:rPr>
          <w:color w:val="000000" w:themeColor="text1"/>
          <w:sz w:val="22"/>
          <w:szCs w:val="22"/>
        </w:rPr>
        <w:t>.202</w:t>
      </w:r>
      <w:r w:rsidR="006A1E7A" w:rsidRPr="00663995">
        <w:rPr>
          <w:color w:val="000000" w:themeColor="text1"/>
          <w:sz w:val="22"/>
          <w:szCs w:val="22"/>
        </w:rPr>
        <w:t>5</w:t>
      </w:r>
      <w:r w:rsidR="003B04E6" w:rsidRPr="00663995">
        <w:rPr>
          <w:color w:val="000000" w:themeColor="text1"/>
          <w:sz w:val="22"/>
          <w:szCs w:val="22"/>
        </w:rPr>
        <w:t>.</w:t>
      </w:r>
      <w:r w:rsidRPr="00663995">
        <w:rPr>
          <w:color w:val="000000" w:themeColor="text1"/>
          <w:sz w:val="22"/>
          <w:szCs w:val="22"/>
        </w:rPr>
        <w:t xml:space="preserve">, a svrha mu je </w:t>
      </w:r>
      <w:r w:rsidR="00957C49" w:rsidRPr="00663995">
        <w:rPr>
          <w:color w:val="000000" w:themeColor="text1"/>
          <w:sz w:val="22"/>
          <w:szCs w:val="22"/>
        </w:rPr>
        <w:t xml:space="preserve">bila </w:t>
      </w:r>
      <w:r w:rsidRPr="00663995">
        <w:rPr>
          <w:color w:val="000000" w:themeColor="text1"/>
          <w:sz w:val="22"/>
          <w:szCs w:val="22"/>
        </w:rPr>
        <w:t xml:space="preserve">razviti inovativne koncepte i metode obrazovanja za odrasle koji će se fokusirati na postizanje većeg zadovoljstva samim sobom kod odraslih polaznika. Planirana sredstava u iznosu od </w:t>
      </w:r>
      <w:r w:rsidR="006A1E7A" w:rsidRPr="00663995">
        <w:rPr>
          <w:color w:val="000000" w:themeColor="text1"/>
          <w:sz w:val="22"/>
          <w:szCs w:val="22"/>
        </w:rPr>
        <w:t>5.020</w:t>
      </w:r>
      <w:r w:rsidRPr="00663995">
        <w:rPr>
          <w:color w:val="000000" w:themeColor="text1"/>
          <w:sz w:val="22"/>
          <w:szCs w:val="22"/>
        </w:rPr>
        <w:t xml:space="preserve"> </w:t>
      </w:r>
      <w:bookmarkStart w:id="19" w:name="_Hlk150947162"/>
      <w:r w:rsidRPr="00663995">
        <w:rPr>
          <w:color w:val="000000" w:themeColor="text1"/>
          <w:sz w:val="22"/>
          <w:szCs w:val="22"/>
        </w:rPr>
        <w:t>€</w:t>
      </w:r>
      <w:bookmarkEnd w:id="19"/>
      <w:r w:rsidRPr="00663995">
        <w:rPr>
          <w:color w:val="000000" w:themeColor="text1"/>
          <w:sz w:val="22"/>
          <w:szCs w:val="22"/>
        </w:rPr>
        <w:t xml:space="preserve"> </w:t>
      </w:r>
      <w:r w:rsidR="006A1E7A" w:rsidRPr="00663995">
        <w:rPr>
          <w:color w:val="000000" w:themeColor="text1"/>
          <w:sz w:val="22"/>
          <w:szCs w:val="22"/>
        </w:rPr>
        <w:t>smanjujemo u skladu sa izvršenjem</w:t>
      </w:r>
      <w:r w:rsidR="00957C49" w:rsidRPr="00663995">
        <w:rPr>
          <w:color w:val="000000" w:themeColor="text1"/>
          <w:sz w:val="22"/>
          <w:szCs w:val="22"/>
        </w:rPr>
        <w:t xml:space="preserve"> na iznos od </w:t>
      </w:r>
      <w:r w:rsidR="004E05C6" w:rsidRPr="00663995">
        <w:rPr>
          <w:color w:val="000000" w:themeColor="text1"/>
          <w:sz w:val="22"/>
          <w:szCs w:val="22"/>
        </w:rPr>
        <w:t>2</w:t>
      </w:r>
      <w:r w:rsidR="005D69AA" w:rsidRPr="00663995">
        <w:rPr>
          <w:color w:val="000000" w:themeColor="text1"/>
          <w:sz w:val="22"/>
          <w:szCs w:val="22"/>
        </w:rPr>
        <w:t>.140</w:t>
      </w:r>
      <w:r w:rsidR="004E36E9">
        <w:rPr>
          <w:color w:val="000000" w:themeColor="text1"/>
          <w:sz w:val="22"/>
          <w:szCs w:val="22"/>
        </w:rPr>
        <w:t xml:space="preserve"> €</w:t>
      </w:r>
      <w:r w:rsidR="006A1E7A" w:rsidRPr="00663995">
        <w:rPr>
          <w:color w:val="000000" w:themeColor="text1"/>
          <w:sz w:val="22"/>
          <w:szCs w:val="22"/>
        </w:rPr>
        <w:t>.</w:t>
      </w:r>
      <w:r w:rsidRPr="00663995">
        <w:rPr>
          <w:color w:val="000000" w:themeColor="text1"/>
          <w:sz w:val="22"/>
          <w:szCs w:val="22"/>
        </w:rPr>
        <w:t xml:space="preserve"> </w:t>
      </w:r>
    </w:p>
    <w:p w14:paraId="4E990B02" w14:textId="77777777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2DB650B6" w14:textId="11E3714F" w:rsidR="00865B37" w:rsidRPr="00663995" w:rsidRDefault="00865B37" w:rsidP="00865B37">
      <w:pPr>
        <w:tabs>
          <w:tab w:val="left" w:pos="7425"/>
        </w:tabs>
        <w:spacing w:line="276" w:lineRule="auto"/>
        <w:jc w:val="both"/>
        <w:rPr>
          <w:bCs/>
          <w:color w:val="000000" w:themeColor="text1"/>
          <w:sz w:val="22"/>
          <w:szCs w:val="22"/>
        </w:rPr>
      </w:pPr>
      <w:bookmarkStart w:id="20" w:name="_Hlk181188947"/>
      <w:r w:rsidRPr="00663995">
        <w:rPr>
          <w:b/>
          <w:color w:val="000000" w:themeColor="text1"/>
          <w:sz w:val="22"/>
          <w:szCs w:val="22"/>
        </w:rPr>
        <w:t>A600210 ERASMUS+ AKREDITACIJA 1</w:t>
      </w:r>
      <w:r w:rsidRPr="00663995">
        <w:rPr>
          <w:bCs/>
          <w:color w:val="000000" w:themeColor="text1"/>
          <w:sz w:val="22"/>
          <w:szCs w:val="22"/>
        </w:rPr>
        <w:t xml:space="preserve"> - izvor financiranja: EU</w:t>
      </w:r>
      <w:r w:rsidR="00E67F95">
        <w:rPr>
          <w:bCs/>
          <w:color w:val="000000" w:themeColor="text1"/>
          <w:sz w:val="22"/>
          <w:szCs w:val="22"/>
        </w:rPr>
        <w:t>/55</w:t>
      </w:r>
    </w:p>
    <w:bookmarkEnd w:id="20"/>
    <w:p w14:paraId="46431788" w14:textId="6C178B30" w:rsidR="00865B37" w:rsidRPr="00663995" w:rsidRDefault="00865B37" w:rsidP="00865B37">
      <w:pPr>
        <w:tabs>
          <w:tab w:val="left" w:pos="7425"/>
        </w:tabs>
        <w:spacing w:line="276" w:lineRule="auto"/>
        <w:jc w:val="both"/>
        <w:rPr>
          <w:bCs/>
          <w:color w:val="000000" w:themeColor="text1"/>
          <w:sz w:val="22"/>
          <w:szCs w:val="22"/>
        </w:rPr>
      </w:pPr>
      <w:r w:rsidRPr="00663995">
        <w:rPr>
          <w:bCs/>
          <w:color w:val="000000" w:themeColor="text1"/>
          <w:sz w:val="22"/>
          <w:szCs w:val="22"/>
        </w:rPr>
        <w:t xml:space="preserve">Pučkom otvorenom učilištu Koprivnica u siječnju 2024. je odobrena Erasmus akreditacija za područje obrazovanja odraslih do 2027. godine, koja podrazumijeva olakšani proces prijave i evaluacije projektnih prijava za KA1 projekte mobilnosti. Time je omogućeno daljnje stručno usavršavanje djelatnika i vanjskih suradnika Učilišta, a nadamo se i polaznika naših programa. U 2025. godini planiran je iznos 7.495 € </w:t>
      </w:r>
      <w:r w:rsidR="00134768" w:rsidRPr="00663995">
        <w:rPr>
          <w:bCs/>
          <w:color w:val="000000" w:themeColor="text1"/>
          <w:sz w:val="22"/>
          <w:szCs w:val="22"/>
        </w:rPr>
        <w:t xml:space="preserve">povećava se za iznos 295 € </w:t>
      </w:r>
      <w:r w:rsidRPr="00663995">
        <w:rPr>
          <w:bCs/>
          <w:color w:val="000000" w:themeColor="text1"/>
          <w:sz w:val="22"/>
          <w:szCs w:val="22"/>
        </w:rPr>
        <w:t xml:space="preserve">za 4 mobilnosti osoblja. </w:t>
      </w:r>
    </w:p>
    <w:p w14:paraId="29FE7A79" w14:textId="77777777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22AD3C31" w14:textId="35E3487A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b/>
          <w:bCs/>
          <w:color w:val="000000" w:themeColor="text1"/>
          <w:sz w:val="22"/>
          <w:szCs w:val="22"/>
        </w:rPr>
        <w:t>A600211 ERASMUS+ KA2 BU.BI</w:t>
      </w:r>
      <w:r w:rsidRPr="00663995">
        <w:rPr>
          <w:color w:val="000000" w:themeColor="text1"/>
          <w:sz w:val="22"/>
          <w:szCs w:val="22"/>
        </w:rPr>
        <w:t xml:space="preserve"> - izvor financiranja: EU</w:t>
      </w:r>
      <w:r w:rsidR="00E67F95">
        <w:rPr>
          <w:color w:val="000000" w:themeColor="text1"/>
          <w:sz w:val="22"/>
          <w:szCs w:val="22"/>
        </w:rPr>
        <w:t>/55</w:t>
      </w:r>
    </w:p>
    <w:p w14:paraId="6AEADB2C" w14:textId="72898702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color w:val="000000" w:themeColor="text1"/>
          <w:sz w:val="22"/>
          <w:szCs w:val="22"/>
        </w:rPr>
        <w:t xml:space="preserve">U trećem projektu POU Koprivnice planirali smo iznos od </w:t>
      </w:r>
      <w:r w:rsidR="00081B9F" w:rsidRPr="00663995">
        <w:rPr>
          <w:color w:val="000000" w:themeColor="text1"/>
          <w:sz w:val="22"/>
          <w:szCs w:val="22"/>
        </w:rPr>
        <w:t>23.450</w:t>
      </w:r>
      <w:r w:rsidRPr="00663995">
        <w:rPr>
          <w:color w:val="000000" w:themeColor="text1"/>
          <w:sz w:val="22"/>
          <w:szCs w:val="22"/>
        </w:rPr>
        <w:t xml:space="preserve"> €, koji je odobrenom iz programa Erasmus+ KA2.</w:t>
      </w:r>
      <w:r w:rsidR="00A020AC" w:rsidRPr="00663995">
        <w:rPr>
          <w:color w:val="000000" w:themeColor="text1"/>
          <w:sz w:val="22"/>
          <w:szCs w:val="22"/>
        </w:rPr>
        <w:t xml:space="preserve"> </w:t>
      </w:r>
      <w:r w:rsidRPr="00663995">
        <w:rPr>
          <w:color w:val="000000" w:themeColor="text1"/>
          <w:sz w:val="22"/>
          <w:szCs w:val="22"/>
        </w:rPr>
        <w:t xml:space="preserve">Cilj projekta je bolje upoznati funkcionalnu pismenost i mogućnosti njenog utjecaja na sposobnost prepoznavanja dezinformacija kao i poboljšanje sposobnosti osoblja partnerskih organizacija u upravljanju inovativnim obrazovnim alatima. Projekt je započeo 1. studenoga 2023., a traje do 31. listopada 2025. godine. Planirani rashodi </w:t>
      </w:r>
      <w:r w:rsidR="002E739E" w:rsidRPr="00663995">
        <w:rPr>
          <w:color w:val="000000" w:themeColor="text1"/>
          <w:sz w:val="22"/>
          <w:szCs w:val="22"/>
        </w:rPr>
        <w:t>povećavaju se za iznos od 3.1</w:t>
      </w:r>
      <w:r w:rsidR="004E36E9">
        <w:rPr>
          <w:color w:val="000000" w:themeColor="text1"/>
          <w:sz w:val="22"/>
          <w:szCs w:val="22"/>
        </w:rPr>
        <w:t>32 €.</w:t>
      </w:r>
      <w:r w:rsidR="00E861F0" w:rsidRPr="00663995">
        <w:rPr>
          <w:color w:val="000000" w:themeColor="text1"/>
          <w:sz w:val="22"/>
          <w:szCs w:val="22"/>
        </w:rPr>
        <w:t xml:space="preserve"> Povećali smo troškove za zaposlene, a smanjili </w:t>
      </w:r>
      <w:r w:rsidR="000A056D" w:rsidRPr="00663995">
        <w:rPr>
          <w:color w:val="000000" w:themeColor="text1"/>
          <w:sz w:val="22"/>
          <w:szCs w:val="22"/>
        </w:rPr>
        <w:t>materijalne rashode u skladu s dogovorom nositelja projekta.</w:t>
      </w:r>
    </w:p>
    <w:p w14:paraId="61B48A25" w14:textId="77777777" w:rsidR="004762BD" w:rsidRPr="00663995" w:rsidRDefault="004762BD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23BFB2A1" w14:textId="77777777" w:rsidR="00C2527B" w:rsidRPr="00663995" w:rsidRDefault="00C2527B" w:rsidP="007D0911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663995">
        <w:rPr>
          <w:b/>
          <w:bCs/>
          <w:color w:val="000000" w:themeColor="text1"/>
          <w:sz w:val="22"/>
          <w:szCs w:val="22"/>
        </w:rPr>
        <w:t>Zakonske i druge podloge na kojima se zasnivaju programi</w:t>
      </w:r>
    </w:p>
    <w:p w14:paraId="0C349EF0" w14:textId="77777777" w:rsidR="00C2527B" w:rsidRPr="00663995" w:rsidRDefault="00C2527B" w:rsidP="007D0911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41101A5A" w14:textId="409DC266" w:rsidR="00952DAC" w:rsidRPr="00663995" w:rsidRDefault="00952DAC" w:rsidP="007D0911">
      <w:pPr>
        <w:tabs>
          <w:tab w:val="left" w:pos="7065"/>
        </w:tabs>
        <w:spacing w:line="276" w:lineRule="auto"/>
        <w:jc w:val="both"/>
        <w:rPr>
          <w:sz w:val="22"/>
          <w:szCs w:val="22"/>
        </w:rPr>
      </w:pPr>
      <w:r w:rsidRPr="00663995">
        <w:rPr>
          <w:bCs/>
          <w:sz w:val="22"/>
          <w:szCs w:val="22"/>
        </w:rPr>
        <w:t>Pučko otvoreno učilište Koprivnica je javna ustanova u kulturi koja obavlja svoju djelatnost u skladu sa Statutom Učilišta Koprivnica (KLASA: 002-03/24-01/1; URBROJ: 2137-80-24-1, od 26.06.2024.)</w:t>
      </w:r>
      <w:r w:rsidRPr="00663995">
        <w:rPr>
          <w:sz w:val="22"/>
          <w:szCs w:val="22"/>
        </w:rPr>
        <w:t xml:space="preserve">, te u skladu sa </w:t>
      </w:r>
      <w:r w:rsidRPr="00663995">
        <w:rPr>
          <w:bCs/>
          <w:sz w:val="22"/>
          <w:szCs w:val="22"/>
        </w:rPr>
        <w:t xml:space="preserve">Zakonom o pučkim otvorenim učilištima (NN 54/97, 5/98, 109/99, 139/10), Zakonom o ustanovama (NN 76/93, 29/97, 47/99, 35/08, 127/19, 151/22), Zakonom o kulturnim vijećima i financiranju javnih potreba u kulturi (NN 83/22), </w:t>
      </w:r>
      <w:r w:rsidRPr="00663995">
        <w:rPr>
          <w:sz w:val="22"/>
          <w:szCs w:val="22"/>
        </w:rPr>
        <w:t xml:space="preserve">Zakonom o proračunu (NN 87/08, 13/12, 15/15, 144/21), Zakonom o fiskalnoj odgovornosti (NN 111/18, 83/23), </w:t>
      </w:r>
      <w:r w:rsidRPr="00663995">
        <w:rPr>
          <w:bCs/>
          <w:sz w:val="22"/>
          <w:szCs w:val="22"/>
        </w:rPr>
        <w:t xml:space="preserve">Pravilnikom o proračunskom </w:t>
      </w:r>
      <w:r w:rsidRPr="00663995">
        <w:rPr>
          <w:bCs/>
          <w:sz w:val="22"/>
          <w:szCs w:val="22"/>
        </w:rPr>
        <w:lastRenderedPageBreak/>
        <w:t>računovodstvu i računskom planu (NN 124/14, 115/15, 87/16, 3/18, 126/19, 108/20, 158/23)</w:t>
      </w:r>
      <w:r w:rsidRPr="00663995">
        <w:rPr>
          <w:sz w:val="22"/>
          <w:szCs w:val="22"/>
        </w:rPr>
        <w:t>, Pravilnikom o financijskom izvještavanju u proračunskom računovodstvu (NN 3/15, 135/15, 2/17, 112/18, 126/19, 145/20, 32/21, 37/22)  Zakonom o porezu na dodanu vrijednost (NN 73/13, 99/13, 148/13, 153/13, 143/14, 115/16, 106/18, 121/19, 138/20, 39/22, 33/23, 114/23, 35/24), Pravilnikom o planiranju u sustavu proračuna (NN1/24), Pravilnik o polugodišnjem i godišnjem izvještaju o izvršenju proračuna (</w:t>
      </w:r>
      <w:r w:rsidRPr="009B552E">
        <w:rPr>
          <w:sz w:val="22"/>
          <w:szCs w:val="22"/>
        </w:rPr>
        <w:t xml:space="preserve">NN </w:t>
      </w:r>
      <w:hyperlink r:id="rId12" w:tgtFrame="_blank" w:history="1">
        <w:r w:rsidRPr="009B552E">
          <w:rPr>
            <w:rStyle w:val="Hiperveza"/>
            <w:color w:val="auto"/>
            <w:sz w:val="22"/>
            <w:szCs w:val="22"/>
          </w:rPr>
          <w:t>24/13</w:t>
        </w:r>
      </w:hyperlink>
      <w:r w:rsidRPr="009B552E">
        <w:rPr>
          <w:sz w:val="22"/>
          <w:szCs w:val="22"/>
        </w:rPr>
        <w:t>, </w:t>
      </w:r>
      <w:hyperlink r:id="rId13" w:tgtFrame="_blank" w:history="1">
        <w:r w:rsidRPr="009B552E">
          <w:rPr>
            <w:rStyle w:val="Hiperveza"/>
            <w:color w:val="auto"/>
            <w:sz w:val="22"/>
            <w:szCs w:val="22"/>
          </w:rPr>
          <w:t>102/17</w:t>
        </w:r>
      </w:hyperlink>
      <w:r w:rsidRPr="009B552E">
        <w:rPr>
          <w:sz w:val="22"/>
          <w:szCs w:val="22"/>
        </w:rPr>
        <w:t>, </w:t>
      </w:r>
      <w:hyperlink r:id="rId14" w:history="1">
        <w:r w:rsidRPr="009B552E">
          <w:rPr>
            <w:rStyle w:val="Hiperveza"/>
            <w:color w:val="auto"/>
            <w:sz w:val="22"/>
            <w:szCs w:val="22"/>
          </w:rPr>
          <w:t>1/20</w:t>
        </w:r>
      </w:hyperlink>
      <w:r w:rsidRPr="009B552E">
        <w:rPr>
          <w:sz w:val="22"/>
          <w:szCs w:val="22"/>
        </w:rPr>
        <w:t> i </w:t>
      </w:r>
      <w:hyperlink r:id="rId15" w:history="1">
        <w:r w:rsidRPr="009B552E">
          <w:rPr>
            <w:rStyle w:val="Hiperveza"/>
            <w:color w:val="auto"/>
            <w:sz w:val="22"/>
            <w:szCs w:val="22"/>
          </w:rPr>
          <w:t>147/20</w:t>
        </w:r>
      </w:hyperlink>
      <w:r w:rsidRPr="009B552E">
        <w:rPr>
          <w:sz w:val="22"/>
          <w:szCs w:val="22"/>
        </w:rPr>
        <w:t>,</w:t>
      </w:r>
      <w:r w:rsidR="005D4D67" w:rsidRPr="009B552E">
        <w:rPr>
          <w:sz w:val="22"/>
          <w:szCs w:val="22"/>
        </w:rPr>
        <w:t xml:space="preserve"> </w:t>
      </w:r>
      <w:r w:rsidRPr="009B552E">
        <w:rPr>
          <w:sz w:val="22"/>
          <w:szCs w:val="22"/>
        </w:rPr>
        <w:t>85</w:t>
      </w:r>
      <w:r w:rsidRPr="00663995">
        <w:rPr>
          <w:sz w:val="22"/>
          <w:szCs w:val="22"/>
        </w:rPr>
        <w:t xml:space="preserve">/23) kao i Pravilnicima te Procedurama propisanim od strane Učilišta. Redovna djelatnost Učilišta ostvaruje se u skladu sa Zakonom o radu (NN 93/14, 127/17, 98/19, 151/22, 64/23), </w:t>
      </w:r>
      <w:r w:rsidR="00AA05C7" w:rsidRPr="00663995">
        <w:rPr>
          <w:color w:val="000000"/>
          <w:sz w:val="22"/>
          <w:szCs w:val="22"/>
        </w:rPr>
        <w:t>Kolektivnim ugovorom za zaposlene u ustanovama kulture Grada Koprivnice od 30. siječnja 2023. g., I. Dodatkom Kolektivnom ugovoru za zaposlene u ustanovama kulture Grada Koprivnice od 29. rujna 2023. g. te II. Dodatkom Kolektivnom ugovoru za zaposlene u ustanovama kulture Grada Koprivnice od 22. ožujka 2024. g.,</w:t>
      </w:r>
      <w:r w:rsidR="00AA05C7" w:rsidRPr="00663995">
        <w:rPr>
          <w:sz w:val="22"/>
          <w:szCs w:val="22"/>
        </w:rPr>
        <w:t xml:space="preserve"> </w:t>
      </w:r>
      <w:r w:rsidR="00AA05C7" w:rsidRPr="00663995">
        <w:rPr>
          <w:bCs/>
          <w:color w:val="000000"/>
          <w:sz w:val="22"/>
          <w:szCs w:val="22"/>
        </w:rPr>
        <w:t>III. Dodatkom Kolektivnom ugovoru za zaposlene u ustanovama kulture Grada Koprivnice od 5. prosinca 2024. g</w:t>
      </w:r>
      <w:r w:rsidRPr="00663995">
        <w:rPr>
          <w:bCs/>
          <w:sz w:val="22"/>
          <w:szCs w:val="22"/>
        </w:rPr>
        <w:t xml:space="preserve">. </w:t>
      </w:r>
      <w:r w:rsidRPr="00663995">
        <w:rPr>
          <w:sz w:val="22"/>
          <w:szCs w:val="22"/>
        </w:rPr>
        <w:t xml:space="preserve">te drugim općim aktima donijeti od Upravnog vijeća Učilišta koji su u skladu s važećim zakonskim propisima. </w:t>
      </w:r>
    </w:p>
    <w:p w14:paraId="21CFC072" w14:textId="77777777" w:rsidR="00952DAC" w:rsidRPr="00663995" w:rsidRDefault="00952DAC" w:rsidP="007D0911">
      <w:pPr>
        <w:tabs>
          <w:tab w:val="left" w:pos="7065"/>
        </w:tabs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>Programska djelatnost provodi se u skladu s važećim zakonskim propisima koji reguliraju djelatnost Učilišta te u skladu s ugovorima o korištenju sredstava Ministarstva kulture i medija RH i Ministarstva znanosti i obrazovanja, ugovorima o sufinanciranju programske djelatnosti HAVC-a i HUZIP-a.</w:t>
      </w:r>
    </w:p>
    <w:p w14:paraId="7B1AF581" w14:textId="77777777" w:rsidR="00C2527B" w:rsidRPr="00663995" w:rsidRDefault="00C2527B" w:rsidP="007D0911">
      <w:pPr>
        <w:tabs>
          <w:tab w:val="left" w:pos="706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5449497A" w14:textId="48260BDF" w:rsidR="00C2527B" w:rsidRPr="00663995" w:rsidRDefault="00C2527B" w:rsidP="007D0911">
      <w:pPr>
        <w:tabs>
          <w:tab w:val="left" w:pos="706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color w:val="000000" w:themeColor="text1"/>
          <w:sz w:val="22"/>
          <w:szCs w:val="22"/>
        </w:rPr>
        <w:t xml:space="preserve">                                                                                     </w:t>
      </w:r>
      <w:r w:rsidR="00670E5A" w:rsidRPr="00663995">
        <w:rPr>
          <w:color w:val="000000" w:themeColor="text1"/>
          <w:sz w:val="22"/>
          <w:szCs w:val="22"/>
        </w:rPr>
        <w:t xml:space="preserve">   </w:t>
      </w:r>
      <w:r w:rsidRPr="00663995">
        <w:rPr>
          <w:color w:val="000000" w:themeColor="text1"/>
          <w:sz w:val="22"/>
          <w:szCs w:val="22"/>
        </w:rPr>
        <w:t>Predsjednik Upravnog vijeća</w:t>
      </w:r>
      <w:r w:rsidR="006116E7" w:rsidRPr="00663995">
        <w:rPr>
          <w:color w:val="000000" w:themeColor="text1"/>
          <w:sz w:val="22"/>
          <w:szCs w:val="22"/>
        </w:rPr>
        <w:t xml:space="preserve"> POU Koprivnica:</w:t>
      </w:r>
    </w:p>
    <w:p w14:paraId="1CAD8B31" w14:textId="51D48122" w:rsidR="00670E5A" w:rsidRPr="00663995" w:rsidRDefault="00670E5A" w:rsidP="007D0911">
      <w:pPr>
        <w:tabs>
          <w:tab w:val="left" w:pos="706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  Siniša </w:t>
      </w:r>
      <w:proofErr w:type="spellStart"/>
      <w:r w:rsidRPr="00663995">
        <w:rPr>
          <w:color w:val="000000" w:themeColor="text1"/>
          <w:sz w:val="22"/>
          <w:szCs w:val="22"/>
        </w:rPr>
        <w:t>Fabijanec</w:t>
      </w:r>
      <w:proofErr w:type="spellEnd"/>
      <w:r w:rsidRPr="00663995">
        <w:rPr>
          <w:color w:val="000000" w:themeColor="text1"/>
          <w:sz w:val="22"/>
          <w:szCs w:val="22"/>
        </w:rPr>
        <w:t xml:space="preserve">, </w:t>
      </w:r>
      <w:proofErr w:type="spellStart"/>
      <w:r w:rsidRPr="00663995">
        <w:rPr>
          <w:color w:val="000000" w:themeColor="text1"/>
          <w:sz w:val="22"/>
          <w:szCs w:val="22"/>
        </w:rPr>
        <w:t>univ.spec</w:t>
      </w:r>
      <w:proofErr w:type="spellEnd"/>
      <w:r w:rsidRPr="00663995">
        <w:rPr>
          <w:color w:val="000000" w:themeColor="text1"/>
          <w:sz w:val="22"/>
          <w:szCs w:val="22"/>
        </w:rPr>
        <w:t xml:space="preserve"> polit.</w:t>
      </w:r>
    </w:p>
    <w:p w14:paraId="1A94B1A7" w14:textId="77777777" w:rsidR="00C2527B" w:rsidRPr="00663995" w:rsidRDefault="00C2527B" w:rsidP="007D0911">
      <w:pPr>
        <w:tabs>
          <w:tab w:val="left" w:pos="706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color w:val="000000" w:themeColor="text1"/>
          <w:sz w:val="22"/>
          <w:szCs w:val="22"/>
        </w:rPr>
        <w:tab/>
      </w:r>
      <w:r w:rsidRPr="00663995">
        <w:rPr>
          <w:color w:val="000000" w:themeColor="text1"/>
          <w:sz w:val="22"/>
          <w:szCs w:val="22"/>
        </w:rPr>
        <w:tab/>
      </w:r>
    </w:p>
    <w:p w14:paraId="55700F76" w14:textId="77777777" w:rsidR="00C2527B" w:rsidRPr="00663995" w:rsidRDefault="00C2527B" w:rsidP="007D0911">
      <w:pPr>
        <w:tabs>
          <w:tab w:val="left" w:pos="706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color w:val="000000" w:themeColor="text1"/>
          <w:sz w:val="22"/>
          <w:szCs w:val="22"/>
        </w:rPr>
        <w:tab/>
      </w:r>
      <w:r w:rsidRPr="00663995">
        <w:rPr>
          <w:color w:val="000000" w:themeColor="text1"/>
          <w:sz w:val="22"/>
          <w:szCs w:val="22"/>
        </w:rPr>
        <w:tab/>
      </w:r>
    </w:p>
    <w:p w14:paraId="2BF7048E" w14:textId="55A2E387" w:rsidR="00240178" w:rsidRPr="00AC6354" w:rsidRDefault="00240178" w:rsidP="007D0911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sectPr w:rsidR="00240178" w:rsidRPr="00AC6354" w:rsidSect="0024734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03869" w14:textId="77777777" w:rsidR="00452857" w:rsidRPr="00663995" w:rsidRDefault="00452857" w:rsidP="0024734E">
      <w:r w:rsidRPr="00663995">
        <w:separator/>
      </w:r>
    </w:p>
  </w:endnote>
  <w:endnote w:type="continuationSeparator" w:id="0">
    <w:p w14:paraId="7AC72031" w14:textId="77777777" w:rsidR="00452857" w:rsidRPr="00663995" w:rsidRDefault="00452857" w:rsidP="0024734E">
      <w:r w:rsidRPr="0066399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39E21" w14:textId="77777777" w:rsidR="00452857" w:rsidRPr="00663995" w:rsidRDefault="00452857" w:rsidP="0024734E">
      <w:r w:rsidRPr="00663995">
        <w:separator/>
      </w:r>
    </w:p>
  </w:footnote>
  <w:footnote w:type="continuationSeparator" w:id="0">
    <w:p w14:paraId="20093725" w14:textId="77777777" w:rsidR="00452857" w:rsidRPr="00663995" w:rsidRDefault="00452857" w:rsidP="0024734E">
      <w:r w:rsidRPr="00663995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F3831"/>
    <w:multiLevelType w:val="hybridMultilevel"/>
    <w:tmpl w:val="DB2A6812"/>
    <w:lvl w:ilvl="0" w:tplc="D1C4038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E325F0D"/>
    <w:multiLevelType w:val="hybridMultilevel"/>
    <w:tmpl w:val="14CAD09C"/>
    <w:lvl w:ilvl="0" w:tplc="D9F40382">
      <w:start w:val="5"/>
      <w:numFmt w:val="bullet"/>
      <w:lvlText w:val="-"/>
      <w:lvlJc w:val="left"/>
      <w:pPr>
        <w:ind w:left="720" w:hanging="360"/>
      </w:pPr>
      <w:rPr>
        <w:rFonts w:ascii="Times New Roman" w:eastAsia="Apto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74CC7"/>
    <w:multiLevelType w:val="hybridMultilevel"/>
    <w:tmpl w:val="ADE6BBA6"/>
    <w:lvl w:ilvl="0" w:tplc="E51601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84973"/>
    <w:multiLevelType w:val="hybridMultilevel"/>
    <w:tmpl w:val="8C0E76A6"/>
    <w:lvl w:ilvl="0" w:tplc="CB54E7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3235D"/>
    <w:multiLevelType w:val="hybridMultilevel"/>
    <w:tmpl w:val="5A3644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0640C1"/>
    <w:multiLevelType w:val="hybridMultilevel"/>
    <w:tmpl w:val="0B6ECD48"/>
    <w:lvl w:ilvl="0" w:tplc="78AA72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7B541F"/>
    <w:multiLevelType w:val="hybridMultilevel"/>
    <w:tmpl w:val="179E4894"/>
    <w:lvl w:ilvl="0" w:tplc="D1D8CC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734764">
    <w:abstractNumId w:val="6"/>
  </w:num>
  <w:num w:numId="2" w16cid:durableId="751240965">
    <w:abstractNumId w:val="3"/>
  </w:num>
  <w:num w:numId="3" w16cid:durableId="489030404">
    <w:abstractNumId w:val="0"/>
  </w:num>
  <w:num w:numId="4" w16cid:durableId="316963113">
    <w:abstractNumId w:val="2"/>
  </w:num>
  <w:num w:numId="5" w16cid:durableId="213548004">
    <w:abstractNumId w:val="5"/>
  </w:num>
  <w:num w:numId="6" w16cid:durableId="428426850">
    <w:abstractNumId w:val="1"/>
  </w:num>
  <w:num w:numId="7" w16cid:durableId="5400177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B9"/>
    <w:rsid w:val="00000935"/>
    <w:rsid w:val="0000187F"/>
    <w:rsid w:val="00003037"/>
    <w:rsid w:val="000031EF"/>
    <w:rsid w:val="000033DE"/>
    <w:rsid w:val="00004322"/>
    <w:rsid w:val="0000441F"/>
    <w:rsid w:val="00005A48"/>
    <w:rsid w:val="00005F82"/>
    <w:rsid w:val="00006CCE"/>
    <w:rsid w:val="00007B40"/>
    <w:rsid w:val="000129DA"/>
    <w:rsid w:val="00014D07"/>
    <w:rsid w:val="00015DE6"/>
    <w:rsid w:val="000164C7"/>
    <w:rsid w:val="000169D4"/>
    <w:rsid w:val="000172DF"/>
    <w:rsid w:val="00017E07"/>
    <w:rsid w:val="00022147"/>
    <w:rsid w:val="000223A7"/>
    <w:rsid w:val="000223CB"/>
    <w:rsid w:val="00025346"/>
    <w:rsid w:val="0002637E"/>
    <w:rsid w:val="00026C83"/>
    <w:rsid w:val="00027095"/>
    <w:rsid w:val="00030B49"/>
    <w:rsid w:val="000313EF"/>
    <w:rsid w:val="0003181A"/>
    <w:rsid w:val="00032356"/>
    <w:rsid w:val="000335A9"/>
    <w:rsid w:val="000337A9"/>
    <w:rsid w:val="00033C4C"/>
    <w:rsid w:val="00034BC0"/>
    <w:rsid w:val="00035CE1"/>
    <w:rsid w:val="00035E13"/>
    <w:rsid w:val="00036068"/>
    <w:rsid w:val="000368D4"/>
    <w:rsid w:val="00036D5E"/>
    <w:rsid w:val="00040A3D"/>
    <w:rsid w:val="000437DA"/>
    <w:rsid w:val="00043A29"/>
    <w:rsid w:val="00044698"/>
    <w:rsid w:val="00046D1B"/>
    <w:rsid w:val="00050B49"/>
    <w:rsid w:val="0005128B"/>
    <w:rsid w:val="00051E90"/>
    <w:rsid w:val="0005296D"/>
    <w:rsid w:val="000538EF"/>
    <w:rsid w:val="000640CC"/>
    <w:rsid w:val="000648C5"/>
    <w:rsid w:val="000652EB"/>
    <w:rsid w:val="00067B09"/>
    <w:rsid w:val="00070CB8"/>
    <w:rsid w:val="00070FA3"/>
    <w:rsid w:val="00073249"/>
    <w:rsid w:val="00073A68"/>
    <w:rsid w:val="000745FA"/>
    <w:rsid w:val="00074870"/>
    <w:rsid w:val="00074DC4"/>
    <w:rsid w:val="00075BC3"/>
    <w:rsid w:val="00075D61"/>
    <w:rsid w:val="00075F22"/>
    <w:rsid w:val="00076270"/>
    <w:rsid w:val="000770BE"/>
    <w:rsid w:val="00077A1F"/>
    <w:rsid w:val="000807A0"/>
    <w:rsid w:val="000816BC"/>
    <w:rsid w:val="00081811"/>
    <w:rsid w:val="00081B9F"/>
    <w:rsid w:val="00085C1E"/>
    <w:rsid w:val="00085D77"/>
    <w:rsid w:val="00087D40"/>
    <w:rsid w:val="00087DBC"/>
    <w:rsid w:val="00091373"/>
    <w:rsid w:val="00091BF1"/>
    <w:rsid w:val="00092564"/>
    <w:rsid w:val="00094C87"/>
    <w:rsid w:val="00095011"/>
    <w:rsid w:val="0009548D"/>
    <w:rsid w:val="000A056D"/>
    <w:rsid w:val="000A145B"/>
    <w:rsid w:val="000A5EE8"/>
    <w:rsid w:val="000A651D"/>
    <w:rsid w:val="000B0323"/>
    <w:rsid w:val="000B0EB6"/>
    <w:rsid w:val="000B1BDE"/>
    <w:rsid w:val="000B1DF6"/>
    <w:rsid w:val="000B2783"/>
    <w:rsid w:val="000B396B"/>
    <w:rsid w:val="000B4393"/>
    <w:rsid w:val="000B6BDC"/>
    <w:rsid w:val="000B70CC"/>
    <w:rsid w:val="000B7832"/>
    <w:rsid w:val="000C081B"/>
    <w:rsid w:val="000C326A"/>
    <w:rsid w:val="000C3502"/>
    <w:rsid w:val="000C574D"/>
    <w:rsid w:val="000C5EAB"/>
    <w:rsid w:val="000C6B6B"/>
    <w:rsid w:val="000D18A1"/>
    <w:rsid w:val="000D290F"/>
    <w:rsid w:val="000D2CDF"/>
    <w:rsid w:val="000D3D8A"/>
    <w:rsid w:val="000D3DD7"/>
    <w:rsid w:val="000D5F4D"/>
    <w:rsid w:val="000D6DD1"/>
    <w:rsid w:val="000E06C1"/>
    <w:rsid w:val="000E0BA1"/>
    <w:rsid w:val="000E0F62"/>
    <w:rsid w:val="000E4514"/>
    <w:rsid w:val="000E6E9A"/>
    <w:rsid w:val="000F0C2B"/>
    <w:rsid w:val="000F15F2"/>
    <w:rsid w:val="000F1851"/>
    <w:rsid w:val="000F250A"/>
    <w:rsid w:val="000F30BD"/>
    <w:rsid w:val="000F5BCD"/>
    <w:rsid w:val="000F66B5"/>
    <w:rsid w:val="000F7F78"/>
    <w:rsid w:val="001000A7"/>
    <w:rsid w:val="001003DF"/>
    <w:rsid w:val="00100539"/>
    <w:rsid w:val="0010087E"/>
    <w:rsid w:val="00101877"/>
    <w:rsid w:val="001032AD"/>
    <w:rsid w:val="001040DE"/>
    <w:rsid w:val="00105B96"/>
    <w:rsid w:val="00107EAC"/>
    <w:rsid w:val="00110006"/>
    <w:rsid w:val="00110A3E"/>
    <w:rsid w:val="00111557"/>
    <w:rsid w:val="0011307D"/>
    <w:rsid w:val="00113A3C"/>
    <w:rsid w:val="00114D19"/>
    <w:rsid w:val="00114E45"/>
    <w:rsid w:val="001150B0"/>
    <w:rsid w:val="00115D74"/>
    <w:rsid w:val="001164C7"/>
    <w:rsid w:val="00116D94"/>
    <w:rsid w:val="00123125"/>
    <w:rsid w:val="0012424E"/>
    <w:rsid w:val="00134768"/>
    <w:rsid w:val="001366A4"/>
    <w:rsid w:val="00140A49"/>
    <w:rsid w:val="00143603"/>
    <w:rsid w:val="00143931"/>
    <w:rsid w:val="00144DD2"/>
    <w:rsid w:val="00146440"/>
    <w:rsid w:val="0014723C"/>
    <w:rsid w:val="00151C1C"/>
    <w:rsid w:val="00151ED7"/>
    <w:rsid w:val="0015283E"/>
    <w:rsid w:val="0016042C"/>
    <w:rsid w:val="00160CB0"/>
    <w:rsid w:val="00162BB6"/>
    <w:rsid w:val="00163B88"/>
    <w:rsid w:val="00164280"/>
    <w:rsid w:val="00164AAA"/>
    <w:rsid w:val="00164BD0"/>
    <w:rsid w:val="00166306"/>
    <w:rsid w:val="001667AE"/>
    <w:rsid w:val="00166D39"/>
    <w:rsid w:val="00166F15"/>
    <w:rsid w:val="001674AB"/>
    <w:rsid w:val="00167661"/>
    <w:rsid w:val="00167B68"/>
    <w:rsid w:val="00172577"/>
    <w:rsid w:val="0017421A"/>
    <w:rsid w:val="00175CCD"/>
    <w:rsid w:val="0017645E"/>
    <w:rsid w:val="00176D4C"/>
    <w:rsid w:val="00182049"/>
    <w:rsid w:val="001822F2"/>
    <w:rsid w:val="00183CE6"/>
    <w:rsid w:val="001841B1"/>
    <w:rsid w:val="0018442B"/>
    <w:rsid w:val="0018479C"/>
    <w:rsid w:val="00185879"/>
    <w:rsid w:val="0018603B"/>
    <w:rsid w:val="00186201"/>
    <w:rsid w:val="00186827"/>
    <w:rsid w:val="0019035E"/>
    <w:rsid w:val="00190EA3"/>
    <w:rsid w:val="001941F4"/>
    <w:rsid w:val="00195E47"/>
    <w:rsid w:val="00196A7C"/>
    <w:rsid w:val="00196C45"/>
    <w:rsid w:val="001979FA"/>
    <w:rsid w:val="001A17A5"/>
    <w:rsid w:val="001A2781"/>
    <w:rsid w:val="001A30A3"/>
    <w:rsid w:val="001A4B53"/>
    <w:rsid w:val="001A513B"/>
    <w:rsid w:val="001A5365"/>
    <w:rsid w:val="001A6A01"/>
    <w:rsid w:val="001A7B83"/>
    <w:rsid w:val="001B0D8C"/>
    <w:rsid w:val="001B2A4B"/>
    <w:rsid w:val="001B61DF"/>
    <w:rsid w:val="001B6A61"/>
    <w:rsid w:val="001B759C"/>
    <w:rsid w:val="001B7D19"/>
    <w:rsid w:val="001C01ED"/>
    <w:rsid w:val="001C18C9"/>
    <w:rsid w:val="001C2225"/>
    <w:rsid w:val="001C2CD2"/>
    <w:rsid w:val="001C34CB"/>
    <w:rsid w:val="001C4797"/>
    <w:rsid w:val="001C4ACD"/>
    <w:rsid w:val="001C4EA5"/>
    <w:rsid w:val="001C5438"/>
    <w:rsid w:val="001C55B7"/>
    <w:rsid w:val="001C5F8F"/>
    <w:rsid w:val="001C7CB2"/>
    <w:rsid w:val="001D046D"/>
    <w:rsid w:val="001D10C6"/>
    <w:rsid w:val="001D112A"/>
    <w:rsid w:val="001D151A"/>
    <w:rsid w:val="001D2896"/>
    <w:rsid w:val="001D4BAD"/>
    <w:rsid w:val="001D4C33"/>
    <w:rsid w:val="001D51BA"/>
    <w:rsid w:val="001D66BB"/>
    <w:rsid w:val="001D6FE0"/>
    <w:rsid w:val="001D78B6"/>
    <w:rsid w:val="001D7A3C"/>
    <w:rsid w:val="001E067D"/>
    <w:rsid w:val="001E103F"/>
    <w:rsid w:val="001E188B"/>
    <w:rsid w:val="001E290A"/>
    <w:rsid w:val="001E4B77"/>
    <w:rsid w:val="001F0762"/>
    <w:rsid w:val="001F0D4D"/>
    <w:rsid w:val="001F0E9C"/>
    <w:rsid w:val="001F1FB6"/>
    <w:rsid w:val="001F3241"/>
    <w:rsid w:val="001F3408"/>
    <w:rsid w:val="001F72D3"/>
    <w:rsid w:val="00200780"/>
    <w:rsid w:val="00201040"/>
    <w:rsid w:val="0020104B"/>
    <w:rsid w:val="00202494"/>
    <w:rsid w:val="00202B43"/>
    <w:rsid w:val="002047A7"/>
    <w:rsid w:val="00205297"/>
    <w:rsid w:val="00205309"/>
    <w:rsid w:val="002061E9"/>
    <w:rsid w:val="00207C86"/>
    <w:rsid w:val="00211AC2"/>
    <w:rsid w:val="00211D57"/>
    <w:rsid w:val="0021250E"/>
    <w:rsid w:val="00212D22"/>
    <w:rsid w:val="0021494B"/>
    <w:rsid w:val="00215143"/>
    <w:rsid w:val="002153E7"/>
    <w:rsid w:val="002156E9"/>
    <w:rsid w:val="002164B8"/>
    <w:rsid w:val="002219E2"/>
    <w:rsid w:val="0022399D"/>
    <w:rsid w:val="00223B1C"/>
    <w:rsid w:val="0022410E"/>
    <w:rsid w:val="00224241"/>
    <w:rsid w:val="0022538D"/>
    <w:rsid w:val="00227158"/>
    <w:rsid w:val="002274AA"/>
    <w:rsid w:val="002277C6"/>
    <w:rsid w:val="002278C2"/>
    <w:rsid w:val="00232D93"/>
    <w:rsid w:val="00234FCB"/>
    <w:rsid w:val="00236047"/>
    <w:rsid w:val="00237CA9"/>
    <w:rsid w:val="00240178"/>
    <w:rsid w:val="002402FC"/>
    <w:rsid w:val="00240908"/>
    <w:rsid w:val="00240A5F"/>
    <w:rsid w:val="00240F4B"/>
    <w:rsid w:val="002429A6"/>
    <w:rsid w:val="00242AA3"/>
    <w:rsid w:val="002455F1"/>
    <w:rsid w:val="0024734E"/>
    <w:rsid w:val="00250013"/>
    <w:rsid w:val="00250865"/>
    <w:rsid w:val="002515DA"/>
    <w:rsid w:val="00252622"/>
    <w:rsid w:val="002538C6"/>
    <w:rsid w:val="00253BE9"/>
    <w:rsid w:val="00256699"/>
    <w:rsid w:val="00260038"/>
    <w:rsid w:val="00260534"/>
    <w:rsid w:val="002618A4"/>
    <w:rsid w:val="002621E3"/>
    <w:rsid w:val="00262FBE"/>
    <w:rsid w:val="0026405D"/>
    <w:rsid w:val="00264278"/>
    <w:rsid w:val="002654F5"/>
    <w:rsid w:val="00265BFE"/>
    <w:rsid w:val="002701CA"/>
    <w:rsid w:val="002709C2"/>
    <w:rsid w:val="00271F95"/>
    <w:rsid w:val="0027404A"/>
    <w:rsid w:val="002742D2"/>
    <w:rsid w:val="002748FB"/>
    <w:rsid w:val="00276DB6"/>
    <w:rsid w:val="00280758"/>
    <w:rsid w:val="00282249"/>
    <w:rsid w:val="00285A87"/>
    <w:rsid w:val="00286BFF"/>
    <w:rsid w:val="00291113"/>
    <w:rsid w:val="002918B8"/>
    <w:rsid w:val="00293488"/>
    <w:rsid w:val="00293596"/>
    <w:rsid w:val="002939A8"/>
    <w:rsid w:val="00293DA8"/>
    <w:rsid w:val="0029441A"/>
    <w:rsid w:val="002964F6"/>
    <w:rsid w:val="002A24FF"/>
    <w:rsid w:val="002A46E0"/>
    <w:rsid w:val="002A58DD"/>
    <w:rsid w:val="002A5EBD"/>
    <w:rsid w:val="002B1337"/>
    <w:rsid w:val="002B291D"/>
    <w:rsid w:val="002B29A1"/>
    <w:rsid w:val="002B2FF8"/>
    <w:rsid w:val="002B46A1"/>
    <w:rsid w:val="002B4CF2"/>
    <w:rsid w:val="002B4DC9"/>
    <w:rsid w:val="002B50C6"/>
    <w:rsid w:val="002B5DFD"/>
    <w:rsid w:val="002C1EB2"/>
    <w:rsid w:val="002C346C"/>
    <w:rsid w:val="002C4604"/>
    <w:rsid w:val="002C4C5D"/>
    <w:rsid w:val="002C532A"/>
    <w:rsid w:val="002C6D88"/>
    <w:rsid w:val="002C7817"/>
    <w:rsid w:val="002C794B"/>
    <w:rsid w:val="002D0870"/>
    <w:rsid w:val="002D2D77"/>
    <w:rsid w:val="002D4073"/>
    <w:rsid w:val="002D4241"/>
    <w:rsid w:val="002D4B8C"/>
    <w:rsid w:val="002D4CD1"/>
    <w:rsid w:val="002D54DA"/>
    <w:rsid w:val="002D561B"/>
    <w:rsid w:val="002D751D"/>
    <w:rsid w:val="002D7BD0"/>
    <w:rsid w:val="002E04DA"/>
    <w:rsid w:val="002E13FA"/>
    <w:rsid w:val="002E2F97"/>
    <w:rsid w:val="002E4128"/>
    <w:rsid w:val="002E563F"/>
    <w:rsid w:val="002E5DF8"/>
    <w:rsid w:val="002E7393"/>
    <w:rsid w:val="002E739E"/>
    <w:rsid w:val="002F1EB2"/>
    <w:rsid w:val="002F3DAE"/>
    <w:rsid w:val="002F653C"/>
    <w:rsid w:val="002F7A06"/>
    <w:rsid w:val="00300334"/>
    <w:rsid w:val="003021E7"/>
    <w:rsid w:val="0030408C"/>
    <w:rsid w:val="00304E57"/>
    <w:rsid w:val="00306315"/>
    <w:rsid w:val="003076A3"/>
    <w:rsid w:val="00310F43"/>
    <w:rsid w:val="00311FDF"/>
    <w:rsid w:val="003133AC"/>
    <w:rsid w:val="00314160"/>
    <w:rsid w:val="00314FF4"/>
    <w:rsid w:val="00315E13"/>
    <w:rsid w:val="003179F7"/>
    <w:rsid w:val="00317C6F"/>
    <w:rsid w:val="003208E0"/>
    <w:rsid w:val="00320A41"/>
    <w:rsid w:val="00321680"/>
    <w:rsid w:val="003229C5"/>
    <w:rsid w:val="0032477B"/>
    <w:rsid w:val="0032511C"/>
    <w:rsid w:val="003262BD"/>
    <w:rsid w:val="00326573"/>
    <w:rsid w:val="00327D07"/>
    <w:rsid w:val="003303C9"/>
    <w:rsid w:val="00335AF9"/>
    <w:rsid w:val="003363D9"/>
    <w:rsid w:val="00336471"/>
    <w:rsid w:val="0033691D"/>
    <w:rsid w:val="00341C1F"/>
    <w:rsid w:val="0034338F"/>
    <w:rsid w:val="00344464"/>
    <w:rsid w:val="0034454D"/>
    <w:rsid w:val="00344619"/>
    <w:rsid w:val="00344781"/>
    <w:rsid w:val="00344A5F"/>
    <w:rsid w:val="003450A5"/>
    <w:rsid w:val="0034719F"/>
    <w:rsid w:val="00350D20"/>
    <w:rsid w:val="003520AF"/>
    <w:rsid w:val="00352A4E"/>
    <w:rsid w:val="00353073"/>
    <w:rsid w:val="00354A8E"/>
    <w:rsid w:val="0035579E"/>
    <w:rsid w:val="00356F38"/>
    <w:rsid w:val="0035708C"/>
    <w:rsid w:val="00360488"/>
    <w:rsid w:val="00360715"/>
    <w:rsid w:val="00362251"/>
    <w:rsid w:val="00363126"/>
    <w:rsid w:val="00363E45"/>
    <w:rsid w:val="003646CD"/>
    <w:rsid w:val="00364FDC"/>
    <w:rsid w:val="00365591"/>
    <w:rsid w:val="003657CB"/>
    <w:rsid w:val="00365A33"/>
    <w:rsid w:val="00365FBF"/>
    <w:rsid w:val="00367C34"/>
    <w:rsid w:val="003708A2"/>
    <w:rsid w:val="00371098"/>
    <w:rsid w:val="00372F6E"/>
    <w:rsid w:val="0037337F"/>
    <w:rsid w:val="003734B3"/>
    <w:rsid w:val="00373539"/>
    <w:rsid w:val="003735C5"/>
    <w:rsid w:val="00374AAB"/>
    <w:rsid w:val="00381665"/>
    <w:rsid w:val="00381913"/>
    <w:rsid w:val="00381D8E"/>
    <w:rsid w:val="00383066"/>
    <w:rsid w:val="003858D9"/>
    <w:rsid w:val="0038664C"/>
    <w:rsid w:val="003870FC"/>
    <w:rsid w:val="00387577"/>
    <w:rsid w:val="00392519"/>
    <w:rsid w:val="00394DDC"/>
    <w:rsid w:val="003951C3"/>
    <w:rsid w:val="003957A4"/>
    <w:rsid w:val="003972A9"/>
    <w:rsid w:val="003A01E3"/>
    <w:rsid w:val="003A1255"/>
    <w:rsid w:val="003A12DF"/>
    <w:rsid w:val="003A1740"/>
    <w:rsid w:val="003A2A02"/>
    <w:rsid w:val="003A2E4E"/>
    <w:rsid w:val="003A3765"/>
    <w:rsid w:val="003A4588"/>
    <w:rsid w:val="003A5A27"/>
    <w:rsid w:val="003A6453"/>
    <w:rsid w:val="003A72EF"/>
    <w:rsid w:val="003A7D24"/>
    <w:rsid w:val="003B04E6"/>
    <w:rsid w:val="003B1079"/>
    <w:rsid w:val="003B26A3"/>
    <w:rsid w:val="003B29B9"/>
    <w:rsid w:val="003B2CB5"/>
    <w:rsid w:val="003B3991"/>
    <w:rsid w:val="003B3CEA"/>
    <w:rsid w:val="003B4D40"/>
    <w:rsid w:val="003B7BB9"/>
    <w:rsid w:val="003C0045"/>
    <w:rsid w:val="003C18E6"/>
    <w:rsid w:val="003C3A71"/>
    <w:rsid w:val="003C3B4A"/>
    <w:rsid w:val="003C3C96"/>
    <w:rsid w:val="003C4074"/>
    <w:rsid w:val="003C4DAF"/>
    <w:rsid w:val="003C66F8"/>
    <w:rsid w:val="003D019E"/>
    <w:rsid w:val="003D02F6"/>
    <w:rsid w:val="003D08AF"/>
    <w:rsid w:val="003D11DE"/>
    <w:rsid w:val="003D1982"/>
    <w:rsid w:val="003D3F62"/>
    <w:rsid w:val="003D419B"/>
    <w:rsid w:val="003D5B70"/>
    <w:rsid w:val="003D7B0C"/>
    <w:rsid w:val="003D7BD2"/>
    <w:rsid w:val="003E180C"/>
    <w:rsid w:val="003E244A"/>
    <w:rsid w:val="003E31BA"/>
    <w:rsid w:val="003E342B"/>
    <w:rsid w:val="003E592F"/>
    <w:rsid w:val="003F1067"/>
    <w:rsid w:val="003F232C"/>
    <w:rsid w:val="003F2DAB"/>
    <w:rsid w:val="003F3E38"/>
    <w:rsid w:val="003F460C"/>
    <w:rsid w:val="003F4E06"/>
    <w:rsid w:val="003F670A"/>
    <w:rsid w:val="003F6E6C"/>
    <w:rsid w:val="003F710F"/>
    <w:rsid w:val="004022D9"/>
    <w:rsid w:val="00402726"/>
    <w:rsid w:val="004045A4"/>
    <w:rsid w:val="00405876"/>
    <w:rsid w:val="00405BF3"/>
    <w:rsid w:val="004125EE"/>
    <w:rsid w:val="0041459F"/>
    <w:rsid w:val="00414D6A"/>
    <w:rsid w:val="00415374"/>
    <w:rsid w:val="00415FB2"/>
    <w:rsid w:val="00416500"/>
    <w:rsid w:val="00416D26"/>
    <w:rsid w:val="00417B62"/>
    <w:rsid w:val="004200D7"/>
    <w:rsid w:val="004202A7"/>
    <w:rsid w:val="00423196"/>
    <w:rsid w:val="00423C13"/>
    <w:rsid w:val="004254CE"/>
    <w:rsid w:val="00426E23"/>
    <w:rsid w:val="00430C3E"/>
    <w:rsid w:val="00432A5C"/>
    <w:rsid w:val="0043340E"/>
    <w:rsid w:val="004336EF"/>
    <w:rsid w:val="0043685D"/>
    <w:rsid w:val="00437057"/>
    <w:rsid w:val="0043766D"/>
    <w:rsid w:val="00440056"/>
    <w:rsid w:val="00444CB2"/>
    <w:rsid w:val="00445DE7"/>
    <w:rsid w:val="00450119"/>
    <w:rsid w:val="0045094A"/>
    <w:rsid w:val="00452857"/>
    <w:rsid w:val="004536E0"/>
    <w:rsid w:val="0045424E"/>
    <w:rsid w:val="0045445B"/>
    <w:rsid w:val="00454C9F"/>
    <w:rsid w:val="00456535"/>
    <w:rsid w:val="00457976"/>
    <w:rsid w:val="004600FC"/>
    <w:rsid w:val="004606E1"/>
    <w:rsid w:val="004612BD"/>
    <w:rsid w:val="00461B97"/>
    <w:rsid w:val="00463D8E"/>
    <w:rsid w:val="0046715F"/>
    <w:rsid w:val="00470C98"/>
    <w:rsid w:val="004722ED"/>
    <w:rsid w:val="0047288C"/>
    <w:rsid w:val="0047513F"/>
    <w:rsid w:val="0047547B"/>
    <w:rsid w:val="004762BD"/>
    <w:rsid w:val="00476C3F"/>
    <w:rsid w:val="0048049E"/>
    <w:rsid w:val="004816AF"/>
    <w:rsid w:val="0048179B"/>
    <w:rsid w:val="00481C54"/>
    <w:rsid w:val="0048302E"/>
    <w:rsid w:val="00483578"/>
    <w:rsid w:val="00484923"/>
    <w:rsid w:val="00485716"/>
    <w:rsid w:val="00485E5A"/>
    <w:rsid w:val="004873DB"/>
    <w:rsid w:val="00487CDD"/>
    <w:rsid w:val="00490485"/>
    <w:rsid w:val="00491882"/>
    <w:rsid w:val="00491BD6"/>
    <w:rsid w:val="00491E0E"/>
    <w:rsid w:val="004925AB"/>
    <w:rsid w:val="00492B2A"/>
    <w:rsid w:val="004951E8"/>
    <w:rsid w:val="0049559F"/>
    <w:rsid w:val="004957C1"/>
    <w:rsid w:val="0049605D"/>
    <w:rsid w:val="00496225"/>
    <w:rsid w:val="00497660"/>
    <w:rsid w:val="004A0147"/>
    <w:rsid w:val="004A2577"/>
    <w:rsid w:val="004A2A65"/>
    <w:rsid w:val="004A3671"/>
    <w:rsid w:val="004A53A5"/>
    <w:rsid w:val="004A5547"/>
    <w:rsid w:val="004A6450"/>
    <w:rsid w:val="004A6E4D"/>
    <w:rsid w:val="004A7BDB"/>
    <w:rsid w:val="004B3FE7"/>
    <w:rsid w:val="004B4BC0"/>
    <w:rsid w:val="004B4EBB"/>
    <w:rsid w:val="004B5E59"/>
    <w:rsid w:val="004B5E76"/>
    <w:rsid w:val="004B6441"/>
    <w:rsid w:val="004B6D79"/>
    <w:rsid w:val="004C00AC"/>
    <w:rsid w:val="004C1A67"/>
    <w:rsid w:val="004C1C1B"/>
    <w:rsid w:val="004C2D57"/>
    <w:rsid w:val="004C40A3"/>
    <w:rsid w:val="004C5618"/>
    <w:rsid w:val="004C5D43"/>
    <w:rsid w:val="004C64B8"/>
    <w:rsid w:val="004C69A7"/>
    <w:rsid w:val="004C7540"/>
    <w:rsid w:val="004C798B"/>
    <w:rsid w:val="004D378D"/>
    <w:rsid w:val="004D5E04"/>
    <w:rsid w:val="004D70ED"/>
    <w:rsid w:val="004D7483"/>
    <w:rsid w:val="004D7C1E"/>
    <w:rsid w:val="004E05C6"/>
    <w:rsid w:val="004E2628"/>
    <w:rsid w:val="004E290E"/>
    <w:rsid w:val="004E32A7"/>
    <w:rsid w:val="004E36E9"/>
    <w:rsid w:val="004E6B6C"/>
    <w:rsid w:val="004E6BEF"/>
    <w:rsid w:val="004E7287"/>
    <w:rsid w:val="004F0342"/>
    <w:rsid w:val="004F15D7"/>
    <w:rsid w:val="004F1F21"/>
    <w:rsid w:val="004F218D"/>
    <w:rsid w:val="004F23AB"/>
    <w:rsid w:val="004F2607"/>
    <w:rsid w:val="004F4666"/>
    <w:rsid w:val="004F54A1"/>
    <w:rsid w:val="004F5D2C"/>
    <w:rsid w:val="004F5F01"/>
    <w:rsid w:val="005002B9"/>
    <w:rsid w:val="005007AE"/>
    <w:rsid w:val="00502114"/>
    <w:rsid w:val="00502429"/>
    <w:rsid w:val="00503472"/>
    <w:rsid w:val="00504330"/>
    <w:rsid w:val="00504379"/>
    <w:rsid w:val="00506B48"/>
    <w:rsid w:val="0050775E"/>
    <w:rsid w:val="005079A7"/>
    <w:rsid w:val="00510B84"/>
    <w:rsid w:val="00511CCA"/>
    <w:rsid w:val="00512A8A"/>
    <w:rsid w:val="00513233"/>
    <w:rsid w:val="00513A6A"/>
    <w:rsid w:val="005140A5"/>
    <w:rsid w:val="00516C65"/>
    <w:rsid w:val="00517AC0"/>
    <w:rsid w:val="00520C65"/>
    <w:rsid w:val="00520D93"/>
    <w:rsid w:val="0052231C"/>
    <w:rsid w:val="00523380"/>
    <w:rsid w:val="00523AD2"/>
    <w:rsid w:val="00523B13"/>
    <w:rsid w:val="0052437E"/>
    <w:rsid w:val="00525423"/>
    <w:rsid w:val="00525813"/>
    <w:rsid w:val="00525DB9"/>
    <w:rsid w:val="00526311"/>
    <w:rsid w:val="0052651D"/>
    <w:rsid w:val="00530C08"/>
    <w:rsid w:val="005313B0"/>
    <w:rsid w:val="00532195"/>
    <w:rsid w:val="00534BF0"/>
    <w:rsid w:val="0053556C"/>
    <w:rsid w:val="00535796"/>
    <w:rsid w:val="00551D43"/>
    <w:rsid w:val="00555ECB"/>
    <w:rsid w:val="00556699"/>
    <w:rsid w:val="00556A95"/>
    <w:rsid w:val="005579DD"/>
    <w:rsid w:val="00557FB5"/>
    <w:rsid w:val="00560F02"/>
    <w:rsid w:val="00562425"/>
    <w:rsid w:val="005624B5"/>
    <w:rsid w:val="005634A1"/>
    <w:rsid w:val="00564A0B"/>
    <w:rsid w:val="00566E2E"/>
    <w:rsid w:val="00566EC3"/>
    <w:rsid w:val="00567B58"/>
    <w:rsid w:val="00571B99"/>
    <w:rsid w:val="005723E9"/>
    <w:rsid w:val="0057374F"/>
    <w:rsid w:val="00574233"/>
    <w:rsid w:val="00575AF7"/>
    <w:rsid w:val="00577486"/>
    <w:rsid w:val="00580960"/>
    <w:rsid w:val="00585D5A"/>
    <w:rsid w:val="005860D1"/>
    <w:rsid w:val="005878D7"/>
    <w:rsid w:val="00587F27"/>
    <w:rsid w:val="00591046"/>
    <w:rsid w:val="0059236F"/>
    <w:rsid w:val="0059275A"/>
    <w:rsid w:val="005930CF"/>
    <w:rsid w:val="0059339D"/>
    <w:rsid w:val="0059388E"/>
    <w:rsid w:val="00595DD0"/>
    <w:rsid w:val="00596B99"/>
    <w:rsid w:val="005976AF"/>
    <w:rsid w:val="00597872"/>
    <w:rsid w:val="005A2235"/>
    <w:rsid w:val="005A3699"/>
    <w:rsid w:val="005A4D3D"/>
    <w:rsid w:val="005A51D2"/>
    <w:rsid w:val="005A6F1C"/>
    <w:rsid w:val="005A7326"/>
    <w:rsid w:val="005A792E"/>
    <w:rsid w:val="005B0F75"/>
    <w:rsid w:val="005B1AB7"/>
    <w:rsid w:val="005B3948"/>
    <w:rsid w:val="005B4606"/>
    <w:rsid w:val="005B4987"/>
    <w:rsid w:val="005B5BBB"/>
    <w:rsid w:val="005B60DF"/>
    <w:rsid w:val="005C19BF"/>
    <w:rsid w:val="005C32A4"/>
    <w:rsid w:val="005C4C95"/>
    <w:rsid w:val="005C6CDB"/>
    <w:rsid w:val="005C7B39"/>
    <w:rsid w:val="005C7C62"/>
    <w:rsid w:val="005D0B4B"/>
    <w:rsid w:val="005D1068"/>
    <w:rsid w:val="005D285C"/>
    <w:rsid w:val="005D4D67"/>
    <w:rsid w:val="005D56B0"/>
    <w:rsid w:val="005D69AA"/>
    <w:rsid w:val="005D7C90"/>
    <w:rsid w:val="005E104E"/>
    <w:rsid w:val="005E2532"/>
    <w:rsid w:val="005E3C95"/>
    <w:rsid w:val="005E4C7D"/>
    <w:rsid w:val="005E6094"/>
    <w:rsid w:val="005E716F"/>
    <w:rsid w:val="005E7B79"/>
    <w:rsid w:val="005E7F2D"/>
    <w:rsid w:val="005F047D"/>
    <w:rsid w:val="005F203B"/>
    <w:rsid w:val="005F2F68"/>
    <w:rsid w:val="005F3118"/>
    <w:rsid w:val="005F4643"/>
    <w:rsid w:val="005F64FB"/>
    <w:rsid w:val="005F673E"/>
    <w:rsid w:val="005F7C97"/>
    <w:rsid w:val="00600A7C"/>
    <w:rsid w:val="00600F94"/>
    <w:rsid w:val="00601789"/>
    <w:rsid w:val="00602D33"/>
    <w:rsid w:val="006030D0"/>
    <w:rsid w:val="006068C8"/>
    <w:rsid w:val="00607154"/>
    <w:rsid w:val="00610DA0"/>
    <w:rsid w:val="006115F1"/>
    <w:rsid w:val="006116E7"/>
    <w:rsid w:val="00611968"/>
    <w:rsid w:val="006126F9"/>
    <w:rsid w:val="00612BC5"/>
    <w:rsid w:val="00613C03"/>
    <w:rsid w:val="00617341"/>
    <w:rsid w:val="006201D6"/>
    <w:rsid w:val="00620E53"/>
    <w:rsid w:val="006229DB"/>
    <w:rsid w:val="006265E4"/>
    <w:rsid w:val="00630B7B"/>
    <w:rsid w:val="00630F1C"/>
    <w:rsid w:val="0063368F"/>
    <w:rsid w:val="00633AD1"/>
    <w:rsid w:val="00635040"/>
    <w:rsid w:val="00640818"/>
    <w:rsid w:val="00641503"/>
    <w:rsid w:val="006430A0"/>
    <w:rsid w:val="00643192"/>
    <w:rsid w:val="0064472D"/>
    <w:rsid w:val="00644B93"/>
    <w:rsid w:val="00645806"/>
    <w:rsid w:val="00646699"/>
    <w:rsid w:val="0064695F"/>
    <w:rsid w:val="00650882"/>
    <w:rsid w:val="006513F6"/>
    <w:rsid w:val="006518C4"/>
    <w:rsid w:val="00652369"/>
    <w:rsid w:val="006527BB"/>
    <w:rsid w:val="006527D9"/>
    <w:rsid w:val="00652969"/>
    <w:rsid w:val="006533E7"/>
    <w:rsid w:val="00654016"/>
    <w:rsid w:val="0065426E"/>
    <w:rsid w:val="006542D9"/>
    <w:rsid w:val="00657CAB"/>
    <w:rsid w:val="00661B6D"/>
    <w:rsid w:val="00661DD8"/>
    <w:rsid w:val="006625F6"/>
    <w:rsid w:val="0066329E"/>
    <w:rsid w:val="00663995"/>
    <w:rsid w:val="006663F4"/>
    <w:rsid w:val="006668FB"/>
    <w:rsid w:val="00667879"/>
    <w:rsid w:val="00667DFF"/>
    <w:rsid w:val="00670157"/>
    <w:rsid w:val="0067092C"/>
    <w:rsid w:val="00670A1B"/>
    <w:rsid w:val="00670E5A"/>
    <w:rsid w:val="0067124B"/>
    <w:rsid w:val="00674049"/>
    <w:rsid w:val="0067746A"/>
    <w:rsid w:val="006777C7"/>
    <w:rsid w:val="006803E8"/>
    <w:rsid w:val="00683600"/>
    <w:rsid w:val="006842C2"/>
    <w:rsid w:val="00684941"/>
    <w:rsid w:val="006864DC"/>
    <w:rsid w:val="00687BAD"/>
    <w:rsid w:val="00690A61"/>
    <w:rsid w:val="00691D57"/>
    <w:rsid w:val="00692788"/>
    <w:rsid w:val="006929ED"/>
    <w:rsid w:val="00693675"/>
    <w:rsid w:val="006936C8"/>
    <w:rsid w:val="006937CD"/>
    <w:rsid w:val="00693BB8"/>
    <w:rsid w:val="006944B1"/>
    <w:rsid w:val="0069492C"/>
    <w:rsid w:val="0069660A"/>
    <w:rsid w:val="006A06BB"/>
    <w:rsid w:val="006A1E7A"/>
    <w:rsid w:val="006A22F1"/>
    <w:rsid w:val="006A243C"/>
    <w:rsid w:val="006A26AF"/>
    <w:rsid w:val="006A3B57"/>
    <w:rsid w:val="006A7C4C"/>
    <w:rsid w:val="006B13E7"/>
    <w:rsid w:val="006B21DE"/>
    <w:rsid w:val="006B416D"/>
    <w:rsid w:val="006B733E"/>
    <w:rsid w:val="006C1BF6"/>
    <w:rsid w:val="006C1D8E"/>
    <w:rsid w:val="006C29CA"/>
    <w:rsid w:val="006C2D13"/>
    <w:rsid w:val="006C38CE"/>
    <w:rsid w:val="006C40EA"/>
    <w:rsid w:val="006C4707"/>
    <w:rsid w:val="006C59C7"/>
    <w:rsid w:val="006C6D31"/>
    <w:rsid w:val="006D249F"/>
    <w:rsid w:val="006D3F62"/>
    <w:rsid w:val="006D43C1"/>
    <w:rsid w:val="006D557A"/>
    <w:rsid w:val="006D6AD0"/>
    <w:rsid w:val="006D7362"/>
    <w:rsid w:val="006E0DF2"/>
    <w:rsid w:val="006E10E4"/>
    <w:rsid w:val="006E20AA"/>
    <w:rsid w:val="006E348C"/>
    <w:rsid w:val="006E5691"/>
    <w:rsid w:val="006E66CC"/>
    <w:rsid w:val="006F22C7"/>
    <w:rsid w:val="006F2A68"/>
    <w:rsid w:val="006F595F"/>
    <w:rsid w:val="006F6140"/>
    <w:rsid w:val="00701E94"/>
    <w:rsid w:val="00702096"/>
    <w:rsid w:val="00704B35"/>
    <w:rsid w:val="00705999"/>
    <w:rsid w:val="00705A49"/>
    <w:rsid w:val="007073F5"/>
    <w:rsid w:val="0071011D"/>
    <w:rsid w:val="007101FE"/>
    <w:rsid w:val="007110CC"/>
    <w:rsid w:val="0071309E"/>
    <w:rsid w:val="00713F61"/>
    <w:rsid w:val="00714D0B"/>
    <w:rsid w:val="00716725"/>
    <w:rsid w:val="00720D7A"/>
    <w:rsid w:val="007216FC"/>
    <w:rsid w:val="00723995"/>
    <w:rsid w:val="00724ED5"/>
    <w:rsid w:val="00725A7C"/>
    <w:rsid w:val="0072646A"/>
    <w:rsid w:val="00726A95"/>
    <w:rsid w:val="00727E21"/>
    <w:rsid w:val="0073093B"/>
    <w:rsid w:val="0073188B"/>
    <w:rsid w:val="007326D8"/>
    <w:rsid w:val="0073360C"/>
    <w:rsid w:val="007355BF"/>
    <w:rsid w:val="00735FA5"/>
    <w:rsid w:val="00736544"/>
    <w:rsid w:val="00742892"/>
    <w:rsid w:val="007431AB"/>
    <w:rsid w:val="0074376E"/>
    <w:rsid w:val="0074456D"/>
    <w:rsid w:val="00744CA6"/>
    <w:rsid w:val="00744EC4"/>
    <w:rsid w:val="0075016B"/>
    <w:rsid w:val="00753B50"/>
    <w:rsid w:val="00755B16"/>
    <w:rsid w:val="007562CA"/>
    <w:rsid w:val="007617F1"/>
    <w:rsid w:val="00761D7B"/>
    <w:rsid w:val="007621FB"/>
    <w:rsid w:val="0076331A"/>
    <w:rsid w:val="007644E9"/>
    <w:rsid w:val="00764B44"/>
    <w:rsid w:val="007662DC"/>
    <w:rsid w:val="00766785"/>
    <w:rsid w:val="007678AC"/>
    <w:rsid w:val="00770478"/>
    <w:rsid w:val="00770DC1"/>
    <w:rsid w:val="0077126F"/>
    <w:rsid w:val="007718ED"/>
    <w:rsid w:val="00771E5C"/>
    <w:rsid w:val="007743B7"/>
    <w:rsid w:val="0077502C"/>
    <w:rsid w:val="00775B74"/>
    <w:rsid w:val="007762B2"/>
    <w:rsid w:val="00777CAE"/>
    <w:rsid w:val="007808EB"/>
    <w:rsid w:val="00781AAF"/>
    <w:rsid w:val="00781B39"/>
    <w:rsid w:val="007831B4"/>
    <w:rsid w:val="007837DE"/>
    <w:rsid w:val="00785AFD"/>
    <w:rsid w:val="00785E86"/>
    <w:rsid w:val="0078670B"/>
    <w:rsid w:val="007877A6"/>
    <w:rsid w:val="007902F2"/>
    <w:rsid w:val="0079150C"/>
    <w:rsid w:val="00793D3F"/>
    <w:rsid w:val="00794076"/>
    <w:rsid w:val="007947F8"/>
    <w:rsid w:val="00795F7C"/>
    <w:rsid w:val="007A320D"/>
    <w:rsid w:val="007A5684"/>
    <w:rsid w:val="007A6856"/>
    <w:rsid w:val="007A6DE3"/>
    <w:rsid w:val="007A7ECD"/>
    <w:rsid w:val="007B19C0"/>
    <w:rsid w:val="007B1D86"/>
    <w:rsid w:val="007B2136"/>
    <w:rsid w:val="007B25FA"/>
    <w:rsid w:val="007B2E9A"/>
    <w:rsid w:val="007B34E9"/>
    <w:rsid w:val="007B4145"/>
    <w:rsid w:val="007B51F2"/>
    <w:rsid w:val="007B53B4"/>
    <w:rsid w:val="007B72A5"/>
    <w:rsid w:val="007B7E17"/>
    <w:rsid w:val="007C0762"/>
    <w:rsid w:val="007C1BD8"/>
    <w:rsid w:val="007C2FBB"/>
    <w:rsid w:val="007C3877"/>
    <w:rsid w:val="007C542A"/>
    <w:rsid w:val="007C645B"/>
    <w:rsid w:val="007C6BD7"/>
    <w:rsid w:val="007C774D"/>
    <w:rsid w:val="007C7E34"/>
    <w:rsid w:val="007C7FCD"/>
    <w:rsid w:val="007D031E"/>
    <w:rsid w:val="007D0911"/>
    <w:rsid w:val="007D1103"/>
    <w:rsid w:val="007D1AC2"/>
    <w:rsid w:val="007D1E56"/>
    <w:rsid w:val="007D1F98"/>
    <w:rsid w:val="007D3A9C"/>
    <w:rsid w:val="007D40D3"/>
    <w:rsid w:val="007D53C4"/>
    <w:rsid w:val="007D6641"/>
    <w:rsid w:val="007E01FD"/>
    <w:rsid w:val="007E0D33"/>
    <w:rsid w:val="007E1477"/>
    <w:rsid w:val="007E2353"/>
    <w:rsid w:val="007E5E98"/>
    <w:rsid w:val="007F0FC1"/>
    <w:rsid w:val="007F13AE"/>
    <w:rsid w:val="007F1CDE"/>
    <w:rsid w:val="007F2121"/>
    <w:rsid w:val="007F527D"/>
    <w:rsid w:val="007F5A99"/>
    <w:rsid w:val="007F66A1"/>
    <w:rsid w:val="007F68F9"/>
    <w:rsid w:val="007F6F66"/>
    <w:rsid w:val="007F71A5"/>
    <w:rsid w:val="007F799F"/>
    <w:rsid w:val="007F7F25"/>
    <w:rsid w:val="00800902"/>
    <w:rsid w:val="00802873"/>
    <w:rsid w:val="00803384"/>
    <w:rsid w:val="00804935"/>
    <w:rsid w:val="00807A83"/>
    <w:rsid w:val="00813112"/>
    <w:rsid w:val="00815016"/>
    <w:rsid w:val="00815792"/>
    <w:rsid w:val="00816968"/>
    <w:rsid w:val="00817C0F"/>
    <w:rsid w:val="00820FB1"/>
    <w:rsid w:val="00822C16"/>
    <w:rsid w:val="008235BF"/>
    <w:rsid w:val="0082590A"/>
    <w:rsid w:val="00825E53"/>
    <w:rsid w:val="00826319"/>
    <w:rsid w:val="008275FA"/>
    <w:rsid w:val="00832A78"/>
    <w:rsid w:val="008338F0"/>
    <w:rsid w:val="00834414"/>
    <w:rsid w:val="00834BBA"/>
    <w:rsid w:val="00834D9E"/>
    <w:rsid w:val="00834E52"/>
    <w:rsid w:val="008359C4"/>
    <w:rsid w:val="00837CE4"/>
    <w:rsid w:val="00840050"/>
    <w:rsid w:val="00840109"/>
    <w:rsid w:val="008411A7"/>
    <w:rsid w:val="008416AC"/>
    <w:rsid w:val="00843984"/>
    <w:rsid w:val="00844C60"/>
    <w:rsid w:val="00851528"/>
    <w:rsid w:val="00851774"/>
    <w:rsid w:val="00851CE7"/>
    <w:rsid w:val="00853471"/>
    <w:rsid w:val="00853771"/>
    <w:rsid w:val="008537FE"/>
    <w:rsid w:val="0085392E"/>
    <w:rsid w:val="008565A7"/>
    <w:rsid w:val="0085783E"/>
    <w:rsid w:val="0086092A"/>
    <w:rsid w:val="00860A31"/>
    <w:rsid w:val="00860BE4"/>
    <w:rsid w:val="008612CF"/>
    <w:rsid w:val="00861AA6"/>
    <w:rsid w:val="00862103"/>
    <w:rsid w:val="0086240E"/>
    <w:rsid w:val="008632F9"/>
    <w:rsid w:val="0086361F"/>
    <w:rsid w:val="008651F3"/>
    <w:rsid w:val="00865B37"/>
    <w:rsid w:val="00867588"/>
    <w:rsid w:val="008675F6"/>
    <w:rsid w:val="00870796"/>
    <w:rsid w:val="008708FF"/>
    <w:rsid w:val="008712B0"/>
    <w:rsid w:val="00871E93"/>
    <w:rsid w:val="00873498"/>
    <w:rsid w:val="00876589"/>
    <w:rsid w:val="008804C9"/>
    <w:rsid w:val="00880F01"/>
    <w:rsid w:val="00880FB0"/>
    <w:rsid w:val="0088294C"/>
    <w:rsid w:val="00882A3A"/>
    <w:rsid w:val="008834E8"/>
    <w:rsid w:val="008834F7"/>
    <w:rsid w:val="00883975"/>
    <w:rsid w:val="00883A9E"/>
    <w:rsid w:val="00883B8F"/>
    <w:rsid w:val="00884911"/>
    <w:rsid w:val="0088584E"/>
    <w:rsid w:val="008907E7"/>
    <w:rsid w:val="00890993"/>
    <w:rsid w:val="00895100"/>
    <w:rsid w:val="00895812"/>
    <w:rsid w:val="00895C61"/>
    <w:rsid w:val="008A05FC"/>
    <w:rsid w:val="008A0BB8"/>
    <w:rsid w:val="008A30C6"/>
    <w:rsid w:val="008A3AD4"/>
    <w:rsid w:val="008A549B"/>
    <w:rsid w:val="008B186D"/>
    <w:rsid w:val="008B19F1"/>
    <w:rsid w:val="008B326A"/>
    <w:rsid w:val="008B34F2"/>
    <w:rsid w:val="008B4D63"/>
    <w:rsid w:val="008B681A"/>
    <w:rsid w:val="008B6DB0"/>
    <w:rsid w:val="008C0C2C"/>
    <w:rsid w:val="008C257D"/>
    <w:rsid w:val="008C2A00"/>
    <w:rsid w:val="008C2F45"/>
    <w:rsid w:val="008C3C68"/>
    <w:rsid w:val="008C43C1"/>
    <w:rsid w:val="008C6316"/>
    <w:rsid w:val="008C75F2"/>
    <w:rsid w:val="008D0389"/>
    <w:rsid w:val="008D0A70"/>
    <w:rsid w:val="008D1228"/>
    <w:rsid w:val="008D1F0C"/>
    <w:rsid w:val="008D2072"/>
    <w:rsid w:val="008D621B"/>
    <w:rsid w:val="008D6637"/>
    <w:rsid w:val="008D7B2C"/>
    <w:rsid w:val="008E1E22"/>
    <w:rsid w:val="008E2C22"/>
    <w:rsid w:val="008E31EF"/>
    <w:rsid w:val="008E33BA"/>
    <w:rsid w:val="008E3CEE"/>
    <w:rsid w:val="008E3D50"/>
    <w:rsid w:val="008E512E"/>
    <w:rsid w:val="008F006F"/>
    <w:rsid w:val="008F036F"/>
    <w:rsid w:val="008F2E94"/>
    <w:rsid w:val="008F301D"/>
    <w:rsid w:val="008F3D44"/>
    <w:rsid w:val="008F4A17"/>
    <w:rsid w:val="008F52C0"/>
    <w:rsid w:val="008F6811"/>
    <w:rsid w:val="008F6850"/>
    <w:rsid w:val="008F77D7"/>
    <w:rsid w:val="009006EE"/>
    <w:rsid w:val="009014F5"/>
    <w:rsid w:val="00902C05"/>
    <w:rsid w:val="009037A0"/>
    <w:rsid w:val="00903832"/>
    <w:rsid w:val="00903B08"/>
    <w:rsid w:val="00904112"/>
    <w:rsid w:val="00905909"/>
    <w:rsid w:val="00906DD4"/>
    <w:rsid w:val="009073ED"/>
    <w:rsid w:val="00907F60"/>
    <w:rsid w:val="00912804"/>
    <w:rsid w:val="00913D12"/>
    <w:rsid w:val="00914A47"/>
    <w:rsid w:val="00916419"/>
    <w:rsid w:val="00917B5B"/>
    <w:rsid w:val="00920961"/>
    <w:rsid w:val="0092105B"/>
    <w:rsid w:val="00922318"/>
    <w:rsid w:val="00922CED"/>
    <w:rsid w:val="009236A2"/>
    <w:rsid w:val="00924211"/>
    <w:rsid w:val="009305FA"/>
    <w:rsid w:val="00931442"/>
    <w:rsid w:val="00932031"/>
    <w:rsid w:val="00932C01"/>
    <w:rsid w:val="009331A0"/>
    <w:rsid w:val="00933B5A"/>
    <w:rsid w:val="00936AC2"/>
    <w:rsid w:val="00936B28"/>
    <w:rsid w:val="009412AE"/>
    <w:rsid w:val="009415AD"/>
    <w:rsid w:val="00944B02"/>
    <w:rsid w:val="009468B2"/>
    <w:rsid w:val="009468BA"/>
    <w:rsid w:val="009507F8"/>
    <w:rsid w:val="00950B07"/>
    <w:rsid w:val="00950FF7"/>
    <w:rsid w:val="00951FB7"/>
    <w:rsid w:val="009523B5"/>
    <w:rsid w:val="00952DAC"/>
    <w:rsid w:val="00954C2B"/>
    <w:rsid w:val="00954C3F"/>
    <w:rsid w:val="00957C49"/>
    <w:rsid w:val="00961FCD"/>
    <w:rsid w:val="00962D7D"/>
    <w:rsid w:val="00964695"/>
    <w:rsid w:val="0096714B"/>
    <w:rsid w:val="00967226"/>
    <w:rsid w:val="00967B1E"/>
    <w:rsid w:val="00972209"/>
    <w:rsid w:val="00974CDD"/>
    <w:rsid w:val="00974E49"/>
    <w:rsid w:val="0097520D"/>
    <w:rsid w:val="00975765"/>
    <w:rsid w:val="00975D8B"/>
    <w:rsid w:val="0097621A"/>
    <w:rsid w:val="00976639"/>
    <w:rsid w:val="009768F3"/>
    <w:rsid w:val="00976AA0"/>
    <w:rsid w:val="00984408"/>
    <w:rsid w:val="00984CB1"/>
    <w:rsid w:val="00986E27"/>
    <w:rsid w:val="009908E9"/>
    <w:rsid w:val="00990F3D"/>
    <w:rsid w:val="00993A4C"/>
    <w:rsid w:val="00993D08"/>
    <w:rsid w:val="009A0043"/>
    <w:rsid w:val="009A04A7"/>
    <w:rsid w:val="009A0F42"/>
    <w:rsid w:val="009A2943"/>
    <w:rsid w:val="009A299D"/>
    <w:rsid w:val="009A3229"/>
    <w:rsid w:val="009A3C6F"/>
    <w:rsid w:val="009A3D3B"/>
    <w:rsid w:val="009A5644"/>
    <w:rsid w:val="009A58A9"/>
    <w:rsid w:val="009A783D"/>
    <w:rsid w:val="009B0F92"/>
    <w:rsid w:val="009B3887"/>
    <w:rsid w:val="009B38BA"/>
    <w:rsid w:val="009B552E"/>
    <w:rsid w:val="009B5A0D"/>
    <w:rsid w:val="009B6742"/>
    <w:rsid w:val="009B71CE"/>
    <w:rsid w:val="009C2863"/>
    <w:rsid w:val="009C3812"/>
    <w:rsid w:val="009C40E0"/>
    <w:rsid w:val="009C43A9"/>
    <w:rsid w:val="009C522D"/>
    <w:rsid w:val="009C57B9"/>
    <w:rsid w:val="009C6685"/>
    <w:rsid w:val="009C764D"/>
    <w:rsid w:val="009C7B67"/>
    <w:rsid w:val="009C7C40"/>
    <w:rsid w:val="009C7F8C"/>
    <w:rsid w:val="009D2BC4"/>
    <w:rsid w:val="009E18C8"/>
    <w:rsid w:val="009E1F50"/>
    <w:rsid w:val="009E27A1"/>
    <w:rsid w:val="009E3158"/>
    <w:rsid w:val="009E3AC9"/>
    <w:rsid w:val="009E3AF7"/>
    <w:rsid w:val="009E47A3"/>
    <w:rsid w:val="009E4F54"/>
    <w:rsid w:val="009E70D3"/>
    <w:rsid w:val="009E7550"/>
    <w:rsid w:val="009E75D4"/>
    <w:rsid w:val="009E7D7E"/>
    <w:rsid w:val="009F0681"/>
    <w:rsid w:val="009F10FB"/>
    <w:rsid w:val="009F14F4"/>
    <w:rsid w:val="009F4BAA"/>
    <w:rsid w:val="009F50A2"/>
    <w:rsid w:val="009F77AE"/>
    <w:rsid w:val="009F78B8"/>
    <w:rsid w:val="009F7AAA"/>
    <w:rsid w:val="009F7EFB"/>
    <w:rsid w:val="00A016BA"/>
    <w:rsid w:val="00A017E1"/>
    <w:rsid w:val="00A0207C"/>
    <w:rsid w:val="00A020AC"/>
    <w:rsid w:val="00A04037"/>
    <w:rsid w:val="00A05532"/>
    <w:rsid w:val="00A05D19"/>
    <w:rsid w:val="00A06285"/>
    <w:rsid w:val="00A06FC8"/>
    <w:rsid w:val="00A100B4"/>
    <w:rsid w:val="00A10948"/>
    <w:rsid w:val="00A1213C"/>
    <w:rsid w:val="00A12774"/>
    <w:rsid w:val="00A127A8"/>
    <w:rsid w:val="00A207F5"/>
    <w:rsid w:val="00A2164E"/>
    <w:rsid w:val="00A2304F"/>
    <w:rsid w:val="00A24E36"/>
    <w:rsid w:val="00A260DE"/>
    <w:rsid w:val="00A26F41"/>
    <w:rsid w:val="00A27D43"/>
    <w:rsid w:val="00A27E8B"/>
    <w:rsid w:val="00A27F6C"/>
    <w:rsid w:val="00A307EB"/>
    <w:rsid w:val="00A30E2F"/>
    <w:rsid w:val="00A32CAC"/>
    <w:rsid w:val="00A338F5"/>
    <w:rsid w:val="00A339A6"/>
    <w:rsid w:val="00A34DED"/>
    <w:rsid w:val="00A35F89"/>
    <w:rsid w:val="00A36899"/>
    <w:rsid w:val="00A3717C"/>
    <w:rsid w:val="00A3769F"/>
    <w:rsid w:val="00A37E03"/>
    <w:rsid w:val="00A411C8"/>
    <w:rsid w:val="00A42328"/>
    <w:rsid w:val="00A431A4"/>
    <w:rsid w:val="00A43DBA"/>
    <w:rsid w:val="00A4540F"/>
    <w:rsid w:val="00A45987"/>
    <w:rsid w:val="00A51C71"/>
    <w:rsid w:val="00A52B21"/>
    <w:rsid w:val="00A53100"/>
    <w:rsid w:val="00A536C8"/>
    <w:rsid w:val="00A56154"/>
    <w:rsid w:val="00A569EC"/>
    <w:rsid w:val="00A56D4C"/>
    <w:rsid w:val="00A57108"/>
    <w:rsid w:val="00A57D66"/>
    <w:rsid w:val="00A6096A"/>
    <w:rsid w:val="00A60F92"/>
    <w:rsid w:val="00A637E4"/>
    <w:rsid w:val="00A638E7"/>
    <w:rsid w:val="00A63A09"/>
    <w:rsid w:val="00A643BE"/>
    <w:rsid w:val="00A661AB"/>
    <w:rsid w:val="00A679DC"/>
    <w:rsid w:val="00A730AF"/>
    <w:rsid w:val="00A7330F"/>
    <w:rsid w:val="00A737F8"/>
    <w:rsid w:val="00A73A69"/>
    <w:rsid w:val="00A73A6B"/>
    <w:rsid w:val="00A74EE4"/>
    <w:rsid w:val="00A76031"/>
    <w:rsid w:val="00A76804"/>
    <w:rsid w:val="00A772E4"/>
    <w:rsid w:val="00A77CBE"/>
    <w:rsid w:val="00A80C28"/>
    <w:rsid w:val="00A80CFC"/>
    <w:rsid w:val="00A81095"/>
    <w:rsid w:val="00A81D7A"/>
    <w:rsid w:val="00A82345"/>
    <w:rsid w:val="00A82E78"/>
    <w:rsid w:val="00A83023"/>
    <w:rsid w:val="00A8308C"/>
    <w:rsid w:val="00A837A7"/>
    <w:rsid w:val="00A83E34"/>
    <w:rsid w:val="00A8444F"/>
    <w:rsid w:val="00A858CC"/>
    <w:rsid w:val="00A86CEE"/>
    <w:rsid w:val="00A86D93"/>
    <w:rsid w:val="00A87B88"/>
    <w:rsid w:val="00A87C58"/>
    <w:rsid w:val="00A90E48"/>
    <w:rsid w:val="00A91738"/>
    <w:rsid w:val="00A91AD0"/>
    <w:rsid w:val="00A922E1"/>
    <w:rsid w:val="00A937E5"/>
    <w:rsid w:val="00A93C1B"/>
    <w:rsid w:val="00A93E4E"/>
    <w:rsid w:val="00A944E9"/>
    <w:rsid w:val="00A96CE5"/>
    <w:rsid w:val="00A96DCB"/>
    <w:rsid w:val="00A97F18"/>
    <w:rsid w:val="00AA05C7"/>
    <w:rsid w:val="00AA106F"/>
    <w:rsid w:val="00AA2F31"/>
    <w:rsid w:val="00AA32C6"/>
    <w:rsid w:val="00AA373F"/>
    <w:rsid w:val="00AA4080"/>
    <w:rsid w:val="00AA4E7C"/>
    <w:rsid w:val="00AA58C6"/>
    <w:rsid w:val="00AA617B"/>
    <w:rsid w:val="00AA6814"/>
    <w:rsid w:val="00AA689D"/>
    <w:rsid w:val="00AA7DD7"/>
    <w:rsid w:val="00AB1661"/>
    <w:rsid w:val="00AB199F"/>
    <w:rsid w:val="00AB1A64"/>
    <w:rsid w:val="00AB23D0"/>
    <w:rsid w:val="00AB5F7E"/>
    <w:rsid w:val="00AB5FB9"/>
    <w:rsid w:val="00AB66F3"/>
    <w:rsid w:val="00AB681E"/>
    <w:rsid w:val="00AB76F1"/>
    <w:rsid w:val="00AC02DF"/>
    <w:rsid w:val="00AC0AB7"/>
    <w:rsid w:val="00AC1256"/>
    <w:rsid w:val="00AC205E"/>
    <w:rsid w:val="00AC309A"/>
    <w:rsid w:val="00AC5F66"/>
    <w:rsid w:val="00AC6302"/>
    <w:rsid w:val="00AC6354"/>
    <w:rsid w:val="00AC677D"/>
    <w:rsid w:val="00AC6E7A"/>
    <w:rsid w:val="00AD0B4C"/>
    <w:rsid w:val="00AD20E4"/>
    <w:rsid w:val="00AD25E3"/>
    <w:rsid w:val="00AD3795"/>
    <w:rsid w:val="00AD4688"/>
    <w:rsid w:val="00AD5E71"/>
    <w:rsid w:val="00AD6464"/>
    <w:rsid w:val="00AD6751"/>
    <w:rsid w:val="00AD7ED5"/>
    <w:rsid w:val="00AE10B9"/>
    <w:rsid w:val="00AE2924"/>
    <w:rsid w:val="00AE2CAC"/>
    <w:rsid w:val="00AE4AB9"/>
    <w:rsid w:val="00AF0741"/>
    <w:rsid w:val="00AF1152"/>
    <w:rsid w:val="00AF2CBE"/>
    <w:rsid w:val="00AF3431"/>
    <w:rsid w:val="00AF3CB8"/>
    <w:rsid w:val="00AF3FD4"/>
    <w:rsid w:val="00AF40EB"/>
    <w:rsid w:val="00AF50D9"/>
    <w:rsid w:val="00B0002D"/>
    <w:rsid w:val="00B005D9"/>
    <w:rsid w:val="00B01A03"/>
    <w:rsid w:val="00B023A4"/>
    <w:rsid w:val="00B03083"/>
    <w:rsid w:val="00B11B83"/>
    <w:rsid w:val="00B1391A"/>
    <w:rsid w:val="00B13F01"/>
    <w:rsid w:val="00B146A8"/>
    <w:rsid w:val="00B14936"/>
    <w:rsid w:val="00B226CE"/>
    <w:rsid w:val="00B22D72"/>
    <w:rsid w:val="00B2420A"/>
    <w:rsid w:val="00B25316"/>
    <w:rsid w:val="00B26E49"/>
    <w:rsid w:val="00B2708E"/>
    <w:rsid w:val="00B27D05"/>
    <w:rsid w:val="00B3311E"/>
    <w:rsid w:val="00B367DB"/>
    <w:rsid w:val="00B37A85"/>
    <w:rsid w:val="00B415B4"/>
    <w:rsid w:val="00B44A6C"/>
    <w:rsid w:val="00B47F9B"/>
    <w:rsid w:val="00B509FE"/>
    <w:rsid w:val="00B50DC9"/>
    <w:rsid w:val="00B5153D"/>
    <w:rsid w:val="00B51A5A"/>
    <w:rsid w:val="00B51B09"/>
    <w:rsid w:val="00B51DC4"/>
    <w:rsid w:val="00B52EAB"/>
    <w:rsid w:val="00B547E9"/>
    <w:rsid w:val="00B54D49"/>
    <w:rsid w:val="00B551B3"/>
    <w:rsid w:val="00B55DB5"/>
    <w:rsid w:val="00B608D2"/>
    <w:rsid w:val="00B60C61"/>
    <w:rsid w:val="00B60EE8"/>
    <w:rsid w:val="00B63129"/>
    <w:rsid w:val="00B633FD"/>
    <w:rsid w:val="00B63445"/>
    <w:rsid w:val="00B63A15"/>
    <w:rsid w:val="00B64C50"/>
    <w:rsid w:val="00B651A3"/>
    <w:rsid w:val="00B67265"/>
    <w:rsid w:val="00B67BEB"/>
    <w:rsid w:val="00B7023F"/>
    <w:rsid w:val="00B70B9C"/>
    <w:rsid w:val="00B713B5"/>
    <w:rsid w:val="00B71E29"/>
    <w:rsid w:val="00B7205C"/>
    <w:rsid w:val="00B720BC"/>
    <w:rsid w:val="00B72B74"/>
    <w:rsid w:val="00B74252"/>
    <w:rsid w:val="00B74A8A"/>
    <w:rsid w:val="00B75B0B"/>
    <w:rsid w:val="00B76503"/>
    <w:rsid w:val="00B76BA3"/>
    <w:rsid w:val="00B80ACD"/>
    <w:rsid w:val="00B810B6"/>
    <w:rsid w:val="00B82837"/>
    <w:rsid w:val="00B833DF"/>
    <w:rsid w:val="00B836B8"/>
    <w:rsid w:val="00B845C3"/>
    <w:rsid w:val="00B84873"/>
    <w:rsid w:val="00B84C49"/>
    <w:rsid w:val="00B8573D"/>
    <w:rsid w:val="00B8660A"/>
    <w:rsid w:val="00B87353"/>
    <w:rsid w:val="00B913E5"/>
    <w:rsid w:val="00B91CA2"/>
    <w:rsid w:val="00B925BC"/>
    <w:rsid w:val="00B92B01"/>
    <w:rsid w:val="00B94703"/>
    <w:rsid w:val="00B9676A"/>
    <w:rsid w:val="00B96B09"/>
    <w:rsid w:val="00BA00BF"/>
    <w:rsid w:val="00BA37C8"/>
    <w:rsid w:val="00BA4406"/>
    <w:rsid w:val="00BA46C2"/>
    <w:rsid w:val="00BA693E"/>
    <w:rsid w:val="00BA69CD"/>
    <w:rsid w:val="00BB1D44"/>
    <w:rsid w:val="00BB1F10"/>
    <w:rsid w:val="00BB279B"/>
    <w:rsid w:val="00BB2A88"/>
    <w:rsid w:val="00BB3374"/>
    <w:rsid w:val="00BB3401"/>
    <w:rsid w:val="00BB46CB"/>
    <w:rsid w:val="00BB4CB3"/>
    <w:rsid w:val="00BB52F0"/>
    <w:rsid w:val="00BB5D6D"/>
    <w:rsid w:val="00BB768A"/>
    <w:rsid w:val="00BB79FF"/>
    <w:rsid w:val="00BC0429"/>
    <w:rsid w:val="00BC416E"/>
    <w:rsid w:val="00BC51FD"/>
    <w:rsid w:val="00BC56F6"/>
    <w:rsid w:val="00BD0210"/>
    <w:rsid w:val="00BD1104"/>
    <w:rsid w:val="00BD47E5"/>
    <w:rsid w:val="00BD4DA0"/>
    <w:rsid w:val="00BD6DB5"/>
    <w:rsid w:val="00BE3109"/>
    <w:rsid w:val="00BE4510"/>
    <w:rsid w:val="00BE520C"/>
    <w:rsid w:val="00BE7C0C"/>
    <w:rsid w:val="00BF189D"/>
    <w:rsid w:val="00BF1C00"/>
    <w:rsid w:val="00BF243D"/>
    <w:rsid w:val="00BF2C31"/>
    <w:rsid w:val="00BF4014"/>
    <w:rsid w:val="00BF450D"/>
    <w:rsid w:val="00BF535D"/>
    <w:rsid w:val="00BF6698"/>
    <w:rsid w:val="00BF6F13"/>
    <w:rsid w:val="00C01495"/>
    <w:rsid w:val="00C01BD4"/>
    <w:rsid w:val="00C030FE"/>
    <w:rsid w:val="00C06B30"/>
    <w:rsid w:val="00C07D29"/>
    <w:rsid w:val="00C10937"/>
    <w:rsid w:val="00C11472"/>
    <w:rsid w:val="00C135FF"/>
    <w:rsid w:val="00C136C4"/>
    <w:rsid w:val="00C14395"/>
    <w:rsid w:val="00C1591C"/>
    <w:rsid w:val="00C1595E"/>
    <w:rsid w:val="00C1653D"/>
    <w:rsid w:val="00C16632"/>
    <w:rsid w:val="00C16D4E"/>
    <w:rsid w:val="00C17FAD"/>
    <w:rsid w:val="00C208AB"/>
    <w:rsid w:val="00C20B16"/>
    <w:rsid w:val="00C21C65"/>
    <w:rsid w:val="00C22908"/>
    <w:rsid w:val="00C2527B"/>
    <w:rsid w:val="00C26033"/>
    <w:rsid w:val="00C261B8"/>
    <w:rsid w:val="00C265C1"/>
    <w:rsid w:val="00C27469"/>
    <w:rsid w:val="00C27A93"/>
    <w:rsid w:val="00C3008A"/>
    <w:rsid w:val="00C30812"/>
    <w:rsid w:val="00C3136C"/>
    <w:rsid w:val="00C33656"/>
    <w:rsid w:val="00C33AB6"/>
    <w:rsid w:val="00C36E50"/>
    <w:rsid w:val="00C37211"/>
    <w:rsid w:val="00C4283C"/>
    <w:rsid w:val="00C4292A"/>
    <w:rsid w:val="00C43665"/>
    <w:rsid w:val="00C44043"/>
    <w:rsid w:val="00C44985"/>
    <w:rsid w:val="00C45046"/>
    <w:rsid w:val="00C4519D"/>
    <w:rsid w:val="00C45E15"/>
    <w:rsid w:val="00C4786F"/>
    <w:rsid w:val="00C47B47"/>
    <w:rsid w:val="00C50DC4"/>
    <w:rsid w:val="00C516C0"/>
    <w:rsid w:val="00C51AD1"/>
    <w:rsid w:val="00C52C4F"/>
    <w:rsid w:val="00C530DE"/>
    <w:rsid w:val="00C531A0"/>
    <w:rsid w:val="00C538D5"/>
    <w:rsid w:val="00C540A9"/>
    <w:rsid w:val="00C576EB"/>
    <w:rsid w:val="00C57D53"/>
    <w:rsid w:val="00C61421"/>
    <w:rsid w:val="00C6268D"/>
    <w:rsid w:val="00C63337"/>
    <w:rsid w:val="00C64364"/>
    <w:rsid w:val="00C654C8"/>
    <w:rsid w:val="00C67F6E"/>
    <w:rsid w:val="00C71C2E"/>
    <w:rsid w:val="00C733AC"/>
    <w:rsid w:val="00C742A8"/>
    <w:rsid w:val="00C74E2B"/>
    <w:rsid w:val="00C75453"/>
    <w:rsid w:val="00C766D5"/>
    <w:rsid w:val="00C77780"/>
    <w:rsid w:val="00C8083C"/>
    <w:rsid w:val="00C80CAB"/>
    <w:rsid w:val="00C80DCE"/>
    <w:rsid w:val="00C80E57"/>
    <w:rsid w:val="00C81D34"/>
    <w:rsid w:val="00C8230A"/>
    <w:rsid w:val="00C824D9"/>
    <w:rsid w:val="00C82FE0"/>
    <w:rsid w:val="00C832E2"/>
    <w:rsid w:val="00C83FC2"/>
    <w:rsid w:val="00C8770F"/>
    <w:rsid w:val="00C879C7"/>
    <w:rsid w:val="00C90102"/>
    <w:rsid w:val="00C90126"/>
    <w:rsid w:val="00C90C86"/>
    <w:rsid w:val="00C91320"/>
    <w:rsid w:val="00C92789"/>
    <w:rsid w:val="00C93725"/>
    <w:rsid w:val="00C93C7A"/>
    <w:rsid w:val="00C93EB5"/>
    <w:rsid w:val="00C945AD"/>
    <w:rsid w:val="00C96161"/>
    <w:rsid w:val="00C9730D"/>
    <w:rsid w:val="00C979A9"/>
    <w:rsid w:val="00C97C71"/>
    <w:rsid w:val="00CA2BE6"/>
    <w:rsid w:val="00CA32A5"/>
    <w:rsid w:val="00CA367D"/>
    <w:rsid w:val="00CA39D2"/>
    <w:rsid w:val="00CA4844"/>
    <w:rsid w:val="00CA4E44"/>
    <w:rsid w:val="00CA594E"/>
    <w:rsid w:val="00CA797F"/>
    <w:rsid w:val="00CB00B9"/>
    <w:rsid w:val="00CB1324"/>
    <w:rsid w:val="00CB136D"/>
    <w:rsid w:val="00CB148E"/>
    <w:rsid w:val="00CB2190"/>
    <w:rsid w:val="00CB2F81"/>
    <w:rsid w:val="00CB3BB0"/>
    <w:rsid w:val="00CB4DD5"/>
    <w:rsid w:val="00CB671B"/>
    <w:rsid w:val="00CC0DB2"/>
    <w:rsid w:val="00CC228E"/>
    <w:rsid w:val="00CC40DE"/>
    <w:rsid w:val="00CC457E"/>
    <w:rsid w:val="00CC55CD"/>
    <w:rsid w:val="00CC55E8"/>
    <w:rsid w:val="00CD1809"/>
    <w:rsid w:val="00CD34A8"/>
    <w:rsid w:val="00CD3E7C"/>
    <w:rsid w:val="00CD5EBF"/>
    <w:rsid w:val="00CD642B"/>
    <w:rsid w:val="00CD698B"/>
    <w:rsid w:val="00CD6994"/>
    <w:rsid w:val="00CD69EB"/>
    <w:rsid w:val="00CD6D40"/>
    <w:rsid w:val="00CD7443"/>
    <w:rsid w:val="00CD77A5"/>
    <w:rsid w:val="00CE0EB3"/>
    <w:rsid w:val="00CE28AA"/>
    <w:rsid w:val="00CE2AFD"/>
    <w:rsid w:val="00CE48FA"/>
    <w:rsid w:val="00CE4993"/>
    <w:rsid w:val="00CE52D4"/>
    <w:rsid w:val="00CE65D6"/>
    <w:rsid w:val="00CE69F8"/>
    <w:rsid w:val="00CE6C03"/>
    <w:rsid w:val="00CE741C"/>
    <w:rsid w:val="00CE7D4A"/>
    <w:rsid w:val="00CE7F87"/>
    <w:rsid w:val="00CF09A4"/>
    <w:rsid w:val="00CF1C03"/>
    <w:rsid w:val="00CF2188"/>
    <w:rsid w:val="00CF2875"/>
    <w:rsid w:val="00CF28DC"/>
    <w:rsid w:val="00CF37C3"/>
    <w:rsid w:val="00CF3E13"/>
    <w:rsid w:val="00CF5743"/>
    <w:rsid w:val="00CF65D3"/>
    <w:rsid w:val="00CF755B"/>
    <w:rsid w:val="00D01BBF"/>
    <w:rsid w:val="00D02D4F"/>
    <w:rsid w:val="00D03A13"/>
    <w:rsid w:val="00D04C4F"/>
    <w:rsid w:val="00D05005"/>
    <w:rsid w:val="00D069AC"/>
    <w:rsid w:val="00D06E34"/>
    <w:rsid w:val="00D1037C"/>
    <w:rsid w:val="00D10820"/>
    <w:rsid w:val="00D10FA1"/>
    <w:rsid w:val="00D119FD"/>
    <w:rsid w:val="00D11C1C"/>
    <w:rsid w:val="00D11D08"/>
    <w:rsid w:val="00D12098"/>
    <w:rsid w:val="00D14A8D"/>
    <w:rsid w:val="00D20256"/>
    <w:rsid w:val="00D21905"/>
    <w:rsid w:val="00D21EF0"/>
    <w:rsid w:val="00D22C6B"/>
    <w:rsid w:val="00D23AF3"/>
    <w:rsid w:val="00D23F2D"/>
    <w:rsid w:val="00D2480A"/>
    <w:rsid w:val="00D24E0A"/>
    <w:rsid w:val="00D25E1C"/>
    <w:rsid w:val="00D30761"/>
    <w:rsid w:val="00D316AF"/>
    <w:rsid w:val="00D31D90"/>
    <w:rsid w:val="00D3219F"/>
    <w:rsid w:val="00D330D9"/>
    <w:rsid w:val="00D33213"/>
    <w:rsid w:val="00D34811"/>
    <w:rsid w:val="00D34E08"/>
    <w:rsid w:val="00D37494"/>
    <w:rsid w:val="00D432D1"/>
    <w:rsid w:val="00D43D49"/>
    <w:rsid w:val="00D44524"/>
    <w:rsid w:val="00D44A06"/>
    <w:rsid w:val="00D44AF3"/>
    <w:rsid w:val="00D44DE5"/>
    <w:rsid w:val="00D44E85"/>
    <w:rsid w:val="00D4587D"/>
    <w:rsid w:val="00D45A4D"/>
    <w:rsid w:val="00D45C59"/>
    <w:rsid w:val="00D45E25"/>
    <w:rsid w:val="00D4792C"/>
    <w:rsid w:val="00D50B02"/>
    <w:rsid w:val="00D526EF"/>
    <w:rsid w:val="00D548AB"/>
    <w:rsid w:val="00D54B41"/>
    <w:rsid w:val="00D56421"/>
    <w:rsid w:val="00D62843"/>
    <w:rsid w:val="00D6386F"/>
    <w:rsid w:val="00D63DC1"/>
    <w:rsid w:val="00D65953"/>
    <w:rsid w:val="00D6635F"/>
    <w:rsid w:val="00D6676A"/>
    <w:rsid w:val="00D66A53"/>
    <w:rsid w:val="00D70A3C"/>
    <w:rsid w:val="00D70A65"/>
    <w:rsid w:val="00D72229"/>
    <w:rsid w:val="00D77315"/>
    <w:rsid w:val="00D811EE"/>
    <w:rsid w:val="00D83289"/>
    <w:rsid w:val="00D8342C"/>
    <w:rsid w:val="00D847F7"/>
    <w:rsid w:val="00D850BA"/>
    <w:rsid w:val="00D8546B"/>
    <w:rsid w:val="00D859BD"/>
    <w:rsid w:val="00D9038C"/>
    <w:rsid w:val="00D923CF"/>
    <w:rsid w:val="00D946A2"/>
    <w:rsid w:val="00DA0789"/>
    <w:rsid w:val="00DA1C75"/>
    <w:rsid w:val="00DA425A"/>
    <w:rsid w:val="00DA4C54"/>
    <w:rsid w:val="00DA5751"/>
    <w:rsid w:val="00DA6FC9"/>
    <w:rsid w:val="00DB1267"/>
    <w:rsid w:val="00DB1B2C"/>
    <w:rsid w:val="00DB1C58"/>
    <w:rsid w:val="00DB2786"/>
    <w:rsid w:val="00DB29CD"/>
    <w:rsid w:val="00DB364B"/>
    <w:rsid w:val="00DB527D"/>
    <w:rsid w:val="00DB5297"/>
    <w:rsid w:val="00DB671A"/>
    <w:rsid w:val="00DB683F"/>
    <w:rsid w:val="00DC03B2"/>
    <w:rsid w:val="00DC37B9"/>
    <w:rsid w:val="00DC4271"/>
    <w:rsid w:val="00DC5E16"/>
    <w:rsid w:val="00DC6FAD"/>
    <w:rsid w:val="00DD1367"/>
    <w:rsid w:val="00DD2757"/>
    <w:rsid w:val="00DD2B27"/>
    <w:rsid w:val="00DE1841"/>
    <w:rsid w:val="00DE3E73"/>
    <w:rsid w:val="00DE4623"/>
    <w:rsid w:val="00DE4ECD"/>
    <w:rsid w:val="00DE6B58"/>
    <w:rsid w:val="00DF0D9B"/>
    <w:rsid w:val="00DF100F"/>
    <w:rsid w:val="00DF1902"/>
    <w:rsid w:val="00DF1DC5"/>
    <w:rsid w:val="00DF2365"/>
    <w:rsid w:val="00DF4CC9"/>
    <w:rsid w:val="00DF78FC"/>
    <w:rsid w:val="00E007BE"/>
    <w:rsid w:val="00E036AD"/>
    <w:rsid w:val="00E055F5"/>
    <w:rsid w:val="00E05DB4"/>
    <w:rsid w:val="00E07F28"/>
    <w:rsid w:val="00E10A45"/>
    <w:rsid w:val="00E10C9F"/>
    <w:rsid w:val="00E115D4"/>
    <w:rsid w:val="00E11E2C"/>
    <w:rsid w:val="00E128E1"/>
    <w:rsid w:val="00E14648"/>
    <w:rsid w:val="00E14CE1"/>
    <w:rsid w:val="00E15719"/>
    <w:rsid w:val="00E15C5C"/>
    <w:rsid w:val="00E165DD"/>
    <w:rsid w:val="00E17114"/>
    <w:rsid w:val="00E1736E"/>
    <w:rsid w:val="00E20AEB"/>
    <w:rsid w:val="00E21B8D"/>
    <w:rsid w:val="00E2238E"/>
    <w:rsid w:val="00E22EA6"/>
    <w:rsid w:val="00E23CD2"/>
    <w:rsid w:val="00E24686"/>
    <w:rsid w:val="00E25DB2"/>
    <w:rsid w:val="00E358B0"/>
    <w:rsid w:val="00E402C0"/>
    <w:rsid w:val="00E41AA5"/>
    <w:rsid w:val="00E41D35"/>
    <w:rsid w:val="00E428CA"/>
    <w:rsid w:val="00E446BF"/>
    <w:rsid w:val="00E45B40"/>
    <w:rsid w:val="00E4627D"/>
    <w:rsid w:val="00E47A08"/>
    <w:rsid w:val="00E503AA"/>
    <w:rsid w:val="00E52607"/>
    <w:rsid w:val="00E53ADE"/>
    <w:rsid w:val="00E54A4D"/>
    <w:rsid w:val="00E552EA"/>
    <w:rsid w:val="00E5584B"/>
    <w:rsid w:val="00E60370"/>
    <w:rsid w:val="00E63EE7"/>
    <w:rsid w:val="00E655C0"/>
    <w:rsid w:val="00E66977"/>
    <w:rsid w:val="00E670AF"/>
    <w:rsid w:val="00E67F95"/>
    <w:rsid w:val="00E70D3F"/>
    <w:rsid w:val="00E716A2"/>
    <w:rsid w:val="00E76F4D"/>
    <w:rsid w:val="00E77D3C"/>
    <w:rsid w:val="00E80774"/>
    <w:rsid w:val="00E80D8F"/>
    <w:rsid w:val="00E8144E"/>
    <w:rsid w:val="00E823BA"/>
    <w:rsid w:val="00E82FBE"/>
    <w:rsid w:val="00E84D39"/>
    <w:rsid w:val="00E85023"/>
    <w:rsid w:val="00E8528D"/>
    <w:rsid w:val="00E861F0"/>
    <w:rsid w:val="00E873DE"/>
    <w:rsid w:val="00E879CC"/>
    <w:rsid w:val="00E90924"/>
    <w:rsid w:val="00E91B2D"/>
    <w:rsid w:val="00E92EA6"/>
    <w:rsid w:val="00E9408A"/>
    <w:rsid w:val="00E94A8A"/>
    <w:rsid w:val="00E9693E"/>
    <w:rsid w:val="00E97E32"/>
    <w:rsid w:val="00EA12B2"/>
    <w:rsid w:val="00EA282C"/>
    <w:rsid w:val="00EA2BCC"/>
    <w:rsid w:val="00EA2FD4"/>
    <w:rsid w:val="00EA686C"/>
    <w:rsid w:val="00EB0027"/>
    <w:rsid w:val="00EB1F6B"/>
    <w:rsid w:val="00EB2231"/>
    <w:rsid w:val="00EB2501"/>
    <w:rsid w:val="00EB281A"/>
    <w:rsid w:val="00EB33BC"/>
    <w:rsid w:val="00EB4200"/>
    <w:rsid w:val="00EB4DEE"/>
    <w:rsid w:val="00EB585B"/>
    <w:rsid w:val="00EB5BDA"/>
    <w:rsid w:val="00EB6F58"/>
    <w:rsid w:val="00EC131F"/>
    <w:rsid w:val="00EC47CD"/>
    <w:rsid w:val="00EC4F26"/>
    <w:rsid w:val="00EC7349"/>
    <w:rsid w:val="00EC7D12"/>
    <w:rsid w:val="00ED071B"/>
    <w:rsid w:val="00ED0765"/>
    <w:rsid w:val="00ED2027"/>
    <w:rsid w:val="00ED2404"/>
    <w:rsid w:val="00ED2853"/>
    <w:rsid w:val="00ED445C"/>
    <w:rsid w:val="00ED47A0"/>
    <w:rsid w:val="00ED59D9"/>
    <w:rsid w:val="00EE1059"/>
    <w:rsid w:val="00EE3528"/>
    <w:rsid w:val="00EE37F1"/>
    <w:rsid w:val="00EE483D"/>
    <w:rsid w:val="00EE4D10"/>
    <w:rsid w:val="00EE7410"/>
    <w:rsid w:val="00EE76CE"/>
    <w:rsid w:val="00EE7920"/>
    <w:rsid w:val="00EE7D15"/>
    <w:rsid w:val="00EF1463"/>
    <w:rsid w:val="00EF3542"/>
    <w:rsid w:val="00EF49EE"/>
    <w:rsid w:val="00EF4EF5"/>
    <w:rsid w:val="00EF627D"/>
    <w:rsid w:val="00EF6836"/>
    <w:rsid w:val="00EF7C8A"/>
    <w:rsid w:val="00F0021A"/>
    <w:rsid w:val="00F00E0E"/>
    <w:rsid w:val="00F02F36"/>
    <w:rsid w:val="00F056B8"/>
    <w:rsid w:val="00F05CD3"/>
    <w:rsid w:val="00F13433"/>
    <w:rsid w:val="00F14132"/>
    <w:rsid w:val="00F15F9C"/>
    <w:rsid w:val="00F16B75"/>
    <w:rsid w:val="00F179DC"/>
    <w:rsid w:val="00F20B9F"/>
    <w:rsid w:val="00F22083"/>
    <w:rsid w:val="00F23301"/>
    <w:rsid w:val="00F236F1"/>
    <w:rsid w:val="00F23C57"/>
    <w:rsid w:val="00F243A7"/>
    <w:rsid w:val="00F24EBA"/>
    <w:rsid w:val="00F2620E"/>
    <w:rsid w:val="00F267E9"/>
    <w:rsid w:val="00F26C92"/>
    <w:rsid w:val="00F27199"/>
    <w:rsid w:val="00F32E6B"/>
    <w:rsid w:val="00F3317F"/>
    <w:rsid w:val="00F336EC"/>
    <w:rsid w:val="00F33C0B"/>
    <w:rsid w:val="00F34249"/>
    <w:rsid w:val="00F3616C"/>
    <w:rsid w:val="00F363F2"/>
    <w:rsid w:val="00F40DA5"/>
    <w:rsid w:val="00F40E07"/>
    <w:rsid w:val="00F42A1A"/>
    <w:rsid w:val="00F444B0"/>
    <w:rsid w:val="00F46A8F"/>
    <w:rsid w:val="00F47411"/>
    <w:rsid w:val="00F47849"/>
    <w:rsid w:val="00F51906"/>
    <w:rsid w:val="00F536BB"/>
    <w:rsid w:val="00F5434F"/>
    <w:rsid w:val="00F55DC0"/>
    <w:rsid w:val="00F56A1E"/>
    <w:rsid w:val="00F6008C"/>
    <w:rsid w:val="00F602B4"/>
    <w:rsid w:val="00F606A4"/>
    <w:rsid w:val="00F6635E"/>
    <w:rsid w:val="00F670B1"/>
    <w:rsid w:val="00F67BCC"/>
    <w:rsid w:val="00F7218C"/>
    <w:rsid w:val="00F72432"/>
    <w:rsid w:val="00F72BCE"/>
    <w:rsid w:val="00F73DDA"/>
    <w:rsid w:val="00F754A0"/>
    <w:rsid w:val="00F75CED"/>
    <w:rsid w:val="00F769B2"/>
    <w:rsid w:val="00F77947"/>
    <w:rsid w:val="00F8021B"/>
    <w:rsid w:val="00F81BB0"/>
    <w:rsid w:val="00F821AD"/>
    <w:rsid w:val="00F8243B"/>
    <w:rsid w:val="00F828B6"/>
    <w:rsid w:val="00F8427B"/>
    <w:rsid w:val="00F84FC0"/>
    <w:rsid w:val="00F87EDE"/>
    <w:rsid w:val="00F90857"/>
    <w:rsid w:val="00F91197"/>
    <w:rsid w:val="00F91C4A"/>
    <w:rsid w:val="00F92231"/>
    <w:rsid w:val="00F924F1"/>
    <w:rsid w:val="00F92FCB"/>
    <w:rsid w:val="00F93DF3"/>
    <w:rsid w:val="00F948C5"/>
    <w:rsid w:val="00F94D30"/>
    <w:rsid w:val="00F96943"/>
    <w:rsid w:val="00FA1551"/>
    <w:rsid w:val="00FA2C19"/>
    <w:rsid w:val="00FA3915"/>
    <w:rsid w:val="00FA3E1C"/>
    <w:rsid w:val="00FA4736"/>
    <w:rsid w:val="00FA51CB"/>
    <w:rsid w:val="00FA619D"/>
    <w:rsid w:val="00FA7DDD"/>
    <w:rsid w:val="00FB1A3E"/>
    <w:rsid w:val="00FB1E5A"/>
    <w:rsid w:val="00FB1F7C"/>
    <w:rsid w:val="00FB2632"/>
    <w:rsid w:val="00FB27DA"/>
    <w:rsid w:val="00FB6901"/>
    <w:rsid w:val="00FB6FAF"/>
    <w:rsid w:val="00FB772E"/>
    <w:rsid w:val="00FB7F67"/>
    <w:rsid w:val="00FC0C39"/>
    <w:rsid w:val="00FC1DDE"/>
    <w:rsid w:val="00FC223D"/>
    <w:rsid w:val="00FC3E98"/>
    <w:rsid w:val="00FC4B8F"/>
    <w:rsid w:val="00FC61F7"/>
    <w:rsid w:val="00FC740A"/>
    <w:rsid w:val="00FD04DC"/>
    <w:rsid w:val="00FD1E86"/>
    <w:rsid w:val="00FD314A"/>
    <w:rsid w:val="00FD400B"/>
    <w:rsid w:val="00FD41A0"/>
    <w:rsid w:val="00FD4583"/>
    <w:rsid w:val="00FD51BF"/>
    <w:rsid w:val="00FD6CFD"/>
    <w:rsid w:val="00FD7ADF"/>
    <w:rsid w:val="00FE0B92"/>
    <w:rsid w:val="00FE30E5"/>
    <w:rsid w:val="00FE3388"/>
    <w:rsid w:val="00FE366F"/>
    <w:rsid w:val="00FE3C5C"/>
    <w:rsid w:val="00FE5A5D"/>
    <w:rsid w:val="00FE6708"/>
    <w:rsid w:val="00FE78F4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A9F26"/>
  <w15:docId w15:val="{C3C0778B-7816-43F3-A9D4-FAACF9B3B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DA6FC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B7BB9"/>
    <w:pPr>
      <w:jc w:val="both"/>
    </w:pPr>
    <w:rPr>
      <w:rFonts w:ascii="Tahoma" w:hAnsi="Tahoma" w:cs="Tahoma"/>
      <w:color w:val="000080"/>
      <w:sz w:val="22"/>
    </w:rPr>
  </w:style>
  <w:style w:type="character" w:customStyle="1" w:styleId="TijelotekstaChar">
    <w:name w:val="Tijelo teksta Char"/>
    <w:basedOn w:val="Zadanifontodlomka"/>
    <w:link w:val="Tijeloteksta"/>
    <w:rsid w:val="003B7BB9"/>
    <w:rPr>
      <w:rFonts w:ascii="Tahoma" w:eastAsia="Times New Roman" w:hAnsi="Tahoma" w:cs="Tahoma"/>
      <w:color w:val="000080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24734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4734E"/>
    <w:rPr>
      <w:rFonts w:ascii="Times New Roman" w:eastAsia="Times New Roman" w:hAnsi="Times New Roman" w:cs="Times New Roman"/>
      <w:noProof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24734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4734E"/>
    <w:rPr>
      <w:rFonts w:ascii="Times New Roman" w:eastAsia="Times New Roman" w:hAnsi="Times New Roman" w:cs="Times New Roman"/>
      <w:noProof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8546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8546B"/>
    <w:rPr>
      <w:rFonts w:ascii="Tahoma" w:eastAsia="Times New Roman" w:hAnsi="Tahoma" w:cs="Tahoma"/>
      <w:noProof/>
      <w:sz w:val="16"/>
      <w:szCs w:val="16"/>
    </w:rPr>
  </w:style>
  <w:style w:type="paragraph" w:styleId="Odlomakpopisa">
    <w:name w:val="List Paragraph"/>
    <w:basedOn w:val="Normal"/>
    <w:uiPriority w:val="34"/>
    <w:qFormat/>
    <w:rsid w:val="00CC0DB2"/>
    <w:pPr>
      <w:ind w:left="720"/>
    </w:pPr>
    <w:rPr>
      <w:rFonts w:ascii="Calibri" w:eastAsiaTheme="minorHAnsi" w:hAnsi="Calibri" w:cs="Calibri"/>
      <w:sz w:val="22"/>
      <w:szCs w:val="22"/>
    </w:rPr>
  </w:style>
  <w:style w:type="character" w:styleId="Hiperveza">
    <w:name w:val="Hyperlink"/>
    <w:basedOn w:val="Zadanifontodlomka"/>
    <w:uiPriority w:val="99"/>
    <w:unhideWhenUsed/>
    <w:rsid w:val="00E91B2D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91B2D"/>
    <w:rPr>
      <w:color w:val="605E5C"/>
      <w:shd w:val="clear" w:color="auto" w:fill="E1DFDD"/>
    </w:rPr>
  </w:style>
  <w:style w:type="character" w:customStyle="1" w:styleId="Naslov1Char">
    <w:name w:val="Naslov 1 Char"/>
    <w:basedOn w:val="Zadanifontodlomka"/>
    <w:link w:val="Naslov1"/>
    <w:uiPriority w:val="9"/>
    <w:rsid w:val="00DA6FC9"/>
    <w:rPr>
      <w:rFonts w:ascii="Calibri Light" w:eastAsia="Times New Roman" w:hAnsi="Calibri Light" w:cs="Times New Roman"/>
      <w:b/>
      <w:bCs/>
      <w:kern w:val="32"/>
      <w:sz w:val="32"/>
      <w:szCs w:val="32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narodne-novine.nn.hr/clanci/sluzbeni/full/2017_10_102_2349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arodne-novine.nn.hr/clanci/sluzbeni/2013_02_24_396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u-kop.hr/beyond-lack-of-understanding-beyond-disinformatio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arodne-novine.nn.hr/clanci/sluzbeni/full/2020_12_147_2858.html" TargetMode="External"/><Relationship Id="rId10" Type="http://schemas.openxmlformats.org/officeDocument/2006/relationships/hyperlink" Target="http://www.pou-kop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pou-kop.hr" TargetMode="External"/><Relationship Id="rId14" Type="http://schemas.openxmlformats.org/officeDocument/2006/relationships/hyperlink" Target="https://narodne-novine.nn.hr/clanci/sluzbeni/full/2020_01_1_1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24A29-90E8-4A5B-A3A4-07A035F05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3741</Words>
  <Characters>21330</Characters>
  <Application>Microsoft Office Word</Application>
  <DocSecurity>0</DocSecurity>
  <Lines>177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Silvija Škutin</cp:lastModifiedBy>
  <cp:revision>2</cp:revision>
  <cp:lastPrinted>2025-06-12T12:08:00Z</cp:lastPrinted>
  <dcterms:created xsi:type="dcterms:W3CDTF">2025-07-03T10:36:00Z</dcterms:created>
  <dcterms:modified xsi:type="dcterms:W3CDTF">2025-07-03T10:36:00Z</dcterms:modified>
</cp:coreProperties>
</file>