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5B4C4" w14:textId="77777777" w:rsidR="002618D0" w:rsidRDefault="00171F48" w:rsidP="002618D0">
      <w:pPr>
        <w:spacing w:before="78"/>
        <w:ind w:right="168"/>
        <w:jc w:val="center"/>
        <w:rPr>
          <w:b/>
          <w:spacing w:val="-2"/>
          <w:sz w:val="22"/>
          <w:szCs w:val="22"/>
        </w:rPr>
      </w:pPr>
      <w:r w:rsidRPr="003C4D10">
        <w:rPr>
          <w:b/>
          <w:spacing w:val="-2"/>
          <w:sz w:val="22"/>
          <w:szCs w:val="22"/>
        </w:rPr>
        <w:t>OBRAZLOŽENJE</w:t>
      </w:r>
    </w:p>
    <w:p w14:paraId="2EB03B31" w14:textId="77777777" w:rsidR="003C4D10" w:rsidRDefault="003C4D10" w:rsidP="002618D0">
      <w:pPr>
        <w:spacing w:before="78"/>
        <w:ind w:right="168"/>
        <w:jc w:val="center"/>
        <w:rPr>
          <w:b/>
          <w:spacing w:val="-2"/>
          <w:sz w:val="22"/>
          <w:szCs w:val="22"/>
        </w:rPr>
      </w:pPr>
    </w:p>
    <w:p w14:paraId="504B37F2" w14:textId="77777777" w:rsidR="003C4D10" w:rsidRPr="003C4D10" w:rsidRDefault="003C4D10" w:rsidP="002618D0">
      <w:pPr>
        <w:spacing w:before="78"/>
        <w:ind w:right="168"/>
        <w:jc w:val="center"/>
        <w:rPr>
          <w:b/>
          <w:sz w:val="22"/>
          <w:szCs w:val="22"/>
        </w:rPr>
      </w:pPr>
    </w:p>
    <w:p w14:paraId="5124982C" w14:textId="77777777" w:rsidR="002618D0" w:rsidRPr="003C4D10" w:rsidRDefault="00171F48" w:rsidP="002618D0">
      <w:pPr>
        <w:numPr>
          <w:ilvl w:val="0"/>
          <w:numId w:val="1"/>
        </w:numPr>
        <w:spacing w:before="3" w:after="120"/>
        <w:rPr>
          <w:b/>
          <w:sz w:val="22"/>
          <w:szCs w:val="22"/>
        </w:rPr>
      </w:pPr>
      <w:r w:rsidRPr="003C4D10">
        <w:rPr>
          <w:b/>
          <w:sz w:val="22"/>
          <w:szCs w:val="22"/>
        </w:rPr>
        <w:t>Zakonska osnova</w:t>
      </w:r>
    </w:p>
    <w:p w14:paraId="03EEA914" w14:textId="77777777" w:rsidR="002618D0" w:rsidRPr="00624FAB" w:rsidRDefault="002618D0" w:rsidP="002618D0">
      <w:pPr>
        <w:spacing w:line="276" w:lineRule="auto"/>
        <w:jc w:val="both"/>
      </w:pPr>
    </w:p>
    <w:p w14:paraId="75D9169D" w14:textId="6401F318" w:rsidR="002618D0" w:rsidRPr="00624FAB" w:rsidRDefault="00171F48" w:rsidP="003C4D10">
      <w:pPr>
        <w:spacing w:before="40" w:after="40"/>
        <w:jc w:val="both"/>
        <w:rPr>
          <w:rFonts w:eastAsiaTheme="minorHAnsi"/>
          <w:bCs/>
          <w:color w:val="000000" w:themeColor="text1"/>
          <w:kern w:val="2"/>
          <w:lang w:eastAsia="en-US"/>
          <w14:ligatures w14:val="standardContextual"/>
        </w:rPr>
      </w:pPr>
      <w:r w:rsidRPr="00624FAB">
        <w:rPr>
          <w:bCs/>
          <w:color w:val="000000" w:themeColor="text1"/>
        </w:rPr>
        <w:tab/>
        <w:t>Pravna osnova za donošenje ovog Zaključka je:</w:t>
      </w:r>
    </w:p>
    <w:p w14:paraId="244587A3" w14:textId="2CB24B58" w:rsidR="002618D0" w:rsidRPr="00624FAB" w:rsidRDefault="00171F48">
      <w:pPr>
        <w:pStyle w:val="Odlomakpopisa"/>
        <w:numPr>
          <w:ilvl w:val="0"/>
          <w:numId w:val="4"/>
        </w:numPr>
        <w:tabs>
          <w:tab w:val="left" w:pos="720"/>
        </w:tabs>
        <w:spacing w:before="40" w:after="40"/>
        <w:jc w:val="both"/>
        <w:rPr>
          <w:rFonts w:ascii="Times New Roman" w:hAnsi="Times New Roman" w:cs="Times New Roman"/>
          <w:bCs/>
          <w:color w:val="000000" w:themeColor="text1"/>
          <w:sz w:val="24"/>
          <w:szCs w:val="24"/>
        </w:rPr>
      </w:pPr>
      <w:r w:rsidRPr="00624FAB">
        <w:rPr>
          <w:rFonts w:ascii="Times New Roman" w:hAnsi="Times New Roman" w:cs="Times New Roman"/>
          <w:bCs/>
          <w:color w:val="000000" w:themeColor="text1"/>
          <w:sz w:val="24"/>
          <w:szCs w:val="24"/>
        </w:rPr>
        <w:t>Zakon o komunalnom gospodarstvu (NN 68/18, 110/18, 32/20</w:t>
      </w:r>
      <w:r>
        <w:rPr>
          <w:rFonts w:ascii="Times New Roman" w:hAnsi="Times New Roman" w:cs="Times New Roman"/>
          <w:bCs/>
          <w:color w:val="000000" w:themeColor="text1"/>
          <w:sz w:val="24"/>
          <w:szCs w:val="24"/>
        </w:rPr>
        <w:t xml:space="preserve"> i</w:t>
      </w:r>
      <w:r w:rsidRPr="00624FAB">
        <w:rPr>
          <w:rFonts w:ascii="Times New Roman" w:hAnsi="Times New Roman" w:cs="Times New Roman"/>
          <w:bCs/>
          <w:color w:val="000000" w:themeColor="text1"/>
          <w:sz w:val="24"/>
          <w:szCs w:val="24"/>
        </w:rPr>
        <w:t xml:space="preserve"> </w:t>
      </w:r>
      <w:r w:rsidRPr="00624FAB">
        <w:rPr>
          <w:rFonts w:ascii="Times New Roman" w:hAnsi="Times New Roman" w:cs="Times New Roman"/>
          <w:bCs/>
          <w:sz w:val="24"/>
          <w:szCs w:val="24"/>
        </w:rPr>
        <w:t xml:space="preserve">145/24) koji </w:t>
      </w:r>
      <w:r w:rsidRPr="00624FAB">
        <w:rPr>
          <w:rFonts w:ascii="Times New Roman" w:hAnsi="Times New Roman" w:cs="Times New Roman"/>
          <w:bCs/>
          <w:color w:val="000000" w:themeColor="text1"/>
          <w:sz w:val="24"/>
          <w:szCs w:val="24"/>
        </w:rPr>
        <w:t xml:space="preserve">daje jedinicama lokalne samouprave pravo organizirati i prenijeti komunalne usluge na komunalna poduzeća. </w:t>
      </w:r>
    </w:p>
    <w:p w14:paraId="1A7142C5" w14:textId="254868AE" w:rsidR="002618D0" w:rsidRPr="00624FAB" w:rsidRDefault="00171F48">
      <w:pPr>
        <w:pStyle w:val="Odlomakpopisa"/>
        <w:numPr>
          <w:ilvl w:val="0"/>
          <w:numId w:val="4"/>
        </w:numPr>
        <w:spacing w:before="40" w:after="40"/>
        <w:jc w:val="both"/>
        <w:rPr>
          <w:rFonts w:ascii="Times New Roman" w:hAnsi="Times New Roman" w:cs="Times New Roman"/>
          <w:bCs/>
          <w:color w:val="000000" w:themeColor="text1"/>
          <w:sz w:val="24"/>
          <w:szCs w:val="24"/>
        </w:rPr>
      </w:pPr>
      <w:r w:rsidRPr="00624FAB">
        <w:rPr>
          <w:rFonts w:ascii="Times New Roman" w:hAnsi="Times New Roman" w:cs="Times New Roman"/>
          <w:bCs/>
          <w:color w:val="000000" w:themeColor="text1"/>
          <w:sz w:val="24"/>
          <w:szCs w:val="24"/>
        </w:rPr>
        <w:t xml:space="preserve">Zakon o lokalnoj i područnoj (regionalnoj) samoupravi (NN 33/01, 60/01, 129/05, 109/07, 125/08, 36/09, 150/11, 144/12, 19/13, 137/15, 123/17, 98/19, 144/20) koji omogućuje jedinicama lokalne samouprave autonomno odlučivanje o pružanju javnih usluga, uključujući komunalne djelatnosti. Grad Koprivnica na temelju ovog zakona prenosi odgovornost za javni prijevoz na Komunalac. </w:t>
      </w:r>
    </w:p>
    <w:p w14:paraId="061B4F25" w14:textId="08DCD628" w:rsidR="002618D0" w:rsidRPr="00624FAB" w:rsidRDefault="00171F48">
      <w:pPr>
        <w:pStyle w:val="Odlomakpopisa"/>
        <w:numPr>
          <w:ilvl w:val="0"/>
          <w:numId w:val="4"/>
        </w:numPr>
        <w:spacing w:before="40" w:after="40"/>
        <w:jc w:val="both"/>
        <w:rPr>
          <w:rFonts w:ascii="Times New Roman" w:hAnsi="Times New Roman" w:cs="Times New Roman"/>
          <w:bCs/>
          <w:color w:val="000000" w:themeColor="text1"/>
          <w:sz w:val="24"/>
          <w:szCs w:val="24"/>
        </w:rPr>
      </w:pPr>
      <w:r w:rsidRPr="00624FAB">
        <w:rPr>
          <w:rFonts w:ascii="Times New Roman" w:hAnsi="Times New Roman" w:cs="Times New Roman"/>
          <w:bCs/>
          <w:color w:val="000000" w:themeColor="text1"/>
          <w:sz w:val="24"/>
          <w:szCs w:val="24"/>
        </w:rPr>
        <w:t xml:space="preserve">Zakon o prijevozu u cestovnom prometu (NN 41/18, 98/19, 30/21, 89/21, 114/22, </w:t>
      </w:r>
      <w:r w:rsidRPr="00624FAB">
        <w:rPr>
          <w:rFonts w:ascii="Times New Roman" w:hAnsi="Times New Roman" w:cs="Times New Roman"/>
          <w:bCs/>
          <w:sz w:val="24"/>
          <w:szCs w:val="24"/>
        </w:rPr>
        <w:t>136/24</w:t>
      </w:r>
      <w:r w:rsidRPr="00624FAB">
        <w:rPr>
          <w:rFonts w:ascii="Times New Roman" w:hAnsi="Times New Roman" w:cs="Times New Roman"/>
          <w:bCs/>
          <w:color w:val="000000" w:themeColor="text1"/>
          <w:sz w:val="24"/>
          <w:szCs w:val="24"/>
        </w:rPr>
        <w:t>)koji  regulira uvjete za obavljanje javnog prijevoza putnika</w:t>
      </w:r>
    </w:p>
    <w:p w14:paraId="60B7EE2B" w14:textId="1CA56990" w:rsidR="002618D0" w:rsidRPr="00624FAB" w:rsidRDefault="00171F48">
      <w:pPr>
        <w:pStyle w:val="Odlomakpopisa"/>
        <w:numPr>
          <w:ilvl w:val="0"/>
          <w:numId w:val="4"/>
        </w:numPr>
        <w:spacing w:line="276" w:lineRule="auto"/>
        <w:jc w:val="both"/>
        <w:rPr>
          <w:rFonts w:ascii="Times New Roman" w:hAnsi="Times New Roman" w:cs="Times New Roman"/>
          <w:color w:val="000000" w:themeColor="text1"/>
          <w:sz w:val="24"/>
          <w:szCs w:val="24"/>
        </w:rPr>
      </w:pPr>
      <w:r w:rsidRPr="00624FAB">
        <w:rPr>
          <w:rFonts w:ascii="Times New Roman" w:hAnsi="Times New Roman" w:cs="Times New Roman"/>
          <w:sz w:val="24"/>
          <w:szCs w:val="24"/>
        </w:rPr>
        <w:t xml:space="preserve">Odluka o komunalnim djelatnostima na području Grada Koprivnice (Glasnik Grada Koprivnice broj 3/19 i 9/21) </w:t>
      </w:r>
    </w:p>
    <w:p w14:paraId="1F704EDB" w14:textId="77777777" w:rsidR="002618D0" w:rsidRPr="00624FAB" w:rsidRDefault="002618D0" w:rsidP="002618D0">
      <w:pPr>
        <w:spacing w:line="276" w:lineRule="auto"/>
        <w:jc w:val="both"/>
        <w:rPr>
          <w:rFonts w:eastAsiaTheme="minorHAnsi"/>
          <w:color w:val="000000"/>
          <w:kern w:val="2"/>
          <w:shd w:val="clear" w:color="auto" w:fill="FFFFFF"/>
          <w:lang w:eastAsia="en-US"/>
          <w14:ligatures w14:val="standardContextual"/>
        </w:rPr>
      </w:pPr>
    </w:p>
    <w:p w14:paraId="328DE30E" w14:textId="77777777" w:rsidR="002618D0" w:rsidRPr="003C4D10" w:rsidRDefault="00171F48" w:rsidP="002618D0">
      <w:pPr>
        <w:pStyle w:val="Odlomakpopisa"/>
        <w:numPr>
          <w:ilvl w:val="0"/>
          <w:numId w:val="1"/>
        </w:numPr>
        <w:spacing w:before="62" w:after="120" w:line="240" w:lineRule="auto"/>
        <w:rPr>
          <w:rFonts w:ascii="Times New Roman" w:eastAsia="Times New Roman" w:hAnsi="Times New Roman" w:cs="Times New Roman"/>
          <w:b/>
          <w:bCs/>
          <w:kern w:val="0"/>
          <w:lang w:eastAsia="hr-HR"/>
          <w14:ligatures w14:val="none"/>
        </w:rPr>
      </w:pPr>
      <w:r w:rsidRPr="003C4D10">
        <w:rPr>
          <w:rFonts w:ascii="Times New Roman" w:eastAsia="Times New Roman" w:hAnsi="Times New Roman" w:cs="Times New Roman"/>
          <w:b/>
          <w:bCs/>
          <w:kern w:val="0"/>
          <w:lang w:eastAsia="hr-HR"/>
          <w14:ligatures w14:val="none"/>
        </w:rPr>
        <w:t>Ocjena stanja i osnovna pitanja koja se uređuju aktom i objašnjenje pojedinih odredbi</w:t>
      </w:r>
    </w:p>
    <w:p w14:paraId="66ABBB82" w14:textId="77777777" w:rsidR="003C4D10" w:rsidRDefault="00171F48" w:rsidP="003C4D10">
      <w:pPr>
        <w:spacing w:line="276" w:lineRule="auto"/>
        <w:jc w:val="both"/>
        <w:rPr>
          <w:color w:val="000000"/>
          <w:sz w:val="22"/>
          <w:szCs w:val="22"/>
          <w:shd w:val="clear" w:color="auto" w:fill="FFFFFF"/>
        </w:rPr>
      </w:pPr>
      <w:r w:rsidRPr="003C4D10">
        <w:rPr>
          <w:color w:val="000000"/>
          <w:sz w:val="22"/>
          <w:szCs w:val="22"/>
          <w:shd w:val="clear" w:color="auto" w:fill="FFFFFF"/>
        </w:rPr>
        <w:tab/>
      </w:r>
    </w:p>
    <w:p w14:paraId="084C4C1B" w14:textId="0299F07E" w:rsidR="002618D0" w:rsidRPr="003C4D10" w:rsidRDefault="00171F48" w:rsidP="003C4D10">
      <w:pPr>
        <w:spacing w:line="276" w:lineRule="auto"/>
        <w:ind w:firstLine="720"/>
        <w:jc w:val="both"/>
        <w:rPr>
          <w:rFonts w:eastAsiaTheme="minorHAnsi"/>
          <w:color w:val="000000"/>
          <w:kern w:val="2"/>
          <w:sz w:val="22"/>
          <w:szCs w:val="22"/>
          <w:shd w:val="clear" w:color="auto" w:fill="FFFFFF"/>
          <w:lang w:eastAsia="en-US"/>
          <w14:ligatures w14:val="standardContextual"/>
        </w:rPr>
      </w:pPr>
      <w:r w:rsidRPr="003C4D10">
        <w:rPr>
          <w:color w:val="000000"/>
          <w:sz w:val="22"/>
          <w:szCs w:val="22"/>
          <w:shd w:val="clear" w:color="auto" w:fill="FFFFFF"/>
        </w:rPr>
        <w:t>Grad Koprivnica  potpisnik je Sporazuma o provedbi integriranih teritorijalnih ulaganja u okviru Integriranog teritorijalnog programa 2021. – 2027. kojim</w:t>
      </w:r>
      <w:r w:rsidRPr="003C4D10">
        <w:rPr>
          <w:sz w:val="22"/>
          <w:szCs w:val="22"/>
        </w:rPr>
        <w:t xml:space="preserve"> su utvrđeni uvjeti provedbe mehanizma integriranih teritorijalnih ulaganja na manjem urbanom području Koprivnica.</w:t>
      </w:r>
    </w:p>
    <w:p w14:paraId="72106E3D" w14:textId="77777777" w:rsidR="002618D0" w:rsidRPr="003C4D10" w:rsidRDefault="00171F48" w:rsidP="003C4D10">
      <w:pPr>
        <w:spacing w:line="276" w:lineRule="auto"/>
        <w:ind w:firstLine="720"/>
        <w:jc w:val="both"/>
        <w:rPr>
          <w:color w:val="000000"/>
          <w:sz w:val="22"/>
          <w:szCs w:val="22"/>
          <w:shd w:val="clear" w:color="auto" w:fill="FFFFFF"/>
        </w:rPr>
      </w:pPr>
      <w:r w:rsidRPr="003C4D10">
        <w:rPr>
          <w:color w:val="000000"/>
          <w:sz w:val="22"/>
          <w:szCs w:val="22"/>
          <w:shd w:val="clear" w:color="auto" w:fill="FFFFFF"/>
        </w:rPr>
        <w:t xml:space="preserve">Temeljem Sporazuma  Gradsko vijeće Grada Koprivnice 19.12.2024. godine donijelo je Strategiju razvoja manjeg urbanog područja kojom su određeni ciljevi i prioriteti razvoja za urbana područja.  </w:t>
      </w:r>
    </w:p>
    <w:p w14:paraId="7B621078" w14:textId="77034992" w:rsidR="002618D0" w:rsidRPr="003C4D10" w:rsidRDefault="00171F48" w:rsidP="003C4D10">
      <w:pPr>
        <w:shd w:val="clear" w:color="auto" w:fill="FFFFFF"/>
        <w:spacing w:line="276" w:lineRule="auto"/>
        <w:ind w:firstLine="210"/>
        <w:jc w:val="both"/>
        <w:textAlignment w:val="top"/>
        <w:rPr>
          <w:color w:val="000000"/>
          <w:sz w:val="22"/>
          <w:szCs w:val="22"/>
        </w:rPr>
      </w:pPr>
      <w:r w:rsidRPr="003C4D10">
        <w:rPr>
          <w:color w:val="000000"/>
          <w:sz w:val="22"/>
          <w:szCs w:val="22"/>
        </w:rPr>
        <w:tab/>
        <w:t>Ukupna alokacija za Manje urbano područje Koprivnica iz ITU mehanizma u iznosu od 18.000.000,00 eura namijenjena je trima strateškim projektima:</w:t>
      </w:r>
    </w:p>
    <w:p w14:paraId="7C1EC499" w14:textId="77777777" w:rsidR="002618D0" w:rsidRPr="003C4D10" w:rsidRDefault="00171F48" w:rsidP="002618D0">
      <w:pPr>
        <w:numPr>
          <w:ilvl w:val="0"/>
          <w:numId w:val="2"/>
        </w:numPr>
        <w:shd w:val="clear" w:color="auto" w:fill="FFFFFF"/>
        <w:spacing w:line="276" w:lineRule="auto"/>
        <w:ind w:left="570"/>
        <w:jc w:val="both"/>
        <w:textAlignment w:val="top"/>
        <w:rPr>
          <w:color w:val="000000"/>
          <w:sz w:val="22"/>
          <w:szCs w:val="22"/>
        </w:rPr>
      </w:pPr>
      <w:r w:rsidRPr="003C4D10">
        <w:rPr>
          <w:color w:val="000000"/>
          <w:sz w:val="22"/>
          <w:szCs w:val="22"/>
        </w:rPr>
        <w:t>Građenje i opremanje kompleksa tržnice i polivalentnog centra</w:t>
      </w:r>
    </w:p>
    <w:p w14:paraId="43692F46" w14:textId="77777777" w:rsidR="002618D0" w:rsidRPr="003C4D10" w:rsidRDefault="00171F48" w:rsidP="002618D0">
      <w:pPr>
        <w:numPr>
          <w:ilvl w:val="0"/>
          <w:numId w:val="2"/>
        </w:numPr>
        <w:shd w:val="clear" w:color="auto" w:fill="FFFFFF"/>
        <w:spacing w:line="276" w:lineRule="auto"/>
        <w:ind w:left="570"/>
        <w:jc w:val="both"/>
        <w:textAlignment w:val="top"/>
        <w:rPr>
          <w:color w:val="000000"/>
          <w:sz w:val="22"/>
          <w:szCs w:val="22"/>
        </w:rPr>
      </w:pPr>
      <w:r w:rsidRPr="003C4D10">
        <w:rPr>
          <w:color w:val="000000"/>
          <w:sz w:val="22"/>
          <w:szCs w:val="22"/>
        </w:rPr>
        <w:t>Unaprjeđenje sustava javnog prijevoza na urbanom području Koprivnica</w:t>
      </w:r>
    </w:p>
    <w:p w14:paraId="3547567D" w14:textId="77777777" w:rsidR="002618D0" w:rsidRPr="003C4D10" w:rsidRDefault="00171F48" w:rsidP="002618D0">
      <w:pPr>
        <w:numPr>
          <w:ilvl w:val="0"/>
          <w:numId w:val="2"/>
        </w:numPr>
        <w:shd w:val="clear" w:color="auto" w:fill="FFFFFF"/>
        <w:spacing w:line="276" w:lineRule="auto"/>
        <w:ind w:left="570"/>
        <w:jc w:val="both"/>
        <w:textAlignment w:val="top"/>
        <w:rPr>
          <w:color w:val="000000"/>
          <w:sz w:val="22"/>
          <w:szCs w:val="22"/>
        </w:rPr>
      </w:pPr>
      <w:r w:rsidRPr="003C4D10">
        <w:rPr>
          <w:color w:val="000000"/>
          <w:sz w:val="22"/>
          <w:szCs w:val="22"/>
        </w:rPr>
        <w:t>Znanstveno-inovacijski park Koprivnica</w:t>
      </w:r>
    </w:p>
    <w:p w14:paraId="0CCDCCE2" w14:textId="3E3CFD1B" w:rsidR="002618D0" w:rsidRPr="003C4D10" w:rsidRDefault="00171F48" w:rsidP="002618D0">
      <w:pPr>
        <w:shd w:val="clear" w:color="auto" w:fill="FFFFFF"/>
        <w:spacing w:line="276" w:lineRule="auto"/>
        <w:jc w:val="both"/>
        <w:textAlignment w:val="top"/>
        <w:rPr>
          <w:strike/>
          <w:color w:val="000000"/>
          <w:sz w:val="22"/>
          <w:szCs w:val="22"/>
        </w:rPr>
      </w:pPr>
      <w:r w:rsidRPr="003C4D10">
        <w:rPr>
          <w:color w:val="000000"/>
          <w:sz w:val="22"/>
          <w:szCs w:val="22"/>
        </w:rPr>
        <w:t xml:space="preserve">te otvorenom pozivu za unaprjeđenje prometne sigurnosti, povezanosti i mobilnosti građana i žitelja Manjeg urbanog područja Koprivnica. </w:t>
      </w:r>
    </w:p>
    <w:p w14:paraId="4E39BAEA" w14:textId="00525035" w:rsidR="002618D0" w:rsidRPr="003C4D10" w:rsidRDefault="00171F48" w:rsidP="003C4D10">
      <w:pPr>
        <w:shd w:val="clear" w:color="auto" w:fill="FFFFFF"/>
        <w:spacing w:line="276" w:lineRule="auto"/>
        <w:jc w:val="both"/>
        <w:textAlignment w:val="top"/>
        <w:rPr>
          <w:rFonts w:eastAsia="Calibri"/>
          <w:sz w:val="22"/>
          <w:szCs w:val="22"/>
          <w:lang w:eastAsia="en-US"/>
        </w:rPr>
      </w:pPr>
      <w:r w:rsidRPr="003C4D10">
        <w:rPr>
          <w:color w:val="000000"/>
          <w:sz w:val="22"/>
          <w:szCs w:val="22"/>
        </w:rPr>
        <w:tab/>
        <w:t xml:space="preserve">Projekt Unaprjeđenje sustava javnog prijevoza na Urbanom području Koprivnica ima za cilj </w:t>
      </w:r>
      <w:r w:rsidRPr="003C4D10">
        <w:rPr>
          <w:rFonts w:eastAsia="Calibri"/>
          <w:sz w:val="22"/>
          <w:szCs w:val="22"/>
        </w:rPr>
        <w:t xml:space="preserve">proširenje i modernizaciju ekološki prihvatljivog javnog prijevoza na dijelu Urbanog područja Koprivnica koji obuhvaća Grad Koprivnicu, Općinu Peteranec, Općinu Koprivnički Bregi i Općinu Koprivnički Ivanec. Projekt obuhvaća implementaciju novih autobusnih linija, nabavu električnih autobusa, uspostavu sustava za informiranje putnika te unaprjeđenje sustava dijeljenih bicikala. </w:t>
      </w:r>
    </w:p>
    <w:p w14:paraId="68A5BA9D" w14:textId="77777777" w:rsidR="002618D0" w:rsidRPr="003C4D10" w:rsidRDefault="00171F48" w:rsidP="003C4D10">
      <w:pPr>
        <w:spacing w:line="276" w:lineRule="auto"/>
        <w:ind w:right="47" w:firstLine="720"/>
        <w:jc w:val="both"/>
        <w:rPr>
          <w:rFonts w:eastAsiaTheme="minorHAnsi"/>
          <w:kern w:val="2"/>
          <w:sz w:val="22"/>
          <w:szCs w:val="22"/>
          <w14:ligatures w14:val="standardContextual"/>
        </w:rPr>
      </w:pPr>
      <w:r w:rsidRPr="003C4D10">
        <w:rPr>
          <w:sz w:val="22"/>
          <w:szCs w:val="22"/>
        </w:rPr>
        <w:t xml:space="preserve">Slijedom navedenoga, predlaže se Gradskom vijeću Grada Koprivnice da razmotri i donese Zaključak o odobrenju zaključenja Ugovora o pružanju javne usluge komunalnog linijskog prijevoza putnika na Urbanom području Koprivnica, koji je preduvjet za prijavu Projekta Unaprjeđenje sustava javnog prijevoza na Urbanom području Koprivnica za na Poziv Ministarstva regionalnog razvoja i fondova Europske unije. </w:t>
      </w:r>
    </w:p>
    <w:p w14:paraId="38F50395" w14:textId="77777777" w:rsidR="002618D0" w:rsidRDefault="002618D0" w:rsidP="002618D0">
      <w:pPr>
        <w:shd w:val="clear" w:color="auto" w:fill="FFFFFF"/>
        <w:spacing w:line="276" w:lineRule="auto"/>
        <w:jc w:val="both"/>
        <w:textAlignment w:val="top"/>
        <w:rPr>
          <w:rFonts w:eastAsia="Calibri"/>
          <w:sz w:val="22"/>
          <w:szCs w:val="22"/>
        </w:rPr>
      </w:pPr>
    </w:p>
    <w:p w14:paraId="1A1885C4" w14:textId="77777777" w:rsidR="003C4D10" w:rsidRDefault="003C4D10" w:rsidP="002618D0">
      <w:pPr>
        <w:shd w:val="clear" w:color="auto" w:fill="FFFFFF"/>
        <w:spacing w:line="276" w:lineRule="auto"/>
        <w:jc w:val="both"/>
        <w:textAlignment w:val="top"/>
        <w:rPr>
          <w:rFonts w:eastAsia="Calibri"/>
          <w:sz w:val="22"/>
          <w:szCs w:val="22"/>
        </w:rPr>
      </w:pPr>
    </w:p>
    <w:p w14:paraId="62886BE6" w14:textId="77777777" w:rsidR="003C4D10" w:rsidRDefault="003C4D10" w:rsidP="002618D0">
      <w:pPr>
        <w:shd w:val="clear" w:color="auto" w:fill="FFFFFF"/>
        <w:spacing w:line="276" w:lineRule="auto"/>
        <w:jc w:val="both"/>
        <w:textAlignment w:val="top"/>
        <w:rPr>
          <w:rFonts w:eastAsia="Calibri"/>
          <w:sz w:val="22"/>
          <w:szCs w:val="22"/>
        </w:rPr>
      </w:pPr>
    </w:p>
    <w:p w14:paraId="4D9AFAE5" w14:textId="77777777" w:rsidR="003C4D10" w:rsidRDefault="003C4D10" w:rsidP="002618D0">
      <w:pPr>
        <w:shd w:val="clear" w:color="auto" w:fill="FFFFFF"/>
        <w:spacing w:line="276" w:lineRule="auto"/>
        <w:jc w:val="both"/>
        <w:textAlignment w:val="top"/>
        <w:rPr>
          <w:rFonts w:eastAsia="Calibri"/>
          <w:sz w:val="22"/>
          <w:szCs w:val="22"/>
        </w:rPr>
      </w:pPr>
    </w:p>
    <w:p w14:paraId="5793FD72" w14:textId="77777777" w:rsidR="003C4D10" w:rsidRPr="003C4D10" w:rsidRDefault="003C4D10" w:rsidP="002618D0">
      <w:pPr>
        <w:shd w:val="clear" w:color="auto" w:fill="FFFFFF"/>
        <w:spacing w:line="276" w:lineRule="auto"/>
        <w:jc w:val="both"/>
        <w:textAlignment w:val="top"/>
        <w:rPr>
          <w:rFonts w:eastAsia="Calibri"/>
          <w:sz w:val="22"/>
          <w:szCs w:val="22"/>
        </w:rPr>
      </w:pPr>
    </w:p>
    <w:p w14:paraId="2A975035" w14:textId="77777777" w:rsidR="002618D0" w:rsidRPr="003C4D10" w:rsidRDefault="00171F48" w:rsidP="002618D0">
      <w:pPr>
        <w:pStyle w:val="Odlomakpopisa"/>
        <w:numPr>
          <w:ilvl w:val="0"/>
          <w:numId w:val="1"/>
        </w:numPr>
        <w:spacing w:line="300" w:lineRule="auto"/>
        <w:ind w:right="45"/>
        <w:jc w:val="both"/>
        <w:rPr>
          <w:rFonts w:ascii="Times New Roman" w:hAnsi="Times New Roman" w:cs="Times New Roman"/>
          <w:b/>
          <w:bCs/>
        </w:rPr>
      </w:pPr>
      <w:r w:rsidRPr="003C4D10">
        <w:rPr>
          <w:rFonts w:ascii="Times New Roman" w:hAnsi="Times New Roman" w:cs="Times New Roman"/>
          <w:b/>
          <w:bCs/>
        </w:rPr>
        <w:t>Potrebna sredstva za provedbu akta</w:t>
      </w:r>
    </w:p>
    <w:p w14:paraId="09ECDC5F" w14:textId="5510619C" w:rsidR="002618D0" w:rsidRDefault="00171F48" w:rsidP="003C4D10">
      <w:pPr>
        <w:spacing w:line="300" w:lineRule="auto"/>
        <w:ind w:right="45" w:firstLine="720"/>
        <w:jc w:val="both"/>
        <w:rPr>
          <w:sz w:val="22"/>
          <w:szCs w:val="22"/>
        </w:rPr>
      </w:pPr>
      <w:r w:rsidRPr="003C4D10">
        <w:rPr>
          <w:sz w:val="22"/>
          <w:szCs w:val="22"/>
        </w:rPr>
        <w:t>Za provedbu ovog Ugovora  sredstva su osigurana u Proračunu Grada Koprivnice za 2025. godinu i Projekcijama za 2026. i 2027. godinu</w:t>
      </w:r>
      <w:r w:rsidR="003C4D10" w:rsidRPr="003C4D10">
        <w:rPr>
          <w:sz w:val="22"/>
          <w:szCs w:val="22"/>
        </w:rPr>
        <w:t>.</w:t>
      </w:r>
    </w:p>
    <w:p w14:paraId="52FFBEC9" w14:textId="77777777" w:rsidR="007D0C9D" w:rsidRPr="003C4D10" w:rsidRDefault="007D0C9D" w:rsidP="003C4D10">
      <w:pPr>
        <w:spacing w:line="300" w:lineRule="auto"/>
        <w:ind w:right="45" w:firstLine="720"/>
        <w:jc w:val="both"/>
        <w:rPr>
          <w:sz w:val="22"/>
          <w:szCs w:val="22"/>
        </w:rPr>
      </w:pPr>
    </w:p>
    <w:tbl>
      <w:tblPr>
        <w:tblW w:w="0" w:type="auto"/>
        <w:tblLook w:val="04A0" w:firstRow="1" w:lastRow="0" w:firstColumn="1" w:lastColumn="0" w:noHBand="0" w:noVBand="1"/>
      </w:tblPr>
      <w:tblGrid>
        <w:gridCol w:w="4647"/>
        <w:gridCol w:w="4707"/>
      </w:tblGrid>
      <w:tr w:rsidR="007D0C9D" w:rsidRPr="007D0C9D" w14:paraId="503EF5E2" w14:textId="77777777" w:rsidTr="00B273A8">
        <w:tc>
          <w:tcPr>
            <w:tcW w:w="4968" w:type="dxa"/>
          </w:tcPr>
          <w:p w14:paraId="5FB82123" w14:textId="77777777" w:rsidR="007D0C9D" w:rsidRPr="007D0C9D" w:rsidRDefault="007D0C9D" w:rsidP="007D0C9D">
            <w:pPr>
              <w:spacing w:line="276" w:lineRule="auto"/>
              <w:jc w:val="center"/>
              <w:rPr>
                <w:rFonts w:eastAsia="Calibri"/>
                <w:sz w:val="22"/>
                <w:szCs w:val="22"/>
              </w:rPr>
            </w:pPr>
          </w:p>
          <w:p w14:paraId="35DC37B9" w14:textId="77777777" w:rsidR="007D0C9D" w:rsidRPr="007D0C9D" w:rsidRDefault="007D0C9D" w:rsidP="007D0C9D">
            <w:pPr>
              <w:spacing w:line="276" w:lineRule="auto"/>
              <w:jc w:val="center"/>
              <w:rPr>
                <w:rFonts w:eastAsia="Calibri"/>
                <w:sz w:val="22"/>
                <w:szCs w:val="22"/>
              </w:rPr>
            </w:pPr>
            <w:r w:rsidRPr="007D0C9D">
              <w:rPr>
                <w:rFonts w:eastAsia="Calibri"/>
                <w:sz w:val="22"/>
                <w:szCs w:val="22"/>
              </w:rPr>
              <w:t>Nositelj izrade akta:</w:t>
            </w:r>
          </w:p>
          <w:p w14:paraId="5C527F49" w14:textId="77777777" w:rsidR="007D0C9D" w:rsidRPr="007D0C9D" w:rsidRDefault="007D0C9D" w:rsidP="007D0C9D">
            <w:pPr>
              <w:spacing w:line="276" w:lineRule="auto"/>
              <w:jc w:val="center"/>
              <w:rPr>
                <w:rFonts w:eastAsia="Calibri"/>
                <w:sz w:val="22"/>
                <w:szCs w:val="22"/>
              </w:rPr>
            </w:pPr>
          </w:p>
          <w:p w14:paraId="63E9ED82" w14:textId="77777777" w:rsidR="007D0C9D" w:rsidRPr="007D0C9D" w:rsidRDefault="007D0C9D" w:rsidP="007D0C9D">
            <w:pPr>
              <w:ind w:left="46" w:hanging="46"/>
              <w:jc w:val="center"/>
              <w:rPr>
                <w:rFonts w:eastAsia="Calibri"/>
                <w:sz w:val="22"/>
                <w:szCs w:val="22"/>
              </w:rPr>
            </w:pPr>
            <w:r w:rsidRPr="007D0C9D">
              <w:rPr>
                <w:rFonts w:eastAsia="Calibri"/>
                <w:sz w:val="22"/>
                <w:szCs w:val="22"/>
              </w:rPr>
              <w:t xml:space="preserve">Upravni odjel za izgradnju grada, upravljanje nekretninama i komunalno gospodarstvo </w:t>
            </w:r>
          </w:p>
          <w:p w14:paraId="204973D6" w14:textId="77777777" w:rsidR="007D0C9D" w:rsidRPr="007D0C9D" w:rsidRDefault="007D0C9D" w:rsidP="007D0C9D">
            <w:pPr>
              <w:spacing w:line="276" w:lineRule="auto"/>
              <w:jc w:val="center"/>
              <w:rPr>
                <w:rFonts w:eastAsia="Calibri"/>
                <w:sz w:val="22"/>
                <w:szCs w:val="22"/>
              </w:rPr>
            </w:pPr>
          </w:p>
          <w:p w14:paraId="3CEDA9E4" w14:textId="77777777" w:rsidR="007D0C9D" w:rsidRPr="007D0C9D" w:rsidRDefault="007D0C9D" w:rsidP="007D0C9D">
            <w:pPr>
              <w:spacing w:line="276" w:lineRule="auto"/>
              <w:jc w:val="center"/>
              <w:rPr>
                <w:rFonts w:eastAsia="Calibri"/>
                <w:sz w:val="22"/>
                <w:szCs w:val="22"/>
              </w:rPr>
            </w:pPr>
            <w:r w:rsidRPr="007D0C9D">
              <w:rPr>
                <w:rFonts w:eastAsia="Calibri"/>
                <w:sz w:val="22"/>
                <w:szCs w:val="22"/>
              </w:rPr>
              <w:t>Pročelnik:</w:t>
            </w:r>
            <w:r w:rsidRPr="007D0C9D">
              <w:rPr>
                <w:rFonts w:eastAsia="Calibri"/>
                <w:sz w:val="22"/>
                <w:szCs w:val="22"/>
              </w:rPr>
              <w:tab/>
            </w:r>
          </w:p>
          <w:p w14:paraId="049B5ECE" w14:textId="77777777" w:rsidR="007D0C9D" w:rsidRPr="007D0C9D" w:rsidRDefault="007D0C9D" w:rsidP="007D0C9D">
            <w:pPr>
              <w:jc w:val="center"/>
              <w:rPr>
                <w:rFonts w:eastAsia="Calibri"/>
                <w:sz w:val="22"/>
                <w:szCs w:val="22"/>
              </w:rPr>
            </w:pPr>
            <w:r w:rsidRPr="007D0C9D">
              <w:rPr>
                <w:rFonts w:eastAsia="Calibri"/>
                <w:sz w:val="22"/>
                <w:szCs w:val="22"/>
              </w:rPr>
              <w:t xml:space="preserve">Mario Perković, dipl. ing. </w:t>
            </w:r>
            <w:proofErr w:type="spellStart"/>
            <w:r w:rsidRPr="007D0C9D">
              <w:rPr>
                <w:rFonts w:eastAsia="Calibri"/>
                <w:sz w:val="22"/>
                <w:szCs w:val="22"/>
              </w:rPr>
              <w:t>građ</w:t>
            </w:r>
            <w:proofErr w:type="spellEnd"/>
            <w:r w:rsidRPr="007D0C9D">
              <w:rPr>
                <w:rFonts w:eastAsia="Calibri"/>
                <w:sz w:val="22"/>
                <w:szCs w:val="22"/>
              </w:rPr>
              <w:t>.</w:t>
            </w:r>
          </w:p>
          <w:p w14:paraId="5790C98B" w14:textId="77777777" w:rsidR="007D0C9D" w:rsidRPr="007D0C9D" w:rsidRDefault="007D0C9D" w:rsidP="007D0C9D">
            <w:pPr>
              <w:spacing w:line="276" w:lineRule="auto"/>
              <w:jc w:val="center"/>
              <w:rPr>
                <w:rFonts w:eastAsia="Calibri"/>
                <w:sz w:val="22"/>
                <w:szCs w:val="22"/>
                <w:lang w:eastAsia="en-US"/>
              </w:rPr>
            </w:pPr>
          </w:p>
        </w:tc>
        <w:tc>
          <w:tcPr>
            <w:tcW w:w="4968" w:type="dxa"/>
          </w:tcPr>
          <w:p w14:paraId="6890C8FD" w14:textId="77777777" w:rsidR="007D0C9D" w:rsidRPr="007D0C9D" w:rsidRDefault="007D0C9D" w:rsidP="007D0C9D">
            <w:pPr>
              <w:spacing w:line="276" w:lineRule="auto"/>
              <w:jc w:val="center"/>
              <w:rPr>
                <w:rFonts w:eastAsia="Calibri"/>
                <w:sz w:val="22"/>
                <w:szCs w:val="22"/>
              </w:rPr>
            </w:pPr>
          </w:p>
          <w:p w14:paraId="157B768B" w14:textId="77777777" w:rsidR="007D0C9D" w:rsidRPr="007D0C9D" w:rsidRDefault="007D0C9D" w:rsidP="007D0C9D">
            <w:pPr>
              <w:spacing w:line="276" w:lineRule="auto"/>
              <w:jc w:val="center"/>
              <w:rPr>
                <w:rFonts w:eastAsia="Calibri"/>
                <w:sz w:val="22"/>
                <w:szCs w:val="22"/>
                <w:lang w:eastAsia="x-none"/>
              </w:rPr>
            </w:pPr>
            <w:r w:rsidRPr="007D0C9D">
              <w:rPr>
                <w:rFonts w:eastAsia="Calibri"/>
                <w:sz w:val="22"/>
                <w:szCs w:val="22"/>
              </w:rPr>
              <w:t>Predlagatelj akta:</w:t>
            </w:r>
          </w:p>
          <w:p w14:paraId="3C7F63CD" w14:textId="77777777" w:rsidR="007D0C9D" w:rsidRPr="007D0C9D" w:rsidRDefault="007D0C9D" w:rsidP="007D0C9D">
            <w:pPr>
              <w:spacing w:line="276" w:lineRule="auto"/>
              <w:jc w:val="center"/>
              <w:rPr>
                <w:rFonts w:eastAsia="Calibri"/>
                <w:sz w:val="22"/>
                <w:szCs w:val="22"/>
              </w:rPr>
            </w:pPr>
          </w:p>
          <w:p w14:paraId="7E2476E0" w14:textId="77777777" w:rsidR="007D0C9D" w:rsidRPr="007D0C9D" w:rsidRDefault="007D0C9D" w:rsidP="007D0C9D">
            <w:pPr>
              <w:spacing w:line="276" w:lineRule="auto"/>
              <w:jc w:val="center"/>
              <w:rPr>
                <w:rFonts w:eastAsia="Calibri"/>
                <w:sz w:val="22"/>
                <w:szCs w:val="22"/>
              </w:rPr>
            </w:pPr>
          </w:p>
          <w:p w14:paraId="57F1738C" w14:textId="77777777" w:rsidR="007D0C9D" w:rsidRPr="007D0C9D" w:rsidRDefault="007D0C9D" w:rsidP="007D0C9D">
            <w:pPr>
              <w:spacing w:line="276" w:lineRule="auto"/>
              <w:jc w:val="center"/>
              <w:rPr>
                <w:rFonts w:eastAsia="Calibri"/>
                <w:sz w:val="22"/>
                <w:szCs w:val="22"/>
              </w:rPr>
            </w:pPr>
            <w:r w:rsidRPr="007D0C9D">
              <w:rPr>
                <w:rFonts w:eastAsia="Calibri"/>
                <w:sz w:val="22"/>
                <w:szCs w:val="22"/>
              </w:rPr>
              <w:t>GRADONAČELNIK</w:t>
            </w:r>
          </w:p>
          <w:p w14:paraId="64EAAB95" w14:textId="77777777" w:rsidR="007D0C9D" w:rsidRPr="007D0C9D" w:rsidRDefault="007D0C9D" w:rsidP="007D0C9D">
            <w:pPr>
              <w:spacing w:line="276" w:lineRule="auto"/>
              <w:jc w:val="center"/>
              <w:rPr>
                <w:rFonts w:eastAsia="Calibri"/>
                <w:sz w:val="22"/>
                <w:szCs w:val="22"/>
              </w:rPr>
            </w:pPr>
          </w:p>
          <w:p w14:paraId="19C55849" w14:textId="77777777" w:rsidR="007D0C9D" w:rsidRPr="007D0C9D" w:rsidRDefault="007D0C9D" w:rsidP="007D0C9D">
            <w:pPr>
              <w:spacing w:line="276" w:lineRule="auto"/>
              <w:jc w:val="center"/>
              <w:rPr>
                <w:rFonts w:eastAsia="Calibri"/>
                <w:sz w:val="22"/>
                <w:szCs w:val="22"/>
              </w:rPr>
            </w:pPr>
            <w:r w:rsidRPr="007D0C9D">
              <w:rPr>
                <w:rFonts w:eastAsia="Calibri"/>
                <w:sz w:val="22"/>
                <w:szCs w:val="22"/>
              </w:rPr>
              <w:t xml:space="preserve">Mišel Jakšić, dipl. </w:t>
            </w:r>
            <w:proofErr w:type="spellStart"/>
            <w:r w:rsidRPr="007D0C9D">
              <w:rPr>
                <w:rFonts w:eastAsia="Calibri"/>
                <w:sz w:val="22"/>
                <w:szCs w:val="22"/>
              </w:rPr>
              <w:t>oec</w:t>
            </w:r>
            <w:proofErr w:type="spellEnd"/>
            <w:r w:rsidRPr="007D0C9D">
              <w:rPr>
                <w:rFonts w:eastAsia="Calibri"/>
                <w:sz w:val="22"/>
                <w:szCs w:val="22"/>
              </w:rPr>
              <w:t>.</w:t>
            </w:r>
          </w:p>
          <w:p w14:paraId="42D8A43D" w14:textId="77777777" w:rsidR="007D0C9D" w:rsidRPr="007D0C9D" w:rsidRDefault="007D0C9D" w:rsidP="007D0C9D">
            <w:pPr>
              <w:spacing w:line="276" w:lineRule="auto"/>
              <w:jc w:val="center"/>
              <w:rPr>
                <w:rFonts w:eastAsia="Calibri"/>
                <w:sz w:val="22"/>
                <w:szCs w:val="22"/>
              </w:rPr>
            </w:pPr>
          </w:p>
          <w:p w14:paraId="0C218916" w14:textId="77777777" w:rsidR="007D0C9D" w:rsidRPr="007D0C9D" w:rsidRDefault="007D0C9D" w:rsidP="007D0C9D">
            <w:pPr>
              <w:spacing w:line="276" w:lineRule="auto"/>
              <w:jc w:val="center"/>
              <w:rPr>
                <w:rFonts w:eastAsia="Calibri"/>
                <w:sz w:val="22"/>
                <w:szCs w:val="22"/>
              </w:rPr>
            </w:pPr>
          </w:p>
          <w:p w14:paraId="7D94CB0F" w14:textId="77777777" w:rsidR="007D0C9D" w:rsidRPr="007D0C9D" w:rsidRDefault="007D0C9D" w:rsidP="007D0C9D">
            <w:pPr>
              <w:spacing w:line="276" w:lineRule="auto"/>
              <w:jc w:val="center"/>
              <w:rPr>
                <w:rFonts w:eastAsia="Calibri"/>
                <w:sz w:val="22"/>
                <w:szCs w:val="22"/>
              </w:rPr>
            </w:pPr>
          </w:p>
        </w:tc>
      </w:tr>
    </w:tbl>
    <w:p w14:paraId="5ECED731" w14:textId="77777777" w:rsidR="002618D0" w:rsidRPr="003C4D10" w:rsidRDefault="002618D0" w:rsidP="002618D0">
      <w:pPr>
        <w:spacing w:line="276" w:lineRule="auto"/>
        <w:jc w:val="both"/>
        <w:rPr>
          <w:color w:val="000000"/>
          <w:spacing w:val="-2"/>
          <w:sz w:val="22"/>
          <w:szCs w:val="22"/>
        </w:rPr>
      </w:pPr>
    </w:p>
    <w:sectPr w:rsidR="002618D0" w:rsidRPr="003C4D10" w:rsidSect="00A32554">
      <w:footerReference w:type="default" r:id="rId7"/>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1360F" w14:textId="77777777" w:rsidR="001F0B81" w:rsidRDefault="001F0B81">
      <w:r>
        <w:separator/>
      </w:r>
    </w:p>
  </w:endnote>
  <w:endnote w:type="continuationSeparator" w:id="0">
    <w:p w14:paraId="1B7F7840" w14:textId="77777777" w:rsidR="001F0B81" w:rsidRDefault="001F0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5B4762D8" w14:textId="4EA674AB" w:rsidR="00636B90" w:rsidRPr="00C01F62" w:rsidRDefault="00171F48"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5F83A42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F8FAD" w14:textId="77777777" w:rsidR="001F0B81" w:rsidRDefault="001F0B81">
      <w:r>
        <w:separator/>
      </w:r>
    </w:p>
  </w:footnote>
  <w:footnote w:type="continuationSeparator" w:id="0">
    <w:p w14:paraId="521787E7" w14:textId="77777777" w:rsidR="001F0B81" w:rsidRDefault="001F0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270A7"/>
    <w:multiLevelType w:val="hybridMultilevel"/>
    <w:tmpl w:val="0B448B70"/>
    <w:lvl w:ilvl="0" w:tplc="D840BCAC">
      <w:start w:val="1"/>
      <w:numFmt w:val="bullet"/>
      <w:lvlText w:val=""/>
      <w:lvlJc w:val="left"/>
      <w:pPr>
        <w:ind w:left="720" w:hanging="360"/>
      </w:pPr>
      <w:rPr>
        <w:rFonts w:ascii="Symbol" w:hAnsi="Symbol" w:hint="default"/>
      </w:rPr>
    </w:lvl>
    <w:lvl w:ilvl="1" w:tplc="9B42992A" w:tentative="1">
      <w:start w:val="1"/>
      <w:numFmt w:val="bullet"/>
      <w:lvlText w:val="o"/>
      <w:lvlJc w:val="left"/>
      <w:pPr>
        <w:ind w:left="1440" w:hanging="360"/>
      </w:pPr>
      <w:rPr>
        <w:rFonts w:ascii="Courier New" w:hAnsi="Courier New" w:cs="Courier New" w:hint="default"/>
      </w:rPr>
    </w:lvl>
    <w:lvl w:ilvl="2" w:tplc="8D2AE5A0" w:tentative="1">
      <w:start w:val="1"/>
      <w:numFmt w:val="bullet"/>
      <w:lvlText w:val=""/>
      <w:lvlJc w:val="left"/>
      <w:pPr>
        <w:ind w:left="2160" w:hanging="360"/>
      </w:pPr>
      <w:rPr>
        <w:rFonts w:ascii="Wingdings" w:hAnsi="Wingdings" w:hint="default"/>
      </w:rPr>
    </w:lvl>
    <w:lvl w:ilvl="3" w:tplc="E202EBBE" w:tentative="1">
      <w:start w:val="1"/>
      <w:numFmt w:val="bullet"/>
      <w:lvlText w:val=""/>
      <w:lvlJc w:val="left"/>
      <w:pPr>
        <w:ind w:left="2880" w:hanging="360"/>
      </w:pPr>
      <w:rPr>
        <w:rFonts w:ascii="Symbol" w:hAnsi="Symbol" w:hint="default"/>
      </w:rPr>
    </w:lvl>
    <w:lvl w:ilvl="4" w:tplc="83945654" w:tentative="1">
      <w:start w:val="1"/>
      <w:numFmt w:val="bullet"/>
      <w:lvlText w:val="o"/>
      <w:lvlJc w:val="left"/>
      <w:pPr>
        <w:ind w:left="3600" w:hanging="360"/>
      </w:pPr>
      <w:rPr>
        <w:rFonts w:ascii="Courier New" w:hAnsi="Courier New" w:cs="Courier New" w:hint="default"/>
      </w:rPr>
    </w:lvl>
    <w:lvl w:ilvl="5" w:tplc="52E23EDC" w:tentative="1">
      <w:start w:val="1"/>
      <w:numFmt w:val="bullet"/>
      <w:lvlText w:val=""/>
      <w:lvlJc w:val="left"/>
      <w:pPr>
        <w:ind w:left="4320" w:hanging="360"/>
      </w:pPr>
      <w:rPr>
        <w:rFonts w:ascii="Wingdings" w:hAnsi="Wingdings" w:hint="default"/>
      </w:rPr>
    </w:lvl>
    <w:lvl w:ilvl="6" w:tplc="08EE1094" w:tentative="1">
      <w:start w:val="1"/>
      <w:numFmt w:val="bullet"/>
      <w:lvlText w:val=""/>
      <w:lvlJc w:val="left"/>
      <w:pPr>
        <w:ind w:left="5040" w:hanging="360"/>
      </w:pPr>
      <w:rPr>
        <w:rFonts w:ascii="Symbol" w:hAnsi="Symbol" w:hint="default"/>
      </w:rPr>
    </w:lvl>
    <w:lvl w:ilvl="7" w:tplc="6D74850E" w:tentative="1">
      <w:start w:val="1"/>
      <w:numFmt w:val="bullet"/>
      <w:lvlText w:val="o"/>
      <w:lvlJc w:val="left"/>
      <w:pPr>
        <w:ind w:left="5760" w:hanging="360"/>
      </w:pPr>
      <w:rPr>
        <w:rFonts w:ascii="Courier New" w:hAnsi="Courier New" w:cs="Courier New" w:hint="default"/>
      </w:rPr>
    </w:lvl>
    <w:lvl w:ilvl="8" w:tplc="F00A3942" w:tentative="1">
      <w:start w:val="1"/>
      <w:numFmt w:val="bullet"/>
      <w:lvlText w:val=""/>
      <w:lvlJc w:val="left"/>
      <w:pPr>
        <w:ind w:left="6480" w:hanging="360"/>
      </w:pPr>
      <w:rPr>
        <w:rFonts w:ascii="Wingdings" w:hAnsi="Wingdings" w:hint="default"/>
      </w:rPr>
    </w:lvl>
  </w:abstractNum>
  <w:abstractNum w:abstractNumId="1" w15:restartNumberingAfterBreak="0">
    <w:nsid w:val="384A31E7"/>
    <w:multiLevelType w:val="hybridMultilevel"/>
    <w:tmpl w:val="76FE90CE"/>
    <w:lvl w:ilvl="0" w:tplc="FD2E5D3A">
      <w:numFmt w:val="bullet"/>
      <w:lvlText w:val="-"/>
      <w:lvlJc w:val="left"/>
      <w:pPr>
        <w:ind w:left="720" w:hanging="360"/>
      </w:pPr>
      <w:rPr>
        <w:rFonts w:ascii="Times New Roman" w:eastAsia="Times New Roman" w:hAnsi="Times New Roman" w:cs="Times New Roman" w:hint="default"/>
      </w:rPr>
    </w:lvl>
    <w:lvl w:ilvl="1" w:tplc="D136A28C" w:tentative="1">
      <w:start w:val="1"/>
      <w:numFmt w:val="bullet"/>
      <w:lvlText w:val="o"/>
      <w:lvlJc w:val="left"/>
      <w:pPr>
        <w:ind w:left="1440" w:hanging="360"/>
      </w:pPr>
      <w:rPr>
        <w:rFonts w:ascii="Courier New" w:hAnsi="Courier New" w:cs="Courier New" w:hint="default"/>
      </w:rPr>
    </w:lvl>
    <w:lvl w:ilvl="2" w:tplc="5AF85BDC" w:tentative="1">
      <w:start w:val="1"/>
      <w:numFmt w:val="bullet"/>
      <w:lvlText w:val=""/>
      <w:lvlJc w:val="left"/>
      <w:pPr>
        <w:ind w:left="2160" w:hanging="360"/>
      </w:pPr>
      <w:rPr>
        <w:rFonts w:ascii="Wingdings" w:hAnsi="Wingdings" w:hint="default"/>
      </w:rPr>
    </w:lvl>
    <w:lvl w:ilvl="3" w:tplc="79729E02" w:tentative="1">
      <w:start w:val="1"/>
      <w:numFmt w:val="bullet"/>
      <w:lvlText w:val=""/>
      <w:lvlJc w:val="left"/>
      <w:pPr>
        <w:ind w:left="2880" w:hanging="360"/>
      </w:pPr>
      <w:rPr>
        <w:rFonts w:ascii="Symbol" w:hAnsi="Symbol" w:hint="default"/>
      </w:rPr>
    </w:lvl>
    <w:lvl w:ilvl="4" w:tplc="41F6E9C0" w:tentative="1">
      <w:start w:val="1"/>
      <w:numFmt w:val="bullet"/>
      <w:lvlText w:val="o"/>
      <w:lvlJc w:val="left"/>
      <w:pPr>
        <w:ind w:left="3600" w:hanging="360"/>
      </w:pPr>
      <w:rPr>
        <w:rFonts w:ascii="Courier New" w:hAnsi="Courier New" w:cs="Courier New" w:hint="default"/>
      </w:rPr>
    </w:lvl>
    <w:lvl w:ilvl="5" w:tplc="22C8B446" w:tentative="1">
      <w:start w:val="1"/>
      <w:numFmt w:val="bullet"/>
      <w:lvlText w:val=""/>
      <w:lvlJc w:val="left"/>
      <w:pPr>
        <w:ind w:left="4320" w:hanging="360"/>
      </w:pPr>
      <w:rPr>
        <w:rFonts w:ascii="Wingdings" w:hAnsi="Wingdings" w:hint="default"/>
      </w:rPr>
    </w:lvl>
    <w:lvl w:ilvl="6" w:tplc="92BCE31A" w:tentative="1">
      <w:start w:val="1"/>
      <w:numFmt w:val="bullet"/>
      <w:lvlText w:val=""/>
      <w:lvlJc w:val="left"/>
      <w:pPr>
        <w:ind w:left="5040" w:hanging="360"/>
      </w:pPr>
      <w:rPr>
        <w:rFonts w:ascii="Symbol" w:hAnsi="Symbol" w:hint="default"/>
      </w:rPr>
    </w:lvl>
    <w:lvl w:ilvl="7" w:tplc="E892B7BA" w:tentative="1">
      <w:start w:val="1"/>
      <w:numFmt w:val="bullet"/>
      <w:lvlText w:val="o"/>
      <w:lvlJc w:val="left"/>
      <w:pPr>
        <w:ind w:left="5760" w:hanging="360"/>
      </w:pPr>
      <w:rPr>
        <w:rFonts w:ascii="Courier New" w:hAnsi="Courier New" w:cs="Courier New" w:hint="default"/>
      </w:rPr>
    </w:lvl>
    <w:lvl w:ilvl="8" w:tplc="08645C56" w:tentative="1">
      <w:start w:val="1"/>
      <w:numFmt w:val="bullet"/>
      <w:lvlText w:val=""/>
      <w:lvlJc w:val="left"/>
      <w:pPr>
        <w:ind w:left="6480" w:hanging="360"/>
      </w:pPr>
      <w:rPr>
        <w:rFonts w:ascii="Wingdings" w:hAnsi="Wingdings" w:hint="default"/>
      </w:rPr>
    </w:lvl>
  </w:abstractNum>
  <w:abstractNum w:abstractNumId="2" w15:restartNumberingAfterBreak="0">
    <w:nsid w:val="3EAB677A"/>
    <w:multiLevelType w:val="multilevel"/>
    <w:tmpl w:val="0E623A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F2D3BBF"/>
    <w:multiLevelType w:val="hybridMultilevel"/>
    <w:tmpl w:val="8E749B8E"/>
    <w:lvl w:ilvl="0" w:tplc="CCB24A9A">
      <w:start w:val="1"/>
      <w:numFmt w:val="upperRoman"/>
      <w:lvlText w:val="%1."/>
      <w:lvlJc w:val="left"/>
      <w:pPr>
        <w:ind w:left="1080" w:hanging="720"/>
      </w:pPr>
    </w:lvl>
    <w:lvl w:ilvl="1" w:tplc="6C50C024">
      <w:start w:val="1"/>
      <w:numFmt w:val="lowerLetter"/>
      <w:lvlText w:val="%2."/>
      <w:lvlJc w:val="left"/>
      <w:pPr>
        <w:ind w:left="1440" w:hanging="360"/>
      </w:pPr>
    </w:lvl>
    <w:lvl w:ilvl="2" w:tplc="A82E6146">
      <w:start w:val="1"/>
      <w:numFmt w:val="lowerRoman"/>
      <w:lvlText w:val="%3."/>
      <w:lvlJc w:val="right"/>
      <w:pPr>
        <w:ind w:left="2160" w:hanging="180"/>
      </w:pPr>
    </w:lvl>
    <w:lvl w:ilvl="3" w:tplc="2DBE30A8">
      <w:start w:val="1"/>
      <w:numFmt w:val="decimal"/>
      <w:lvlText w:val="%4."/>
      <w:lvlJc w:val="left"/>
      <w:pPr>
        <w:ind w:left="2880" w:hanging="360"/>
      </w:pPr>
    </w:lvl>
    <w:lvl w:ilvl="4" w:tplc="E87096F0">
      <w:start w:val="1"/>
      <w:numFmt w:val="lowerLetter"/>
      <w:lvlText w:val="%5."/>
      <w:lvlJc w:val="left"/>
      <w:pPr>
        <w:ind w:left="3600" w:hanging="360"/>
      </w:pPr>
    </w:lvl>
    <w:lvl w:ilvl="5" w:tplc="1FF2C6DA">
      <w:start w:val="1"/>
      <w:numFmt w:val="lowerRoman"/>
      <w:lvlText w:val="%6."/>
      <w:lvlJc w:val="right"/>
      <w:pPr>
        <w:ind w:left="4320" w:hanging="180"/>
      </w:pPr>
    </w:lvl>
    <w:lvl w:ilvl="6" w:tplc="0EEE3244">
      <w:start w:val="1"/>
      <w:numFmt w:val="decimal"/>
      <w:lvlText w:val="%7."/>
      <w:lvlJc w:val="left"/>
      <w:pPr>
        <w:ind w:left="5040" w:hanging="360"/>
      </w:pPr>
    </w:lvl>
    <w:lvl w:ilvl="7" w:tplc="CD3E7238">
      <w:start w:val="1"/>
      <w:numFmt w:val="lowerLetter"/>
      <w:lvlText w:val="%8."/>
      <w:lvlJc w:val="left"/>
      <w:pPr>
        <w:ind w:left="5760" w:hanging="360"/>
      </w:pPr>
    </w:lvl>
    <w:lvl w:ilvl="8" w:tplc="58DAF616">
      <w:start w:val="1"/>
      <w:numFmt w:val="lowerRoman"/>
      <w:lvlText w:val="%9."/>
      <w:lvlJc w:val="right"/>
      <w:pPr>
        <w:ind w:left="6480" w:hanging="180"/>
      </w:pPr>
    </w:lvl>
  </w:abstractNum>
  <w:num w:numId="1" w16cid:durableId="6096244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99365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9450622">
    <w:abstractNumId w:val="0"/>
  </w:num>
  <w:num w:numId="4" w16cid:durableId="1285770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80328"/>
    <w:rsid w:val="00085FFF"/>
    <w:rsid w:val="000A3497"/>
    <w:rsid w:val="000A79A0"/>
    <w:rsid w:val="000A7CE8"/>
    <w:rsid w:val="000B0EF9"/>
    <w:rsid w:val="000C10B9"/>
    <w:rsid w:val="000C1FB7"/>
    <w:rsid w:val="000D6B78"/>
    <w:rsid w:val="000D77A1"/>
    <w:rsid w:val="000E73B3"/>
    <w:rsid w:val="00127FD4"/>
    <w:rsid w:val="00171F48"/>
    <w:rsid w:val="001B7795"/>
    <w:rsid w:val="001D627E"/>
    <w:rsid w:val="001E01B9"/>
    <w:rsid w:val="001E5EE1"/>
    <w:rsid w:val="001F0B81"/>
    <w:rsid w:val="001F3335"/>
    <w:rsid w:val="002618D0"/>
    <w:rsid w:val="00281F0A"/>
    <w:rsid w:val="002C1AA1"/>
    <w:rsid w:val="002C6F70"/>
    <w:rsid w:val="002D73C0"/>
    <w:rsid w:val="002F06F8"/>
    <w:rsid w:val="002F5BE7"/>
    <w:rsid w:val="0033099C"/>
    <w:rsid w:val="003502B7"/>
    <w:rsid w:val="00353ACF"/>
    <w:rsid w:val="003B07B2"/>
    <w:rsid w:val="003C0B73"/>
    <w:rsid w:val="003C3CC4"/>
    <w:rsid w:val="003C4D10"/>
    <w:rsid w:val="003C7570"/>
    <w:rsid w:val="003D5D0A"/>
    <w:rsid w:val="004466BF"/>
    <w:rsid w:val="00446CED"/>
    <w:rsid w:val="0045196B"/>
    <w:rsid w:val="004F19EE"/>
    <w:rsid w:val="004F5EAB"/>
    <w:rsid w:val="00513260"/>
    <w:rsid w:val="0051330C"/>
    <w:rsid w:val="00543AE6"/>
    <w:rsid w:val="00580686"/>
    <w:rsid w:val="00583CA0"/>
    <w:rsid w:val="00590216"/>
    <w:rsid w:val="00597812"/>
    <w:rsid w:val="005A630C"/>
    <w:rsid w:val="00611B44"/>
    <w:rsid w:val="0061291E"/>
    <w:rsid w:val="00624FAB"/>
    <w:rsid w:val="00635D83"/>
    <w:rsid w:val="00636B90"/>
    <w:rsid w:val="00640486"/>
    <w:rsid w:val="00647CB6"/>
    <w:rsid w:val="00661DCA"/>
    <w:rsid w:val="006712B7"/>
    <w:rsid w:val="006921E6"/>
    <w:rsid w:val="007204B5"/>
    <w:rsid w:val="0072201D"/>
    <w:rsid w:val="00772C92"/>
    <w:rsid w:val="0078495E"/>
    <w:rsid w:val="007D0C9D"/>
    <w:rsid w:val="007E51EC"/>
    <w:rsid w:val="007F22FD"/>
    <w:rsid w:val="007F3D13"/>
    <w:rsid w:val="007F41AB"/>
    <w:rsid w:val="00835D8A"/>
    <w:rsid w:val="00856A74"/>
    <w:rsid w:val="00857B8E"/>
    <w:rsid w:val="00862CC1"/>
    <w:rsid w:val="00876372"/>
    <w:rsid w:val="008770A6"/>
    <w:rsid w:val="008E4B08"/>
    <w:rsid w:val="0090739C"/>
    <w:rsid w:val="00987945"/>
    <w:rsid w:val="009B6D94"/>
    <w:rsid w:val="009D4CD1"/>
    <w:rsid w:val="009F199D"/>
    <w:rsid w:val="00A1543D"/>
    <w:rsid w:val="00A32554"/>
    <w:rsid w:val="00A837C0"/>
    <w:rsid w:val="00AD5620"/>
    <w:rsid w:val="00AE3F9F"/>
    <w:rsid w:val="00AE7275"/>
    <w:rsid w:val="00B25E9D"/>
    <w:rsid w:val="00B356AC"/>
    <w:rsid w:val="00B375EA"/>
    <w:rsid w:val="00B4739E"/>
    <w:rsid w:val="00B7391D"/>
    <w:rsid w:val="00B97A31"/>
    <w:rsid w:val="00BA3790"/>
    <w:rsid w:val="00BA79BD"/>
    <w:rsid w:val="00C01F62"/>
    <w:rsid w:val="00C25A85"/>
    <w:rsid w:val="00C34B71"/>
    <w:rsid w:val="00C64046"/>
    <w:rsid w:val="00C82211"/>
    <w:rsid w:val="00C8267C"/>
    <w:rsid w:val="00CC2AB8"/>
    <w:rsid w:val="00CD7D6A"/>
    <w:rsid w:val="00D012D4"/>
    <w:rsid w:val="00D07BAC"/>
    <w:rsid w:val="00D354EC"/>
    <w:rsid w:val="00D4466B"/>
    <w:rsid w:val="00D479D4"/>
    <w:rsid w:val="00D52D77"/>
    <w:rsid w:val="00D600B3"/>
    <w:rsid w:val="00D76709"/>
    <w:rsid w:val="00D911FC"/>
    <w:rsid w:val="00DB4E95"/>
    <w:rsid w:val="00DD1A53"/>
    <w:rsid w:val="00DF3A81"/>
    <w:rsid w:val="00E13394"/>
    <w:rsid w:val="00E3458D"/>
    <w:rsid w:val="00E939E8"/>
    <w:rsid w:val="00EC0865"/>
    <w:rsid w:val="00EE1C1A"/>
    <w:rsid w:val="00F076A5"/>
    <w:rsid w:val="00F2224E"/>
    <w:rsid w:val="00F22E62"/>
    <w:rsid w:val="00F35850"/>
    <w:rsid w:val="00F35B5A"/>
    <w:rsid w:val="00F45F2B"/>
    <w:rsid w:val="00F659D4"/>
    <w:rsid w:val="00F9755F"/>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C74DB"/>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StandardWeb">
    <w:name w:val="Normal (Web)"/>
    <w:basedOn w:val="Normal"/>
    <w:uiPriority w:val="99"/>
    <w:unhideWhenUsed/>
    <w:rsid w:val="00876372"/>
    <w:pPr>
      <w:spacing w:before="100" w:beforeAutospacing="1" w:after="100" w:afterAutospacing="1"/>
    </w:pPr>
  </w:style>
  <w:style w:type="paragraph" w:styleId="Tijeloteksta">
    <w:name w:val="Body Text"/>
    <w:basedOn w:val="Normal"/>
    <w:link w:val="TijelotekstaChar"/>
    <w:uiPriority w:val="99"/>
    <w:unhideWhenUsed/>
    <w:rsid w:val="00876372"/>
    <w:pPr>
      <w:spacing w:after="120"/>
    </w:pPr>
  </w:style>
  <w:style w:type="character" w:customStyle="1" w:styleId="TijelotekstaChar">
    <w:name w:val="Tijelo teksta Char"/>
    <w:basedOn w:val="Zadanifontodlomka"/>
    <w:link w:val="Tijeloteksta"/>
    <w:uiPriority w:val="99"/>
    <w:rsid w:val="00876372"/>
    <w:rPr>
      <w:sz w:val="24"/>
      <w:szCs w:val="24"/>
    </w:rPr>
  </w:style>
  <w:style w:type="paragraph" w:styleId="Odlomakpopisa">
    <w:name w:val="List Paragraph"/>
    <w:basedOn w:val="Normal"/>
    <w:uiPriority w:val="34"/>
    <w:qFormat/>
    <w:rsid w:val="002618D0"/>
    <w:pPr>
      <w:spacing w:after="160" w:line="256" w:lineRule="auto"/>
      <w:ind w:left="720"/>
      <w:contextualSpacing/>
    </w:pPr>
    <w:rPr>
      <w:rFonts w:asciiTheme="minorHAnsi" w:eastAsiaTheme="minorHAnsi" w:hAnsiTheme="minorHAnsi" w:cstheme="minorBidi"/>
      <w:kern w:val="2"/>
      <w:sz w:val="22"/>
      <w:szCs w:val="22"/>
      <w:lang w:eastAsia="en-US"/>
      <w14:ligatures w14:val="standardContextual"/>
    </w:rPr>
  </w:style>
  <w:style w:type="paragraph" w:styleId="Revizija">
    <w:name w:val="Revision"/>
    <w:hidden/>
    <w:uiPriority w:val="99"/>
    <w:semiHidden/>
    <w:rsid w:val="003C4D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413</Words>
  <Characters>2753</Characters>
  <Application>Microsoft Office Word</Application>
  <DocSecurity>0</DocSecurity>
  <Lines>22</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4</cp:revision>
  <cp:lastPrinted>2025-03-25T12:54:00Z</cp:lastPrinted>
  <dcterms:created xsi:type="dcterms:W3CDTF">2025-03-25T08:56:00Z</dcterms:created>
  <dcterms:modified xsi:type="dcterms:W3CDTF">2025-03-25T12:54:00Z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