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FDAAF" w14:textId="033A7F32" w:rsidR="00072311" w:rsidRPr="00BE4EA7" w:rsidRDefault="00D54DD2" w:rsidP="007379EE">
      <w:pPr>
        <w:spacing w:line="276" w:lineRule="auto"/>
      </w:pPr>
      <w:r w:rsidRPr="00BE4EA7">
        <w:rPr>
          <w:noProof/>
          <w:sz w:val="20"/>
          <w:lang w:val="en-US"/>
        </w:rPr>
        <w:drawing>
          <wp:anchor distT="0" distB="0" distL="114300" distR="114300" simplePos="0" relativeHeight="251658240" behindDoc="0" locked="0" layoutInCell="1" allowOverlap="1" wp14:anchorId="0CB4BE23" wp14:editId="5C96684A">
            <wp:simplePos x="0" y="0"/>
            <wp:positionH relativeFrom="column">
              <wp:posOffset>-114300</wp:posOffset>
            </wp:positionH>
            <wp:positionV relativeFrom="paragraph">
              <wp:posOffset>0</wp:posOffset>
            </wp:positionV>
            <wp:extent cx="800100" cy="711200"/>
            <wp:effectExtent l="0" t="0" r="0"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0100" cy="711200"/>
                    </a:xfrm>
                    <a:prstGeom prst="rect">
                      <a:avLst/>
                    </a:prstGeom>
                    <a:solidFill>
                      <a:srgbClr val="333399"/>
                    </a:solidFill>
                    <a:ln>
                      <a:noFill/>
                    </a:ln>
                    <a:effectLst/>
                  </pic:spPr>
                </pic:pic>
              </a:graphicData>
            </a:graphic>
            <wp14:sizeRelH relativeFrom="page">
              <wp14:pctWidth>0</wp14:pctWidth>
            </wp14:sizeRelH>
            <wp14:sizeRelV relativeFrom="page">
              <wp14:pctHeight>0</wp14:pctHeight>
            </wp14:sizeRelV>
          </wp:anchor>
        </w:drawing>
      </w:r>
      <w:r w:rsidR="00072311" w:rsidRPr="00BE4EA7">
        <w:t xml:space="preserve"> </w:t>
      </w:r>
    </w:p>
    <w:p w14:paraId="7F252DA8" w14:textId="77777777" w:rsidR="00072311" w:rsidRPr="00BE4EA7" w:rsidRDefault="00072311"/>
    <w:p w14:paraId="50558E2D" w14:textId="0B590049" w:rsidR="00072311" w:rsidRPr="00BE4EA7" w:rsidRDefault="00072311">
      <w:pPr>
        <w:rPr>
          <w:rFonts w:ascii="Century Gothic" w:hAnsi="Century Gothic"/>
          <w:b/>
          <w:bCs/>
          <w:color w:val="333399"/>
          <w:sz w:val="18"/>
        </w:rPr>
      </w:pPr>
      <w:r w:rsidRPr="00BE4EA7">
        <w:tab/>
      </w:r>
      <w:r w:rsidRPr="00BE4EA7">
        <w:rPr>
          <w:sz w:val="18"/>
        </w:rPr>
        <w:t xml:space="preserve">            </w:t>
      </w:r>
      <w:r w:rsidRPr="00BE4EA7">
        <w:rPr>
          <w:rFonts w:ascii="Century Gothic" w:hAnsi="Century Gothic"/>
          <w:b/>
          <w:bCs/>
          <w:color w:val="333399"/>
          <w:sz w:val="18"/>
        </w:rPr>
        <w:t xml:space="preserve">PUČKO </w:t>
      </w:r>
      <w:r w:rsidRPr="00BE4EA7">
        <w:rPr>
          <w:rFonts w:ascii="Arial" w:hAnsi="Arial" w:cs="Arial"/>
          <w:b/>
          <w:bCs/>
          <w:color w:val="333399"/>
          <w:sz w:val="18"/>
        </w:rPr>
        <w:t>OTVORENO</w:t>
      </w:r>
      <w:r w:rsidRPr="00BE4EA7">
        <w:rPr>
          <w:rFonts w:ascii="Century Gothic" w:hAnsi="Century Gothic"/>
          <w:b/>
          <w:bCs/>
          <w:color w:val="333399"/>
          <w:sz w:val="18"/>
        </w:rPr>
        <w:t xml:space="preserve"> UČILIŠTE           </w:t>
      </w:r>
      <w:r w:rsidRPr="00BE4EA7">
        <w:rPr>
          <w:rFonts w:ascii="Century Gothic" w:hAnsi="Century Gothic"/>
          <w:b/>
          <w:bCs/>
          <w:color w:val="333399"/>
          <w:sz w:val="18"/>
        </w:rPr>
        <w:tab/>
      </w:r>
      <w:r w:rsidRPr="00BE4EA7">
        <w:rPr>
          <w:rFonts w:ascii="Century Gothic" w:hAnsi="Century Gothic"/>
          <w:b/>
          <w:bCs/>
          <w:color w:val="333399"/>
          <w:sz w:val="18"/>
        </w:rPr>
        <w:tab/>
      </w:r>
      <w:r w:rsidRPr="00BE4EA7">
        <w:rPr>
          <w:rFonts w:ascii="Century Gothic" w:hAnsi="Century Gothic"/>
          <w:b/>
          <w:bCs/>
          <w:color w:val="333399"/>
          <w:sz w:val="18"/>
        </w:rPr>
        <w:tab/>
      </w:r>
      <w:r w:rsidRPr="00BE4EA7">
        <w:rPr>
          <w:rFonts w:ascii="Century Gothic" w:hAnsi="Century Gothic"/>
          <w:color w:val="333399"/>
          <w:sz w:val="18"/>
        </w:rPr>
        <w:t xml:space="preserve">                       </w:t>
      </w:r>
      <w:r w:rsidR="003B7906" w:rsidRPr="00BE4EA7">
        <w:rPr>
          <w:rFonts w:ascii="Century Gothic" w:hAnsi="Century Gothic"/>
          <w:color w:val="333399"/>
          <w:sz w:val="18"/>
        </w:rPr>
        <w:t xml:space="preserve"> </w:t>
      </w:r>
      <w:r w:rsidR="005B62F9" w:rsidRPr="00BE4EA7">
        <w:rPr>
          <w:rFonts w:ascii="Century Gothic" w:hAnsi="Century Gothic"/>
          <w:color w:val="333399"/>
          <w:sz w:val="18"/>
        </w:rPr>
        <w:t xml:space="preserve"> </w:t>
      </w:r>
      <w:r w:rsidR="00305B71" w:rsidRPr="00BE4EA7">
        <w:rPr>
          <w:rFonts w:ascii="Century Gothic" w:hAnsi="Century Gothic"/>
          <w:color w:val="333399"/>
          <w:sz w:val="18"/>
          <w:szCs w:val="18"/>
        </w:rPr>
        <w:t>KLASA:</w:t>
      </w:r>
      <w:r w:rsidR="00644CD2" w:rsidRPr="00BE4EA7">
        <w:rPr>
          <w:rFonts w:ascii="Century Gothic" w:hAnsi="Century Gothic"/>
          <w:color w:val="333399"/>
          <w:sz w:val="18"/>
          <w:szCs w:val="18"/>
        </w:rPr>
        <w:t xml:space="preserve"> </w:t>
      </w:r>
      <w:r w:rsidR="00921195">
        <w:rPr>
          <w:rFonts w:ascii="Century Gothic" w:hAnsi="Century Gothic"/>
          <w:color w:val="333399"/>
          <w:sz w:val="18"/>
          <w:szCs w:val="18"/>
        </w:rPr>
        <w:t>007-03/25-02/3</w:t>
      </w:r>
    </w:p>
    <w:p w14:paraId="7D3C2FD5" w14:textId="706C9E99" w:rsidR="00072311" w:rsidRPr="00BE4EA7" w:rsidRDefault="00072311">
      <w:pPr>
        <w:rPr>
          <w:rFonts w:ascii="Century Gothic" w:hAnsi="Century Gothic"/>
          <w:b/>
          <w:bCs/>
          <w:color w:val="333399"/>
          <w:sz w:val="20"/>
        </w:rPr>
      </w:pPr>
      <w:r w:rsidRPr="00BE4EA7">
        <w:rPr>
          <w:rFonts w:ascii="Century Gothic" w:hAnsi="Century Gothic"/>
          <w:b/>
          <w:bCs/>
          <w:color w:val="333399"/>
          <w:sz w:val="18"/>
        </w:rPr>
        <w:t xml:space="preserve">                                K O P R I V N I C A</w:t>
      </w:r>
      <w:r w:rsidRPr="00BE4EA7">
        <w:rPr>
          <w:rFonts w:ascii="Century Gothic" w:hAnsi="Century Gothic"/>
          <w:b/>
          <w:bCs/>
          <w:color w:val="333399"/>
          <w:sz w:val="20"/>
        </w:rPr>
        <w:t xml:space="preserve">                               </w:t>
      </w:r>
      <w:r w:rsidRPr="00BE4EA7">
        <w:rPr>
          <w:rFonts w:ascii="Century Gothic" w:hAnsi="Century Gothic"/>
          <w:b/>
          <w:bCs/>
          <w:color w:val="333399"/>
          <w:sz w:val="20"/>
        </w:rPr>
        <w:tab/>
      </w:r>
      <w:r w:rsidRPr="00BE4EA7">
        <w:rPr>
          <w:rFonts w:ascii="Century Gothic" w:hAnsi="Century Gothic"/>
          <w:b/>
          <w:bCs/>
          <w:color w:val="333399"/>
          <w:sz w:val="20"/>
        </w:rPr>
        <w:tab/>
      </w:r>
      <w:r w:rsidRPr="00BE4EA7">
        <w:rPr>
          <w:rFonts w:ascii="Century Gothic" w:hAnsi="Century Gothic"/>
          <w:b/>
          <w:bCs/>
          <w:color w:val="333399"/>
          <w:sz w:val="20"/>
        </w:rPr>
        <w:tab/>
      </w:r>
      <w:r w:rsidRPr="00BE4EA7">
        <w:rPr>
          <w:rFonts w:ascii="Century Gothic" w:hAnsi="Century Gothic"/>
          <w:color w:val="333399"/>
          <w:sz w:val="20"/>
        </w:rPr>
        <w:t xml:space="preserve"> </w:t>
      </w:r>
      <w:r w:rsidR="00931115" w:rsidRPr="00BE4EA7">
        <w:rPr>
          <w:rFonts w:ascii="Century Gothic" w:hAnsi="Century Gothic"/>
          <w:color w:val="333399"/>
          <w:sz w:val="20"/>
        </w:rPr>
        <w:t xml:space="preserve">      </w:t>
      </w:r>
      <w:r w:rsidR="003B7906" w:rsidRPr="00BE4EA7">
        <w:rPr>
          <w:rFonts w:ascii="Century Gothic" w:hAnsi="Century Gothic"/>
          <w:color w:val="333399"/>
          <w:sz w:val="20"/>
        </w:rPr>
        <w:t xml:space="preserve"> </w:t>
      </w:r>
      <w:r w:rsidR="00931115" w:rsidRPr="00BE4EA7">
        <w:rPr>
          <w:rFonts w:ascii="Century Gothic" w:hAnsi="Century Gothic"/>
          <w:color w:val="333399"/>
          <w:sz w:val="20"/>
        </w:rPr>
        <w:t xml:space="preserve"> </w:t>
      </w:r>
      <w:r w:rsidR="00305B71" w:rsidRPr="00BE4EA7">
        <w:rPr>
          <w:rFonts w:ascii="Century Gothic" w:hAnsi="Century Gothic"/>
          <w:color w:val="333399"/>
          <w:sz w:val="18"/>
          <w:szCs w:val="18"/>
        </w:rPr>
        <w:t>URBROJ:</w:t>
      </w:r>
      <w:r w:rsidR="009149FD" w:rsidRPr="00BE4EA7">
        <w:rPr>
          <w:rFonts w:ascii="Century Gothic" w:hAnsi="Century Gothic"/>
          <w:color w:val="333399"/>
          <w:sz w:val="18"/>
          <w:szCs w:val="18"/>
        </w:rPr>
        <w:t xml:space="preserve"> </w:t>
      </w:r>
      <w:r w:rsidR="00AC235E" w:rsidRPr="00BE4EA7">
        <w:rPr>
          <w:rFonts w:ascii="Century Gothic" w:hAnsi="Century Gothic"/>
          <w:color w:val="333399"/>
          <w:sz w:val="18"/>
          <w:szCs w:val="18"/>
        </w:rPr>
        <w:t>2</w:t>
      </w:r>
      <w:r w:rsidR="0041273E" w:rsidRPr="00BE4EA7">
        <w:rPr>
          <w:rFonts w:ascii="Century Gothic" w:hAnsi="Century Gothic"/>
          <w:color w:val="333399"/>
          <w:sz w:val="18"/>
          <w:szCs w:val="18"/>
        </w:rPr>
        <w:t>137-80</w:t>
      </w:r>
      <w:r w:rsidR="00AC235E" w:rsidRPr="00BE4EA7">
        <w:rPr>
          <w:rFonts w:ascii="Century Gothic" w:hAnsi="Century Gothic"/>
          <w:color w:val="333399"/>
          <w:sz w:val="18"/>
          <w:szCs w:val="18"/>
        </w:rPr>
        <w:t>-</w:t>
      </w:r>
      <w:r w:rsidR="00AF2857" w:rsidRPr="00BE4EA7">
        <w:rPr>
          <w:rFonts w:ascii="Century Gothic" w:hAnsi="Century Gothic"/>
          <w:color w:val="333399"/>
          <w:sz w:val="18"/>
          <w:szCs w:val="18"/>
        </w:rPr>
        <w:t>2</w:t>
      </w:r>
      <w:r w:rsidR="009B5070">
        <w:rPr>
          <w:rFonts w:ascii="Century Gothic" w:hAnsi="Century Gothic"/>
          <w:color w:val="333399"/>
          <w:sz w:val="18"/>
          <w:szCs w:val="18"/>
        </w:rPr>
        <w:t>5-</w:t>
      </w:r>
      <w:r w:rsidR="00921195">
        <w:rPr>
          <w:rFonts w:ascii="Century Gothic" w:hAnsi="Century Gothic"/>
          <w:color w:val="333399"/>
          <w:sz w:val="18"/>
          <w:szCs w:val="18"/>
        </w:rPr>
        <w:t>1</w:t>
      </w:r>
    </w:p>
    <w:p w14:paraId="0903F645" w14:textId="4FCF3E50" w:rsidR="00072311" w:rsidRPr="00BE4EA7" w:rsidRDefault="00072311">
      <w:pPr>
        <w:rPr>
          <w:rFonts w:ascii="Century Gothic" w:hAnsi="Century Gothic"/>
          <w:color w:val="333399"/>
          <w:sz w:val="16"/>
        </w:rPr>
      </w:pPr>
      <w:r w:rsidRPr="00BE4EA7">
        <w:rPr>
          <w:rFonts w:ascii="Century Gothic" w:hAnsi="Century Gothic"/>
          <w:color w:val="333399"/>
          <w:sz w:val="20"/>
        </w:rPr>
        <w:t xml:space="preserve">                      </w:t>
      </w:r>
      <w:r w:rsidRPr="00BE4EA7">
        <w:rPr>
          <w:rFonts w:ascii="Century Gothic" w:hAnsi="Century Gothic"/>
          <w:color w:val="333399"/>
          <w:sz w:val="16"/>
        </w:rPr>
        <w:t>48000 Koprivnica, Starogradska 1</w:t>
      </w:r>
      <w:r w:rsidR="00305B71" w:rsidRPr="00BE4EA7">
        <w:rPr>
          <w:rFonts w:ascii="Century Gothic" w:hAnsi="Century Gothic"/>
          <w:color w:val="333399"/>
          <w:sz w:val="16"/>
        </w:rPr>
        <w:t xml:space="preserve">                                                                      </w:t>
      </w:r>
      <w:r w:rsidR="003B7906" w:rsidRPr="00BE4EA7">
        <w:rPr>
          <w:rFonts w:ascii="Century Gothic" w:hAnsi="Century Gothic"/>
          <w:color w:val="333399"/>
          <w:sz w:val="16"/>
        </w:rPr>
        <w:t xml:space="preserve"> </w:t>
      </w:r>
      <w:r w:rsidR="000253E8" w:rsidRPr="00BE4EA7">
        <w:rPr>
          <w:rFonts w:ascii="Century Gothic" w:hAnsi="Century Gothic"/>
          <w:color w:val="333399"/>
          <w:sz w:val="16"/>
        </w:rPr>
        <w:t xml:space="preserve"> </w:t>
      </w:r>
      <w:r w:rsidR="00305B71" w:rsidRPr="00BE4EA7">
        <w:rPr>
          <w:rFonts w:ascii="Century Gothic" w:hAnsi="Century Gothic"/>
          <w:color w:val="333399"/>
          <w:sz w:val="16"/>
        </w:rPr>
        <w:t>Koprivnica,</w:t>
      </w:r>
      <w:r w:rsidR="009D7F2E">
        <w:rPr>
          <w:rFonts w:ascii="Century Gothic" w:hAnsi="Century Gothic"/>
          <w:color w:val="333399"/>
          <w:sz w:val="16"/>
        </w:rPr>
        <w:t xml:space="preserve"> </w:t>
      </w:r>
      <w:r w:rsidR="00F80331">
        <w:rPr>
          <w:rFonts w:ascii="Century Gothic" w:hAnsi="Century Gothic"/>
          <w:color w:val="333399"/>
          <w:sz w:val="16"/>
        </w:rPr>
        <w:t>17</w:t>
      </w:r>
      <w:r w:rsidR="00C53547">
        <w:rPr>
          <w:rFonts w:ascii="Century Gothic" w:hAnsi="Century Gothic"/>
          <w:color w:val="333399"/>
          <w:sz w:val="16"/>
        </w:rPr>
        <w:t>.</w:t>
      </w:r>
      <w:r w:rsidR="00921195">
        <w:rPr>
          <w:rFonts w:ascii="Century Gothic" w:hAnsi="Century Gothic"/>
          <w:color w:val="333399"/>
          <w:sz w:val="16"/>
        </w:rPr>
        <w:t xml:space="preserve"> ožujka </w:t>
      </w:r>
      <w:r w:rsidR="00D02F04" w:rsidRPr="00BE4EA7">
        <w:rPr>
          <w:rFonts w:ascii="Century Gothic" w:hAnsi="Century Gothic"/>
          <w:color w:val="333399"/>
          <w:sz w:val="16"/>
        </w:rPr>
        <w:t>202</w:t>
      </w:r>
      <w:r w:rsidR="00F80331">
        <w:rPr>
          <w:rFonts w:ascii="Century Gothic" w:hAnsi="Century Gothic"/>
          <w:color w:val="333399"/>
          <w:sz w:val="16"/>
        </w:rPr>
        <w:t>5</w:t>
      </w:r>
      <w:r w:rsidR="00D02F04" w:rsidRPr="00BE4EA7">
        <w:rPr>
          <w:rFonts w:ascii="Century Gothic" w:hAnsi="Century Gothic"/>
          <w:color w:val="333399"/>
          <w:sz w:val="16"/>
        </w:rPr>
        <w:t>.</w:t>
      </w:r>
    </w:p>
    <w:p w14:paraId="780B5A27" w14:textId="05FA4654" w:rsidR="00072311" w:rsidRPr="00BE4EA7" w:rsidRDefault="00072311">
      <w:pPr>
        <w:rPr>
          <w:rFonts w:ascii="Century Gothic" w:hAnsi="Century Gothic"/>
          <w:color w:val="333399"/>
          <w:sz w:val="16"/>
        </w:rPr>
      </w:pPr>
      <w:r w:rsidRPr="00BE4EA7">
        <w:rPr>
          <w:rFonts w:ascii="Century Gothic" w:hAnsi="Century Gothic"/>
          <w:b/>
          <w:bCs/>
          <w:color w:val="333399"/>
          <w:sz w:val="16"/>
        </w:rPr>
        <w:t xml:space="preserve">_______________________________________________________________________________________________________________________________                                    </w:t>
      </w:r>
      <w:r w:rsidR="00BE5A80" w:rsidRPr="00BE4EA7">
        <w:rPr>
          <w:rFonts w:ascii="Century Gothic" w:hAnsi="Century Gothic"/>
          <w:color w:val="333399"/>
          <w:sz w:val="16"/>
        </w:rPr>
        <w:t xml:space="preserve"> Tel. +385 (0) 48 621-</w:t>
      </w:r>
      <w:r w:rsidR="00921195">
        <w:rPr>
          <w:rFonts w:ascii="Century Gothic" w:hAnsi="Century Gothic"/>
          <w:color w:val="333399"/>
          <w:sz w:val="16"/>
          <w:szCs w:val="16"/>
        </w:rPr>
        <w:t>106</w:t>
      </w:r>
      <w:r w:rsidR="00803E66" w:rsidRPr="00BD3409">
        <w:rPr>
          <w:rFonts w:ascii="Century Gothic" w:hAnsi="Century Gothic"/>
          <w:color w:val="333399"/>
          <w:sz w:val="16"/>
          <w:szCs w:val="16"/>
        </w:rPr>
        <w:t xml:space="preserve">          </w:t>
      </w:r>
      <w:r w:rsidRPr="00BD3409">
        <w:rPr>
          <w:rFonts w:ascii="Century Gothic" w:hAnsi="Century Gothic"/>
          <w:color w:val="333399"/>
          <w:sz w:val="16"/>
          <w:szCs w:val="16"/>
        </w:rPr>
        <w:t xml:space="preserve">     E-mail: </w:t>
      </w:r>
      <w:hyperlink r:id="rId12" w:history="1">
        <w:r w:rsidRPr="00BD3409">
          <w:rPr>
            <w:rFonts w:ascii="Century Gothic" w:hAnsi="Century Gothic"/>
            <w:color w:val="333399"/>
            <w:sz w:val="16"/>
            <w:szCs w:val="16"/>
          </w:rPr>
          <w:t>info@pou-kop.hr</w:t>
        </w:r>
      </w:hyperlink>
      <w:r w:rsidR="006A04BB" w:rsidRPr="00BD3409">
        <w:rPr>
          <w:rFonts w:ascii="Century Gothic" w:hAnsi="Century Gothic"/>
          <w:color w:val="333399"/>
          <w:sz w:val="16"/>
          <w:szCs w:val="16"/>
        </w:rPr>
        <w:t xml:space="preserve">     </w:t>
      </w:r>
      <w:r w:rsidR="00803E66" w:rsidRPr="00BD3409">
        <w:rPr>
          <w:rFonts w:ascii="Century Gothic" w:hAnsi="Century Gothic"/>
          <w:color w:val="333399"/>
          <w:sz w:val="16"/>
          <w:szCs w:val="16"/>
        </w:rPr>
        <w:t xml:space="preserve">            </w:t>
      </w:r>
      <w:hyperlink r:id="rId13" w:history="1">
        <w:r w:rsidRPr="00BD3409">
          <w:rPr>
            <w:rFonts w:ascii="Century Gothic" w:hAnsi="Century Gothic"/>
            <w:color w:val="333399"/>
            <w:sz w:val="16"/>
            <w:szCs w:val="16"/>
          </w:rPr>
          <w:t>www.pou-kop.hr</w:t>
        </w:r>
      </w:hyperlink>
      <w:r w:rsidRPr="00BE4EA7">
        <w:rPr>
          <w:rFonts w:ascii="Century Gothic" w:hAnsi="Century Gothic"/>
          <w:color w:val="333399"/>
          <w:sz w:val="16"/>
        </w:rPr>
        <w:t xml:space="preserve">     </w:t>
      </w:r>
      <w:r w:rsidR="00803E66">
        <w:rPr>
          <w:rFonts w:ascii="Century Gothic" w:hAnsi="Century Gothic"/>
          <w:color w:val="333399"/>
          <w:sz w:val="16"/>
        </w:rPr>
        <w:t xml:space="preserve">            </w:t>
      </w:r>
      <w:r w:rsidRPr="00BE4EA7">
        <w:rPr>
          <w:rFonts w:ascii="Century Gothic" w:hAnsi="Century Gothic"/>
          <w:color w:val="333399"/>
          <w:sz w:val="16"/>
        </w:rPr>
        <w:t>M</w:t>
      </w:r>
      <w:r w:rsidR="00D353F6" w:rsidRPr="00BE4EA7">
        <w:rPr>
          <w:rFonts w:ascii="Century Gothic" w:hAnsi="Century Gothic"/>
          <w:color w:val="333399"/>
          <w:sz w:val="16"/>
        </w:rPr>
        <w:t>B</w:t>
      </w:r>
      <w:r w:rsidR="006A04BB" w:rsidRPr="00BE4EA7">
        <w:rPr>
          <w:rFonts w:ascii="Century Gothic" w:hAnsi="Century Gothic"/>
          <w:color w:val="333399"/>
          <w:sz w:val="16"/>
        </w:rPr>
        <w:t>:</w:t>
      </w:r>
      <w:r w:rsidRPr="00BE4EA7">
        <w:rPr>
          <w:rFonts w:ascii="Century Gothic" w:hAnsi="Century Gothic"/>
          <w:color w:val="333399"/>
          <w:sz w:val="16"/>
        </w:rPr>
        <w:t xml:space="preserve"> 3009688</w:t>
      </w:r>
      <w:r w:rsidR="006A04BB" w:rsidRPr="00BE4EA7">
        <w:rPr>
          <w:rFonts w:ascii="Century Gothic" w:hAnsi="Century Gothic"/>
          <w:color w:val="333399"/>
          <w:sz w:val="16"/>
        </w:rPr>
        <w:t xml:space="preserve">     </w:t>
      </w:r>
      <w:r w:rsidR="00803E66">
        <w:rPr>
          <w:rFonts w:ascii="Century Gothic" w:hAnsi="Century Gothic"/>
          <w:color w:val="333399"/>
          <w:sz w:val="16"/>
        </w:rPr>
        <w:t xml:space="preserve">            </w:t>
      </w:r>
      <w:r w:rsidR="006A04BB" w:rsidRPr="00BE4EA7">
        <w:rPr>
          <w:rFonts w:ascii="Century Gothic" w:hAnsi="Century Gothic"/>
          <w:color w:val="333399"/>
          <w:sz w:val="16"/>
        </w:rPr>
        <w:t>OIB: 86739035476</w:t>
      </w:r>
    </w:p>
    <w:p w14:paraId="668E86FF" w14:textId="794EA688" w:rsidR="00072311" w:rsidRPr="00BE4EA7" w:rsidRDefault="00072311">
      <w:pPr>
        <w:rPr>
          <w:rFonts w:ascii="Arial Narrow" w:hAnsi="Arial Narrow"/>
          <w:color w:val="000080"/>
        </w:rPr>
      </w:pPr>
    </w:p>
    <w:p w14:paraId="7B7FE21C" w14:textId="7B7DBA86" w:rsidR="00CB1EBE" w:rsidRPr="00BE4EA7" w:rsidRDefault="00343D46" w:rsidP="00C26B38">
      <w:pPr>
        <w:spacing w:line="276" w:lineRule="auto"/>
        <w:jc w:val="center"/>
        <w:rPr>
          <w:b/>
          <w:sz w:val="22"/>
          <w:szCs w:val="22"/>
        </w:rPr>
      </w:pPr>
      <w:r w:rsidRPr="00BE4EA7">
        <w:rPr>
          <w:rFonts w:ascii="Arial" w:hAnsi="Arial" w:cs="Arial"/>
        </w:rPr>
        <w:tab/>
      </w:r>
      <w:r w:rsidR="00AF69EE" w:rsidRPr="00AF69EE">
        <w:rPr>
          <w:b/>
          <w:bCs/>
          <w:sz w:val="22"/>
          <w:szCs w:val="22"/>
        </w:rPr>
        <w:t>PRIJEDLOG</w:t>
      </w:r>
      <w:r w:rsidR="00AF69EE" w:rsidRPr="00AF69EE">
        <w:rPr>
          <w:rFonts w:ascii="Arial" w:hAnsi="Arial" w:cs="Arial"/>
          <w:b/>
          <w:bCs/>
        </w:rPr>
        <w:t xml:space="preserve"> </w:t>
      </w:r>
      <w:r w:rsidR="005B0A0B" w:rsidRPr="00BE4EA7">
        <w:rPr>
          <w:b/>
          <w:sz w:val="22"/>
          <w:szCs w:val="22"/>
        </w:rPr>
        <w:t>O</w:t>
      </w:r>
      <w:r w:rsidR="00CB1EBE" w:rsidRPr="00BE4EA7">
        <w:rPr>
          <w:b/>
          <w:sz w:val="22"/>
          <w:szCs w:val="22"/>
        </w:rPr>
        <w:t>BRAZLOŽENJ</w:t>
      </w:r>
      <w:r w:rsidR="00C53547">
        <w:rPr>
          <w:b/>
          <w:sz w:val="22"/>
          <w:szCs w:val="22"/>
        </w:rPr>
        <w:t>A</w:t>
      </w:r>
      <w:r w:rsidR="00CB1EBE" w:rsidRPr="00BE4EA7">
        <w:rPr>
          <w:b/>
          <w:sz w:val="22"/>
          <w:szCs w:val="22"/>
        </w:rPr>
        <w:t xml:space="preserve"> IZVRŠENJA FINANCIJSKOG PLANA ZA PUČKO OTVORENO UČILIŠTE KOPRIVNICA ZA RAZDOBLJE 01.01.</w:t>
      </w:r>
      <w:r w:rsidR="002E717B" w:rsidRPr="00BE4EA7">
        <w:rPr>
          <w:b/>
          <w:sz w:val="22"/>
          <w:szCs w:val="22"/>
        </w:rPr>
        <w:t>202</w:t>
      </w:r>
      <w:r w:rsidR="00053377">
        <w:rPr>
          <w:b/>
          <w:sz w:val="22"/>
          <w:szCs w:val="22"/>
        </w:rPr>
        <w:t>4</w:t>
      </w:r>
      <w:r w:rsidR="002E717B" w:rsidRPr="00BE4EA7">
        <w:rPr>
          <w:b/>
          <w:sz w:val="22"/>
          <w:szCs w:val="22"/>
        </w:rPr>
        <w:t>.</w:t>
      </w:r>
      <w:r w:rsidR="00CB1EBE" w:rsidRPr="00BE4EA7">
        <w:rPr>
          <w:b/>
          <w:sz w:val="22"/>
          <w:szCs w:val="22"/>
        </w:rPr>
        <w:t>-3</w:t>
      </w:r>
      <w:r w:rsidR="00850CE6" w:rsidRPr="00BE4EA7">
        <w:rPr>
          <w:b/>
          <w:sz w:val="22"/>
          <w:szCs w:val="22"/>
        </w:rPr>
        <w:t>1</w:t>
      </w:r>
      <w:r w:rsidR="00CB1EBE" w:rsidRPr="00BE4EA7">
        <w:rPr>
          <w:b/>
          <w:sz w:val="22"/>
          <w:szCs w:val="22"/>
        </w:rPr>
        <w:t>.</w:t>
      </w:r>
      <w:r w:rsidR="00850CE6" w:rsidRPr="00BE4EA7">
        <w:rPr>
          <w:b/>
          <w:sz w:val="22"/>
          <w:szCs w:val="22"/>
        </w:rPr>
        <w:t>12</w:t>
      </w:r>
      <w:r w:rsidR="00266E08" w:rsidRPr="00BE4EA7">
        <w:rPr>
          <w:b/>
          <w:sz w:val="22"/>
          <w:szCs w:val="22"/>
        </w:rPr>
        <w:t>.20</w:t>
      </w:r>
      <w:r w:rsidR="00E16A21" w:rsidRPr="00BE4EA7">
        <w:rPr>
          <w:b/>
          <w:sz w:val="22"/>
          <w:szCs w:val="22"/>
        </w:rPr>
        <w:t>2</w:t>
      </w:r>
      <w:r w:rsidR="00053377">
        <w:rPr>
          <w:b/>
          <w:sz w:val="22"/>
          <w:szCs w:val="22"/>
        </w:rPr>
        <w:t>4</w:t>
      </w:r>
      <w:r w:rsidR="00266E08" w:rsidRPr="00BE4EA7">
        <w:rPr>
          <w:b/>
          <w:sz w:val="22"/>
          <w:szCs w:val="22"/>
        </w:rPr>
        <w:t xml:space="preserve">. </w:t>
      </w:r>
    </w:p>
    <w:p w14:paraId="6B3FD2E9" w14:textId="77777777" w:rsidR="006A5378" w:rsidRPr="00BE4EA7" w:rsidRDefault="006A5378" w:rsidP="007379EE">
      <w:pPr>
        <w:tabs>
          <w:tab w:val="left" w:pos="3898"/>
        </w:tabs>
        <w:spacing w:line="276" w:lineRule="auto"/>
        <w:rPr>
          <w:sz w:val="22"/>
          <w:szCs w:val="22"/>
        </w:rPr>
      </w:pPr>
      <w:r w:rsidRPr="00BE4EA7">
        <w:rPr>
          <w:sz w:val="22"/>
          <w:szCs w:val="22"/>
        </w:rPr>
        <w:tab/>
      </w:r>
    </w:p>
    <w:p w14:paraId="0A8B30E1" w14:textId="6EDC0544" w:rsidR="006A5378" w:rsidRDefault="006A5378" w:rsidP="00BB067B">
      <w:pPr>
        <w:spacing w:line="276" w:lineRule="auto"/>
        <w:jc w:val="both"/>
        <w:rPr>
          <w:b/>
          <w:sz w:val="22"/>
          <w:szCs w:val="22"/>
        </w:rPr>
      </w:pPr>
      <w:r w:rsidRPr="00BE4EA7">
        <w:rPr>
          <w:b/>
          <w:sz w:val="22"/>
          <w:szCs w:val="22"/>
        </w:rPr>
        <w:t>Sažetak i djelokrug rada proračunskog korisnika</w:t>
      </w:r>
    </w:p>
    <w:p w14:paraId="733264C4" w14:textId="77777777" w:rsidR="000B04FE" w:rsidRPr="00BE4EA7" w:rsidRDefault="000B04FE" w:rsidP="00BB067B">
      <w:pPr>
        <w:spacing w:line="276" w:lineRule="auto"/>
        <w:jc w:val="both"/>
        <w:rPr>
          <w:b/>
          <w:sz w:val="22"/>
          <w:szCs w:val="22"/>
        </w:rPr>
      </w:pPr>
    </w:p>
    <w:p w14:paraId="534035B9" w14:textId="77777777" w:rsidR="007F0772" w:rsidRPr="007F0772" w:rsidRDefault="007F0772" w:rsidP="007F0772">
      <w:pPr>
        <w:spacing w:line="276" w:lineRule="auto"/>
        <w:jc w:val="both"/>
        <w:rPr>
          <w:b/>
          <w:sz w:val="22"/>
          <w:szCs w:val="22"/>
        </w:rPr>
      </w:pPr>
      <w:r w:rsidRPr="007F0772">
        <w:rPr>
          <w:b/>
          <w:sz w:val="22"/>
          <w:szCs w:val="22"/>
        </w:rPr>
        <w:t>Naziv obveznika: PUČKO OTVORENO UČILIŠTE KOPRIVNICA</w:t>
      </w:r>
    </w:p>
    <w:p w14:paraId="6159E906" w14:textId="77777777" w:rsidR="007F0772" w:rsidRPr="007F0772" w:rsidRDefault="007F0772" w:rsidP="007F0772">
      <w:pPr>
        <w:spacing w:line="276" w:lineRule="auto"/>
        <w:jc w:val="both"/>
        <w:rPr>
          <w:b/>
          <w:sz w:val="22"/>
          <w:szCs w:val="22"/>
        </w:rPr>
      </w:pPr>
      <w:r w:rsidRPr="007F0772">
        <w:rPr>
          <w:b/>
          <w:sz w:val="22"/>
          <w:szCs w:val="22"/>
        </w:rPr>
        <w:t>Broj RKP-a: 27974</w:t>
      </w:r>
    </w:p>
    <w:p w14:paraId="514D7DD2" w14:textId="77777777" w:rsidR="007F0772" w:rsidRPr="007F0772" w:rsidRDefault="007F0772" w:rsidP="007F0772">
      <w:pPr>
        <w:spacing w:line="276" w:lineRule="auto"/>
        <w:jc w:val="both"/>
        <w:rPr>
          <w:b/>
          <w:sz w:val="22"/>
          <w:szCs w:val="22"/>
        </w:rPr>
      </w:pPr>
      <w:r w:rsidRPr="007F0772">
        <w:rPr>
          <w:b/>
          <w:sz w:val="22"/>
          <w:szCs w:val="22"/>
        </w:rPr>
        <w:t>Sjedište obveznika: KOPRIVNICA</w:t>
      </w:r>
    </w:p>
    <w:p w14:paraId="24E0B7AF" w14:textId="77777777" w:rsidR="007F0772" w:rsidRPr="007F0772" w:rsidRDefault="007F0772" w:rsidP="007F0772">
      <w:pPr>
        <w:spacing w:line="276" w:lineRule="auto"/>
        <w:jc w:val="both"/>
        <w:rPr>
          <w:b/>
          <w:sz w:val="22"/>
          <w:szCs w:val="22"/>
        </w:rPr>
      </w:pPr>
      <w:r w:rsidRPr="007F0772">
        <w:rPr>
          <w:b/>
          <w:sz w:val="22"/>
          <w:szCs w:val="22"/>
        </w:rPr>
        <w:t xml:space="preserve">Matični broj: 03009688 </w:t>
      </w:r>
    </w:p>
    <w:p w14:paraId="5BF3789C" w14:textId="77777777" w:rsidR="007F0772" w:rsidRPr="007F0772" w:rsidRDefault="007F0772" w:rsidP="007F0772">
      <w:pPr>
        <w:spacing w:line="276" w:lineRule="auto"/>
        <w:jc w:val="both"/>
        <w:rPr>
          <w:b/>
          <w:sz w:val="22"/>
          <w:szCs w:val="22"/>
        </w:rPr>
      </w:pPr>
      <w:r w:rsidRPr="007F0772">
        <w:rPr>
          <w:b/>
          <w:sz w:val="22"/>
          <w:szCs w:val="22"/>
        </w:rPr>
        <w:t>Adresa sjedišta obveznika: STAROGRADSKA 1, 48000 KOPRIVNICA</w:t>
      </w:r>
    </w:p>
    <w:p w14:paraId="2666CFD1" w14:textId="77777777" w:rsidR="007F0772" w:rsidRPr="007F0772" w:rsidRDefault="007F0772" w:rsidP="007F0772">
      <w:pPr>
        <w:spacing w:line="276" w:lineRule="auto"/>
        <w:jc w:val="both"/>
        <w:rPr>
          <w:b/>
          <w:sz w:val="22"/>
          <w:szCs w:val="22"/>
        </w:rPr>
      </w:pPr>
      <w:r w:rsidRPr="007F0772">
        <w:rPr>
          <w:b/>
          <w:sz w:val="22"/>
          <w:szCs w:val="22"/>
        </w:rPr>
        <w:t>OIB: 86739035476</w:t>
      </w:r>
    </w:p>
    <w:p w14:paraId="513F41EB" w14:textId="77777777" w:rsidR="007F0772" w:rsidRPr="007F0772" w:rsidRDefault="007F0772" w:rsidP="007F0772">
      <w:pPr>
        <w:spacing w:line="276" w:lineRule="auto"/>
        <w:jc w:val="both"/>
        <w:rPr>
          <w:b/>
          <w:sz w:val="22"/>
          <w:szCs w:val="22"/>
        </w:rPr>
      </w:pPr>
      <w:r w:rsidRPr="007F0772">
        <w:rPr>
          <w:b/>
          <w:sz w:val="22"/>
          <w:szCs w:val="22"/>
        </w:rPr>
        <w:t>Razina: 21</w:t>
      </w:r>
    </w:p>
    <w:p w14:paraId="02D0A8AB" w14:textId="77777777" w:rsidR="007F0772" w:rsidRPr="007F0772" w:rsidRDefault="007F0772" w:rsidP="007F0772">
      <w:pPr>
        <w:spacing w:line="276" w:lineRule="auto"/>
        <w:jc w:val="both"/>
        <w:rPr>
          <w:b/>
          <w:sz w:val="22"/>
          <w:szCs w:val="22"/>
        </w:rPr>
      </w:pPr>
      <w:r w:rsidRPr="007F0772">
        <w:rPr>
          <w:b/>
          <w:sz w:val="22"/>
          <w:szCs w:val="22"/>
        </w:rPr>
        <w:t>Razdjel: 000</w:t>
      </w:r>
    </w:p>
    <w:p w14:paraId="19E368DD" w14:textId="77777777" w:rsidR="007F0772" w:rsidRPr="007F0772" w:rsidRDefault="007F0772" w:rsidP="007F0772">
      <w:pPr>
        <w:spacing w:line="276" w:lineRule="auto"/>
        <w:jc w:val="both"/>
        <w:rPr>
          <w:b/>
          <w:sz w:val="22"/>
          <w:szCs w:val="22"/>
        </w:rPr>
      </w:pPr>
      <w:r w:rsidRPr="007F0772">
        <w:rPr>
          <w:b/>
          <w:sz w:val="22"/>
          <w:szCs w:val="22"/>
        </w:rPr>
        <w:t>Šifra djelatnosti: 8559</w:t>
      </w:r>
    </w:p>
    <w:p w14:paraId="443A975E" w14:textId="77777777" w:rsidR="007F0772" w:rsidRPr="007F0772" w:rsidRDefault="007F0772" w:rsidP="007F0772">
      <w:pPr>
        <w:spacing w:line="276" w:lineRule="auto"/>
        <w:jc w:val="both"/>
        <w:rPr>
          <w:b/>
          <w:sz w:val="22"/>
          <w:szCs w:val="22"/>
        </w:rPr>
      </w:pPr>
      <w:r w:rsidRPr="007F0772">
        <w:rPr>
          <w:b/>
          <w:sz w:val="22"/>
          <w:szCs w:val="22"/>
        </w:rPr>
        <w:t>Šifra županije: VI</w:t>
      </w:r>
    </w:p>
    <w:p w14:paraId="16CDBAA8" w14:textId="77777777" w:rsidR="007F0772" w:rsidRPr="007F0772" w:rsidRDefault="007F0772" w:rsidP="007F0772">
      <w:pPr>
        <w:spacing w:line="276" w:lineRule="auto"/>
        <w:jc w:val="both"/>
        <w:rPr>
          <w:b/>
          <w:sz w:val="22"/>
          <w:szCs w:val="22"/>
        </w:rPr>
      </w:pPr>
      <w:r w:rsidRPr="007F0772">
        <w:rPr>
          <w:b/>
          <w:sz w:val="22"/>
          <w:szCs w:val="22"/>
        </w:rPr>
        <w:t xml:space="preserve">Šifra grada: 201 </w:t>
      </w:r>
    </w:p>
    <w:p w14:paraId="09C2E1B1" w14:textId="77777777" w:rsidR="000D44A1" w:rsidRPr="00BE4EA7" w:rsidRDefault="000D44A1" w:rsidP="00BB067B">
      <w:pPr>
        <w:spacing w:line="276" w:lineRule="auto"/>
        <w:jc w:val="both"/>
        <w:rPr>
          <w:b/>
          <w:sz w:val="22"/>
          <w:szCs w:val="22"/>
        </w:rPr>
      </w:pPr>
    </w:p>
    <w:p w14:paraId="6BB0938F" w14:textId="1B2A3FA7" w:rsidR="00385756" w:rsidRPr="00385756" w:rsidRDefault="00385756" w:rsidP="00385756">
      <w:pPr>
        <w:spacing w:line="276" w:lineRule="auto"/>
        <w:jc w:val="both"/>
        <w:rPr>
          <w:color w:val="000000"/>
          <w:sz w:val="22"/>
          <w:szCs w:val="22"/>
        </w:rPr>
      </w:pPr>
      <w:bookmarkStart w:id="0" w:name="_Hlk36447156"/>
      <w:r w:rsidRPr="00385756">
        <w:rPr>
          <w:color w:val="000000"/>
          <w:sz w:val="22"/>
          <w:szCs w:val="22"/>
        </w:rPr>
        <w:t xml:space="preserve">Pučko otvoreno učilište Koprivnica je kulturna, prosvjetna, informativna i uslužna javna ustanova u kulturi koja obavlja svoju djelatnost u skladu sa Statutom Pučkog otvorenog učilišta Koprivnica </w:t>
      </w:r>
      <w:bookmarkStart w:id="1" w:name="_Hlk131063640"/>
      <w:r w:rsidR="00347D1A" w:rsidRPr="00347D1A">
        <w:rPr>
          <w:bCs/>
          <w:color w:val="000000"/>
          <w:sz w:val="22"/>
          <w:szCs w:val="22"/>
        </w:rPr>
        <w:t xml:space="preserve">(KLASA: </w:t>
      </w:r>
      <w:r w:rsidR="0010487F">
        <w:rPr>
          <w:bCs/>
          <w:color w:val="000000"/>
          <w:sz w:val="22"/>
          <w:szCs w:val="22"/>
        </w:rPr>
        <w:t>002-03/24-01/1</w:t>
      </w:r>
      <w:r w:rsidR="00347D1A" w:rsidRPr="00347D1A">
        <w:rPr>
          <w:bCs/>
          <w:color w:val="000000"/>
          <w:sz w:val="22"/>
          <w:szCs w:val="22"/>
        </w:rPr>
        <w:t>, URBROJ: 2137-80-</w:t>
      </w:r>
      <w:r w:rsidR="0001062A">
        <w:rPr>
          <w:bCs/>
          <w:color w:val="000000"/>
          <w:sz w:val="22"/>
          <w:szCs w:val="22"/>
        </w:rPr>
        <w:t>24-1</w:t>
      </w:r>
      <w:r w:rsidR="00347D1A" w:rsidRPr="00347D1A">
        <w:rPr>
          <w:bCs/>
          <w:color w:val="000000"/>
          <w:sz w:val="22"/>
          <w:szCs w:val="22"/>
        </w:rPr>
        <w:t>, od 2</w:t>
      </w:r>
      <w:r w:rsidR="0001062A">
        <w:rPr>
          <w:bCs/>
          <w:color w:val="000000"/>
          <w:sz w:val="22"/>
          <w:szCs w:val="22"/>
        </w:rPr>
        <w:t>6</w:t>
      </w:r>
      <w:r w:rsidR="00347D1A" w:rsidRPr="00347D1A">
        <w:rPr>
          <w:bCs/>
          <w:color w:val="000000"/>
          <w:sz w:val="22"/>
          <w:szCs w:val="22"/>
        </w:rPr>
        <w:t>.0</w:t>
      </w:r>
      <w:r w:rsidR="0001062A">
        <w:rPr>
          <w:bCs/>
          <w:color w:val="000000"/>
          <w:sz w:val="22"/>
          <w:szCs w:val="22"/>
        </w:rPr>
        <w:t>6</w:t>
      </w:r>
      <w:r w:rsidR="00347D1A" w:rsidRPr="00347D1A">
        <w:rPr>
          <w:bCs/>
          <w:color w:val="000000"/>
          <w:sz w:val="22"/>
          <w:szCs w:val="22"/>
        </w:rPr>
        <w:t>.20</w:t>
      </w:r>
      <w:bookmarkEnd w:id="1"/>
      <w:r w:rsidR="0001062A">
        <w:rPr>
          <w:bCs/>
          <w:color w:val="000000"/>
          <w:sz w:val="22"/>
          <w:szCs w:val="22"/>
        </w:rPr>
        <w:t>24</w:t>
      </w:r>
      <w:r w:rsidR="00347D1A" w:rsidRPr="00347D1A">
        <w:rPr>
          <w:bCs/>
          <w:color w:val="000000"/>
          <w:sz w:val="22"/>
          <w:szCs w:val="22"/>
        </w:rPr>
        <w:t xml:space="preserve">. </w:t>
      </w:r>
      <w:r w:rsidRPr="00385756">
        <w:rPr>
          <w:color w:val="000000"/>
          <w:sz w:val="22"/>
          <w:szCs w:val="22"/>
        </w:rPr>
        <w:t xml:space="preserve">te planskim i programskim odrednicama usklađenim s planom Grada kao </w:t>
      </w:r>
      <w:r w:rsidR="00C53547">
        <w:rPr>
          <w:color w:val="000000"/>
          <w:sz w:val="22"/>
          <w:szCs w:val="22"/>
        </w:rPr>
        <w:t>O</w:t>
      </w:r>
      <w:r w:rsidRPr="00385756">
        <w:rPr>
          <w:color w:val="000000"/>
          <w:sz w:val="22"/>
          <w:szCs w:val="22"/>
        </w:rPr>
        <w:t xml:space="preserve">snivača. </w:t>
      </w:r>
    </w:p>
    <w:p w14:paraId="7019B694" w14:textId="77777777" w:rsidR="00385756" w:rsidRPr="00385756" w:rsidRDefault="00385756" w:rsidP="00385756">
      <w:pPr>
        <w:spacing w:line="276" w:lineRule="auto"/>
        <w:jc w:val="both"/>
        <w:rPr>
          <w:color w:val="000000"/>
          <w:sz w:val="22"/>
          <w:szCs w:val="22"/>
        </w:rPr>
      </w:pPr>
      <w:r w:rsidRPr="00385756">
        <w:rPr>
          <w:color w:val="000000"/>
          <w:sz w:val="22"/>
          <w:szCs w:val="22"/>
        </w:rPr>
        <w:t xml:space="preserve">Kao ustanova Učilište je osnovano na temelju Rješenja Narodnog odbora općine Koprivnica o osnivanju Narodnog sveučilišta u Koprivnici 12. prosinca 1961. godine. Rješenjem Trgovačkog suda u Bjelovaru od 28. studenog 1995. u sudski registar upisuje se naziv Otvoreno sveučilište Koprivnica, a Rješenjem od 19. travnja 1999. upisuje se naziv Pučko otvoreno učilište Koprivnica. </w:t>
      </w:r>
    </w:p>
    <w:bookmarkEnd w:id="0"/>
    <w:p w14:paraId="08D8907E" w14:textId="03AB92DF" w:rsidR="004C05DA" w:rsidRPr="004C05DA" w:rsidRDefault="004C05DA" w:rsidP="004C05DA">
      <w:pPr>
        <w:spacing w:line="276" w:lineRule="auto"/>
        <w:jc w:val="both"/>
        <w:rPr>
          <w:color w:val="000000"/>
          <w:sz w:val="22"/>
          <w:szCs w:val="22"/>
        </w:rPr>
      </w:pPr>
      <w:r w:rsidRPr="004C05DA">
        <w:rPr>
          <w:color w:val="000000"/>
          <w:sz w:val="22"/>
          <w:szCs w:val="22"/>
        </w:rPr>
        <w:t xml:space="preserve">POU Koprivnica djelatnost obavlja u skladu sa Zakonom o obrazovanju odraslih (NN 144/2021), Zakonom o pučkim otvorenim učilištima (NN 54/97, 5/98, 109/99, 139/10), Zakonom o ustanovama (NN 76/93, 29/97, 47/99, 35/08, 127/19, 151/22), </w:t>
      </w:r>
      <w:bookmarkStart w:id="2" w:name="_Hlk148969800"/>
      <w:r w:rsidRPr="004C05DA">
        <w:rPr>
          <w:color w:val="000000"/>
          <w:sz w:val="22"/>
          <w:szCs w:val="22"/>
        </w:rPr>
        <w:t>Zakonom o kulturnim vijećima i financiranju javnih potreba u kulturi (NN 83/22)</w:t>
      </w:r>
      <w:bookmarkEnd w:id="2"/>
      <w:r w:rsidRPr="004C05DA">
        <w:rPr>
          <w:color w:val="000000"/>
          <w:sz w:val="22"/>
          <w:szCs w:val="22"/>
        </w:rPr>
        <w:t>, Kolektivnim ugovorom za zaposlene u ustanovama kulture Grada Koprivnice od 30. siječnja 2023. g.</w:t>
      </w:r>
      <w:bookmarkStart w:id="3" w:name="_Hlk171340037"/>
      <w:r w:rsidRPr="004C05DA">
        <w:rPr>
          <w:color w:val="000000"/>
          <w:sz w:val="22"/>
          <w:szCs w:val="22"/>
        </w:rPr>
        <w:t>, I. Dodatkom Kolektivnom ugovoru za zaposlene u ustanovama kulture Grada Koprivnice od 29. rujna 2023. g</w:t>
      </w:r>
      <w:bookmarkStart w:id="4" w:name="_Hlk25668193"/>
      <w:bookmarkEnd w:id="3"/>
      <w:r w:rsidRPr="004C05DA">
        <w:rPr>
          <w:color w:val="000000"/>
          <w:sz w:val="22"/>
          <w:szCs w:val="22"/>
        </w:rPr>
        <w:t>. te II. Dodatkom Kolektivnom ugovoru za zaposlene u ustanovama kulture Grada Koprivnice od 22. ožujka 2024. g.,</w:t>
      </w:r>
      <w:bookmarkEnd w:id="4"/>
      <w:r w:rsidRPr="00B31307">
        <w:rPr>
          <w:sz w:val="22"/>
          <w:szCs w:val="22"/>
        </w:rPr>
        <w:t xml:space="preserve"> </w:t>
      </w:r>
      <w:r w:rsidR="00B31307" w:rsidRPr="00B31307">
        <w:rPr>
          <w:bCs/>
          <w:color w:val="000000"/>
          <w:sz w:val="22"/>
          <w:szCs w:val="22"/>
        </w:rPr>
        <w:t>III. Dodatkom Kolektivnom ugovoru za zaposlene u ustanovama kulture Grada Koprivnice od 5. prosinca 2024. g</w:t>
      </w:r>
      <w:r w:rsidR="008E37E6">
        <w:rPr>
          <w:bCs/>
          <w:color w:val="000000"/>
          <w:sz w:val="22"/>
          <w:szCs w:val="22"/>
        </w:rPr>
        <w:t>,</w:t>
      </w:r>
      <w:r w:rsidRPr="004C05DA">
        <w:rPr>
          <w:color w:val="000000"/>
          <w:sz w:val="22"/>
          <w:szCs w:val="22"/>
        </w:rPr>
        <w:t xml:space="preserve"> Zakonom o proračunu (NN 144/21), Zakonom o radu (NN 93/14, 127/17, 98/19, 151/22, 64/23), Zakonom i Uredbom o fiskalnoj odgovornosti (NN 111/18, 95/19, 83/23), </w:t>
      </w:r>
      <w:bookmarkStart w:id="5" w:name="_Hlk148694355"/>
      <w:r w:rsidRPr="004C05DA">
        <w:rPr>
          <w:color w:val="000000"/>
          <w:sz w:val="22"/>
          <w:szCs w:val="22"/>
        </w:rPr>
        <w:t xml:space="preserve">Pravilnikom o proračunskom računovodstvu i računskom planu (NN 124/14, 115/15, 87/16, 3/18, 126/19, 108/20, 158/23), Pravilnikom o financijskom izvještavanju u proračunskom računovodstvu (NN 3/15, 135/15, 2/17, 112/18, 126/19, 145/20, 32/21, 37/22) </w:t>
      </w:r>
      <w:bookmarkEnd w:id="5"/>
      <w:r w:rsidRPr="004C05DA">
        <w:rPr>
          <w:color w:val="000000"/>
          <w:sz w:val="22"/>
          <w:szCs w:val="22"/>
        </w:rPr>
        <w:t xml:space="preserve">i drugim općim aktima POU Koprivnica. </w:t>
      </w:r>
    </w:p>
    <w:p w14:paraId="772BD55D" w14:textId="77777777" w:rsidR="004C05DA" w:rsidRPr="004C05DA" w:rsidRDefault="004C05DA" w:rsidP="004C05DA">
      <w:pPr>
        <w:spacing w:line="276" w:lineRule="auto"/>
        <w:jc w:val="both"/>
        <w:rPr>
          <w:color w:val="000000"/>
          <w:sz w:val="22"/>
          <w:szCs w:val="22"/>
        </w:rPr>
      </w:pPr>
      <w:r w:rsidRPr="004C05DA">
        <w:rPr>
          <w:color w:val="000000"/>
          <w:sz w:val="22"/>
          <w:szCs w:val="22"/>
        </w:rPr>
        <w:t>Ustanova se zadnjih nekoliko godina orijentira na EU fondove kao na jedan od izvora financiranja ustanove.</w:t>
      </w:r>
    </w:p>
    <w:p w14:paraId="67A53556" w14:textId="77777777" w:rsidR="004C05DA" w:rsidRPr="004C05DA" w:rsidRDefault="004C05DA" w:rsidP="004C05DA">
      <w:pPr>
        <w:spacing w:line="276" w:lineRule="auto"/>
        <w:jc w:val="both"/>
        <w:rPr>
          <w:color w:val="000000"/>
          <w:sz w:val="22"/>
          <w:szCs w:val="22"/>
        </w:rPr>
      </w:pPr>
      <w:r w:rsidRPr="004C05DA">
        <w:rPr>
          <w:color w:val="000000"/>
          <w:sz w:val="22"/>
          <w:szCs w:val="22"/>
        </w:rPr>
        <w:t>Učilište u segmentu kulturne djelatnosti (glazbeno-scenske djelatnosti i kina) posebno potiče suradnju s izvangradskim područjima putem suradnje sa školama, vrtićima, nastavnicima, roditeljima.</w:t>
      </w:r>
    </w:p>
    <w:p w14:paraId="47FC1B74" w14:textId="77777777" w:rsidR="004C05DA" w:rsidRPr="004C05DA" w:rsidRDefault="004C05DA" w:rsidP="004C05DA">
      <w:pPr>
        <w:spacing w:line="276" w:lineRule="auto"/>
        <w:jc w:val="both"/>
        <w:rPr>
          <w:color w:val="000000"/>
          <w:sz w:val="22"/>
          <w:szCs w:val="22"/>
        </w:rPr>
      </w:pPr>
      <w:r w:rsidRPr="004C05DA">
        <w:rPr>
          <w:color w:val="000000"/>
          <w:sz w:val="22"/>
          <w:szCs w:val="22"/>
        </w:rPr>
        <w:t>Učilište stavlja poseban akcent na razvoj svih ključnih kompetencija građana s ciljem povećanja njihove kompetencijske i kompetitivne razine.</w:t>
      </w:r>
    </w:p>
    <w:p w14:paraId="2DB60A9B" w14:textId="77777777" w:rsidR="004C05DA" w:rsidRPr="004C05DA" w:rsidRDefault="004C05DA" w:rsidP="004C05DA">
      <w:pPr>
        <w:spacing w:line="276" w:lineRule="auto"/>
        <w:jc w:val="both"/>
        <w:rPr>
          <w:color w:val="000000"/>
          <w:sz w:val="22"/>
          <w:szCs w:val="22"/>
        </w:rPr>
      </w:pPr>
      <w:r w:rsidRPr="004C05DA">
        <w:rPr>
          <w:color w:val="000000"/>
          <w:sz w:val="22"/>
          <w:szCs w:val="22"/>
        </w:rPr>
        <w:t>Pučko otvoreno učilište Koprivnica trenutno ima 16 stalno zaposlenih djelatnika, a svoju djelatnost ostvaruje i uz značajnu pomoć vanjskih suradnika. Glavni organizacijski oblik u operativnom smislu je Stručno vijeće Učilišta koje djeluje kao programsko tijelo, ravnatelj te Upravno vijeće Učilišta na razini odlučivanja.</w:t>
      </w:r>
    </w:p>
    <w:p w14:paraId="4529CCB5" w14:textId="3734F33F" w:rsidR="00BE36D3" w:rsidRDefault="00BE36D3" w:rsidP="00BB067B">
      <w:pPr>
        <w:spacing w:line="276" w:lineRule="auto"/>
        <w:jc w:val="both"/>
        <w:rPr>
          <w:color w:val="000000"/>
          <w:sz w:val="22"/>
          <w:szCs w:val="22"/>
        </w:rPr>
      </w:pPr>
    </w:p>
    <w:p w14:paraId="57AD7303" w14:textId="77777777" w:rsidR="007F0772" w:rsidRDefault="007F0772" w:rsidP="00BB067B">
      <w:pPr>
        <w:spacing w:line="276" w:lineRule="auto"/>
        <w:jc w:val="both"/>
        <w:rPr>
          <w:color w:val="000000"/>
          <w:sz w:val="22"/>
          <w:szCs w:val="22"/>
        </w:rPr>
      </w:pPr>
    </w:p>
    <w:p w14:paraId="1B2C9A15" w14:textId="77777777" w:rsidR="007F0772" w:rsidRPr="00BE4EA7" w:rsidRDefault="007F0772" w:rsidP="00BB067B">
      <w:pPr>
        <w:spacing w:line="276" w:lineRule="auto"/>
        <w:jc w:val="both"/>
        <w:rPr>
          <w:color w:val="000000"/>
          <w:sz w:val="22"/>
          <w:szCs w:val="22"/>
        </w:rPr>
      </w:pPr>
    </w:p>
    <w:p w14:paraId="6F9F1298" w14:textId="3422192D" w:rsidR="003A3505" w:rsidRPr="00BE4EA7" w:rsidRDefault="003A3505" w:rsidP="00BB067B">
      <w:pPr>
        <w:spacing w:line="276" w:lineRule="auto"/>
        <w:jc w:val="both"/>
        <w:rPr>
          <w:color w:val="000000"/>
          <w:sz w:val="22"/>
          <w:szCs w:val="22"/>
        </w:rPr>
      </w:pPr>
      <w:r w:rsidRPr="00BE4EA7">
        <w:rPr>
          <w:color w:val="000000"/>
          <w:sz w:val="22"/>
          <w:szCs w:val="22"/>
        </w:rPr>
        <w:lastRenderedPageBreak/>
        <w:t>U Učilištu su ustrojene sljedeće organizacijske cjeline:</w:t>
      </w:r>
    </w:p>
    <w:p w14:paraId="44993F10" w14:textId="77777777" w:rsidR="003A3505" w:rsidRPr="00BE4EA7" w:rsidRDefault="003A3505" w:rsidP="00BB067B">
      <w:pPr>
        <w:spacing w:line="276" w:lineRule="auto"/>
        <w:jc w:val="both"/>
        <w:rPr>
          <w:color w:val="000000"/>
          <w:sz w:val="22"/>
          <w:szCs w:val="22"/>
        </w:rPr>
      </w:pPr>
      <w:r w:rsidRPr="00BE4EA7">
        <w:rPr>
          <w:color w:val="000000"/>
          <w:sz w:val="22"/>
          <w:szCs w:val="22"/>
        </w:rPr>
        <w:t xml:space="preserve"> l. Odjel za obrazovanje, cjeloživotno učenje i EU projekte </w:t>
      </w:r>
    </w:p>
    <w:p w14:paraId="46152DBE" w14:textId="77777777" w:rsidR="003A3505" w:rsidRPr="00BE4EA7" w:rsidRDefault="003A3505" w:rsidP="00BB067B">
      <w:pPr>
        <w:spacing w:line="276" w:lineRule="auto"/>
        <w:jc w:val="both"/>
        <w:rPr>
          <w:color w:val="000000"/>
          <w:sz w:val="22"/>
          <w:szCs w:val="22"/>
        </w:rPr>
      </w:pPr>
      <w:r w:rsidRPr="00BE4EA7">
        <w:rPr>
          <w:color w:val="000000"/>
          <w:sz w:val="22"/>
          <w:szCs w:val="22"/>
        </w:rPr>
        <w:t xml:space="preserve">2. Odjel za glazbeno-scensku kulturu i amaterizam </w:t>
      </w:r>
    </w:p>
    <w:p w14:paraId="35889F33" w14:textId="77777777" w:rsidR="003A3505" w:rsidRPr="00BE4EA7" w:rsidRDefault="003A3505" w:rsidP="00BB067B">
      <w:pPr>
        <w:spacing w:line="276" w:lineRule="auto"/>
        <w:jc w:val="both"/>
        <w:rPr>
          <w:color w:val="000000"/>
          <w:sz w:val="22"/>
          <w:szCs w:val="22"/>
        </w:rPr>
      </w:pPr>
      <w:r w:rsidRPr="00BE4EA7">
        <w:rPr>
          <w:color w:val="000000"/>
          <w:sz w:val="22"/>
          <w:szCs w:val="22"/>
        </w:rPr>
        <w:t xml:space="preserve">3. Odjel za filmsku, video i medijsku kulturu </w:t>
      </w:r>
    </w:p>
    <w:p w14:paraId="555044D0" w14:textId="6223DDDA" w:rsidR="003A3505" w:rsidRPr="00BE4EA7" w:rsidRDefault="003A3505" w:rsidP="00BB067B">
      <w:pPr>
        <w:spacing w:line="276" w:lineRule="auto"/>
        <w:jc w:val="both"/>
        <w:rPr>
          <w:color w:val="000000"/>
          <w:sz w:val="22"/>
          <w:szCs w:val="22"/>
        </w:rPr>
      </w:pPr>
      <w:r w:rsidRPr="00BE4EA7">
        <w:rPr>
          <w:color w:val="000000"/>
          <w:sz w:val="22"/>
          <w:szCs w:val="22"/>
        </w:rPr>
        <w:t>4. Odjel za op</w:t>
      </w:r>
      <w:r w:rsidR="006A1E0B" w:rsidRPr="00BE4EA7">
        <w:rPr>
          <w:color w:val="000000"/>
          <w:sz w:val="22"/>
          <w:szCs w:val="22"/>
        </w:rPr>
        <w:t>ć</w:t>
      </w:r>
      <w:r w:rsidRPr="00BE4EA7">
        <w:rPr>
          <w:color w:val="000000"/>
          <w:sz w:val="22"/>
          <w:szCs w:val="22"/>
        </w:rPr>
        <w:t>e i financijske poslove</w:t>
      </w:r>
      <w:r w:rsidR="00B76590" w:rsidRPr="00BE4EA7">
        <w:rPr>
          <w:color w:val="000000"/>
          <w:sz w:val="22"/>
          <w:szCs w:val="22"/>
        </w:rPr>
        <w:t>.</w:t>
      </w:r>
    </w:p>
    <w:p w14:paraId="7DE34CA5" w14:textId="77777777" w:rsidR="00BE36D3" w:rsidRPr="00BE4EA7" w:rsidRDefault="00BE36D3" w:rsidP="00BB067B">
      <w:pPr>
        <w:spacing w:line="276" w:lineRule="auto"/>
        <w:jc w:val="both"/>
        <w:rPr>
          <w:color w:val="000000"/>
          <w:sz w:val="22"/>
          <w:szCs w:val="22"/>
        </w:rPr>
      </w:pPr>
    </w:p>
    <w:p w14:paraId="14005BC4" w14:textId="1458EAA4" w:rsidR="00BE36D3" w:rsidRPr="00BE4EA7" w:rsidRDefault="00CB1EBE" w:rsidP="00BB067B">
      <w:pPr>
        <w:spacing w:line="276" w:lineRule="auto"/>
        <w:jc w:val="both"/>
        <w:rPr>
          <w:b/>
          <w:bCs/>
          <w:color w:val="000000"/>
          <w:sz w:val="22"/>
          <w:szCs w:val="22"/>
        </w:rPr>
      </w:pPr>
      <w:r w:rsidRPr="00BE4EA7">
        <w:rPr>
          <w:b/>
          <w:bCs/>
          <w:color w:val="000000"/>
          <w:sz w:val="22"/>
          <w:szCs w:val="22"/>
        </w:rPr>
        <w:t>OPĆI DIO</w:t>
      </w:r>
    </w:p>
    <w:p w14:paraId="0DDB0DA6" w14:textId="77777777" w:rsidR="008F311F" w:rsidRPr="00BE4EA7" w:rsidRDefault="008F311F" w:rsidP="00BB067B">
      <w:pPr>
        <w:spacing w:line="276" w:lineRule="auto"/>
        <w:jc w:val="both"/>
        <w:rPr>
          <w:b/>
          <w:bCs/>
          <w:color w:val="000000"/>
          <w:sz w:val="22"/>
          <w:szCs w:val="22"/>
        </w:rPr>
      </w:pPr>
    </w:p>
    <w:p w14:paraId="6CCD3190" w14:textId="57780D98" w:rsidR="00746B2C" w:rsidRPr="00BE4EA7" w:rsidRDefault="00746B2C" w:rsidP="00BB067B">
      <w:pPr>
        <w:spacing w:line="276" w:lineRule="auto"/>
        <w:jc w:val="both"/>
        <w:rPr>
          <w:b/>
          <w:sz w:val="22"/>
          <w:szCs w:val="22"/>
        </w:rPr>
      </w:pPr>
      <w:r w:rsidRPr="00BE4EA7">
        <w:rPr>
          <w:b/>
          <w:sz w:val="22"/>
          <w:szCs w:val="22"/>
        </w:rPr>
        <w:t>Obrazloženje</w:t>
      </w:r>
      <w:r w:rsidR="00CB1EBE" w:rsidRPr="00BE4EA7">
        <w:rPr>
          <w:b/>
          <w:sz w:val="22"/>
          <w:szCs w:val="22"/>
        </w:rPr>
        <w:t xml:space="preserve"> izvršenja</w:t>
      </w:r>
      <w:r w:rsidRPr="00BE4EA7">
        <w:rPr>
          <w:b/>
          <w:sz w:val="22"/>
          <w:szCs w:val="22"/>
        </w:rPr>
        <w:t xml:space="preserve"> programa i aktivnosti</w:t>
      </w:r>
    </w:p>
    <w:p w14:paraId="33AE53EA" w14:textId="77777777" w:rsidR="000D44A1" w:rsidRPr="00645603" w:rsidRDefault="000D44A1" w:rsidP="00BB067B">
      <w:pPr>
        <w:spacing w:line="276" w:lineRule="auto"/>
        <w:jc w:val="both"/>
        <w:rPr>
          <w:sz w:val="22"/>
          <w:szCs w:val="22"/>
        </w:rPr>
      </w:pPr>
    </w:p>
    <w:p w14:paraId="77451C27" w14:textId="3FB1D1AD" w:rsidR="00B9262C" w:rsidRPr="001C0477" w:rsidRDefault="00B9262C" w:rsidP="00B9262C">
      <w:pPr>
        <w:spacing w:line="276" w:lineRule="auto"/>
        <w:jc w:val="both"/>
        <w:rPr>
          <w:sz w:val="22"/>
          <w:szCs w:val="22"/>
        </w:rPr>
      </w:pPr>
      <w:r w:rsidRPr="001C0477">
        <w:rPr>
          <w:sz w:val="22"/>
          <w:szCs w:val="22"/>
        </w:rPr>
        <w:t>Člankom 8</w:t>
      </w:r>
      <w:r w:rsidR="00E353B7" w:rsidRPr="001C0477">
        <w:rPr>
          <w:sz w:val="22"/>
          <w:szCs w:val="22"/>
        </w:rPr>
        <w:t>6</w:t>
      </w:r>
      <w:r w:rsidRPr="001C0477">
        <w:rPr>
          <w:sz w:val="22"/>
          <w:szCs w:val="22"/>
        </w:rPr>
        <w:t>. Zakona o proračunu (NN broj 144/21) propisana je obveza sastavljanja polugodišnjeg</w:t>
      </w:r>
      <w:r w:rsidR="005E069D" w:rsidRPr="001C0477">
        <w:rPr>
          <w:sz w:val="22"/>
          <w:szCs w:val="22"/>
        </w:rPr>
        <w:t xml:space="preserve"> i godišnjem</w:t>
      </w:r>
      <w:r w:rsidRPr="001C0477">
        <w:rPr>
          <w:sz w:val="22"/>
          <w:szCs w:val="22"/>
        </w:rPr>
        <w:t xml:space="preserve"> izvještaja o izvršenju financijskog plana prorač</w:t>
      </w:r>
      <w:r w:rsidR="0052509A">
        <w:rPr>
          <w:sz w:val="22"/>
          <w:szCs w:val="22"/>
        </w:rPr>
        <w:t>unskog korisnika</w:t>
      </w:r>
      <w:r w:rsidRPr="001C0477">
        <w:rPr>
          <w:sz w:val="22"/>
          <w:szCs w:val="22"/>
        </w:rPr>
        <w:t xml:space="preserve"> za 2024. godinu te njegova podnošenja na usvajanje upravljačkom tijelu</w:t>
      </w:r>
    </w:p>
    <w:p w14:paraId="65A059A7" w14:textId="54EB61B1" w:rsidR="00B9262C" w:rsidRPr="00B9262C" w:rsidRDefault="00B9262C" w:rsidP="00B9262C">
      <w:pPr>
        <w:spacing w:line="276" w:lineRule="auto"/>
        <w:jc w:val="both"/>
        <w:rPr>
          <w:sz w:val="22"/>
          <w:szCs w:val="22"/>
        </w:rPr>
      </w:pPr>
      <w:r w:rsidRPr="001C0477">
        <w:rPr>
          <w:sz w:val="22"/>
          <w:szCs w:val="22"/>
        </w:rPr>
        <w:t xml:space="preserve">Proračunski korisnici jedinice lokalne i područne (regionalne) samouprave obvezni su </w:t>
      </w:r>
      <w:r w:rsidR="00C57774" w:rsidRPr="001C0477">
        <w:rPr>
          <w:sz w:val="22"/>
          <w:szCs w:val="22"/>
        </w:rPr>
        <w:t> godišnji</w:t>
      </w:r>
      <w:r w:rsidRPr="001C0477">
        <w:rPr>
          <w:sz w:val="22"/>
          <w:szCs w:val="22"/>
        </w:rPr>
        <w:t xml:space="preserve"> izvještaj o izvršenju </w:t>
      </w:r>
      <w:r w:rsidR="00C57774" w:rsidRPr="001C0477">
        <w:rPr>
          <w:sz w:val="22"/>
          <w:szCs w:val="22"/>
        </w:rPr>
        <w:t>financijskog plana za prethodnu godinu</w:t>
      </w:r>
      <w:r w:rsidRPr="001C0477">
        <w:rPr>
          <w:sz w:val="22"/>
          <w:szCs w:val="22"/>
        </w:rPr>
        <w:t xml:space="preserve"> izraditi </w:t>
      </w:r>
      <w:r w:rsidR="00C57774" w:rsidRPr="001C0477">
        <w:rPr>
          <w:sz w:val="22"/>
          <w:szCs w:val="22"/>
        </w:rPr>
        <w:t>na temelju odredaba</w:t>
      </w:r>
      <w:r w:rsidRPr="001C0477">
        <w:rPr>
          <w:sz w:val="22"/>
          <w:szCs w:val="22"/>
        </w:rPr>
        <w:t xml:space="preserve"> Pravilnika o polugodišnjem i godišnjem </w:t>
      </w:r>
      <w:r w:rsidR="00C57774" w:rsidRPr="001C0477">
        <w:rPr>
          <w:sz w:val="22"/>
          <w:szCs w:val="22"/>
        </w:rPr>
        <w:t xml:space="preserve">izvještaju o </w:t>
      </w:r>
      <w:r w:rsidRPr="001C0477">
        <w:rPr>
          <w:sz w:val="22"/>
          <w:szCs w:val="22"/>
        </w:rPr>
        <w:t>izvršenju proračuna i financijskog plana (</w:t>
      </w:r>
      <w:r w:rsidR="00C57774" w:rsidRPr="001C0477">
        <w:rPr>
          <w:sz w:val="22"/>
          <w:szCs w:val="22"/>
        </w:rPr>
        <w:t>Nar. nov., br.</w:t>
      </w:r>
      <w:r w:rsidRPr="001C0477">
        <w:rPr>
          <w:sz w:val="22"/>
          <w:szCs w:val="22"/>
        </w:rPr>
        <w:t xml:space="preserve"> 85/23</w:t>
      </w:r>
      <w:r w:rsidR="00C57774" w:rsidRPr="001C0477">
        <w:rPr>
          <w:sz w:val="22"/>
          <w:szCs w:val="22"/>
        </w:rPr>
        <w:t xml:space="preserve">; </w:t>
      </w:r>
      <w:r w:rsidRPr="001C0477">
        <w:rPr>
          <w:sz w:val="22"/>
          <w:szCs w:val="22"/>
        </w:rPr>
        <w:t xml:space="preserve">u </w:t>
      </w:r>
      <w:r w:rsidR="00C57774" w:rsidRPr="001C0477">
        <w:rPr>
          <w:sz w:val="22"/>
          <w:szCs w:val="22"/>
        </w:rPr>
        <w:t>nastavku</w:t>
      </w:r>
      <w:r w:rsidRPr="001C0477">
        <w:rPr>
          <w:sz w:val="22"/>
          <w:szCs w:val="22"/>
        </w:rPr>
        <w:t>: Pravilnik).</w:t>
      </w:r>
      <w:r w:rsidR="00C57774" w:rsidRPr="001C0477">
        <w:rPr>
          <w:sz w:val="22"/>
          <w:szCs w:val="22"/>
        </w:rPr>
        <w:t> Pravilnikom se detaljno propisuju:  izgled</w:t>
      </w:r>
      <w:r w:rsidR="009B5070">
        <w:rPr>
          <w:sz w:val="22"/>
          <w:szCs w:val="22"/>
        </w:rPr>
        <w:t xml:space="preserve">, </w:t>
      </w:r>
      <w:r w:rsidR="00C57774" w:rsidRPr="001C0477">
        <w:rPr>
          <w:sz w:val="22"/>
          <w:szCs w:val="22"/>
        </w:rPr>
        <w:t>sadržaj</w:t>
      </w:r>
      <w:r w:rsidR="009B5070">
        <w:rPr>
          <w:sz w:val="22"/>
          <w:szCs w:val="22"/>
        </w:rPr>
        <w:t xml:space="preserve">, </w:t>
      </w:r>
      <w:r w:rsidR="00C57774" w:rsidRPr="001C0477">
        <w:rPr>
          <w:sz w:val="22"/>
          <w:szCs w:val="22"/>
        </w:rPr>
        <w:t xml:space="preserve">obveznici primjene te način i rokovi podnošenja i objave izvještaja o izvršenju financijskog plana. </w:t>
      </w:r>
    </w:p>
    <w:p w14:paraId="539C5055" w14:textId="23949715" w:rsidR="00B9262C" w:rsidRPr="00B9262C" w:rsidRDefault="00B9262C" w:rsidP="00B9262C">
      <w:pPr>
        <w:spacing w:line="276" w:lineRule="auto"/>
        <w:jc w:val="both"/>
        <w:rPr>
          <w:sz w:val="22"/>
          <w:szCs w:val="22"/>
        </w:rPr>
      </w:pPr>
      <w:r w:rsidRPr="00B9262C">
        <w:rPr>
          <w:sz w:val="22"/>
          <w:szCs w:val="22"/>
        </w:rPr>
        <w:t>Planirani i izvršeni Financijski plan Pučkog otvorenog učilišta Koprivnica izrađen je prema Uputama za izradu Prijedloga financijskog plana za razdoblje 2024.-2026. godine, dobiven</w:t>
      </w:r>
      <w:r w:rsidR="009B5070">
        <w:rPr>
          <w:sz w:val="22"/>
          <w:szCs w:val="22"/>
        </w:rPr>
        <w:t xml:space="preserve">ih </w:t>
      </w:r>
      <w:r w:rsidRPr="00B9262C">
        <w:rPr>
          <w:sz w:val="22"/>
          <w:szCs w:val="22"/>
        </w:rPr>
        <w:t xml:space="preserve">od Upravnog odjela za financije, gospodarstvo i europske poslove Grada Koprivnice KLASA: 400-01/23-02/0001, URBROJ: 2137-1-05-2-23-5 od 11.10.2023. godine. U skladu sa zakonskim odredbama Zakona o uvođenju eura kao službene valute u RH stavke izvještaja iskazane su u valuti euro za oba polugodišnja izvještajna razdoblja za usporednu prethodnu godinu te za tekuću godinu. U nastavku obrazlažemo najznačajnije </w:t>
      </w:r>
      <w:r w:rsidR="006D4A75">
        <w:rPr>
          <w:sz w:val="22"/>
          <w:szCs w:val="22"/>
        </w:rPr>
        <w:t>razlike</w:t>
      </w:r>
      <w:r w:rsidRPr="00B9262C">
        <w:rPr>
          <w:sz w:val="22"/>
          <w:szCs w:val="22"/>
        </w:rPr>
        <w:t xml:space="preserve"> za tekuću godinu u odnosu na isto obračunsko razdoblje prethodne godine te izvršenje tekuće godine u odnosu na Financijski plan za 2024. godinu.</w:t>
      </w:r>
    </w:p>
    <w:p w14:paraId="2EC29F9A" w14:textId="77777777" w:rsidR="00B9262C" w:rsidRPr="00B9262C" w:rsidRDefault="00B9262C" w:rsidP="00B9262C">
      <w:pPr>
        <w:spacing w:line="276" w:lineRule="auto"/>
        <w:jc w:val="both"/>
        <w:rPr>
          <w:sz w:val="22"/>
          <w:szCs w:val="22"/>
        </w:rPr>
      </w:pPr>
      <w:r w:rsidRPr="00B9262C">
        <w:rPr>
          <w:sz w:val="22"/>
          <w:szCs w:val="22"/>
        </w:rPr>
        <w:t>Planirani program Učilišta za 2024. godinu čini redovna i programska djelatnost, a detaljno je analizirana i obrazložena prema dolje navedenim aktivnostima.</w:t>
      </w:r>
    </w:p>
    <w:p w14:paraId="7B719ECC" w14:textId="2CF6E9C4" w:rsidR="00B9262C" w:rsidRPr="00FF59A8" w:rsidRDefault="00B9262C" w:rsidP="00B9262C">
      <w:pPr>
        <w:spacing w:line="276" w:lineRule="auto"/>
        <w:jc w:val="both"/>
        <w:rPr>
          <w:sz w:val="22"/>
          <w:szCs w:val="22"/>
        </w:rPr>
      </w:pPr>
      <w:r w:rsidRPr="00FF59A8">
        <w:rPr>
          <w:sz w:val="22"/>
          <w:szCs w:val="22"/>
        </w:rPr>
        <w:t xml:space="preserve">Usvojeni </w:t>
      </w:r>
      <w:r w:rsidRPr="00FF59A8">
        <w:rPr>
          <w:bCs/>
          <w:sz w:val="22"/>
          <w:szCs w:val="22"/>
        </w:rPr>
        <w:t xml:space="preserve">Financijski plan za 2024. godinu s prijedlogom projekcija za naredno dvogodišnje razdoblje izrađen je uravnoteženjem prihoda i rashoda te iznosi </w:t>
      </w:r>
      <w:r w:rsidR="00DF1482" w:rsidRPr="00FF59A8">
        <w:rPr>
          <w:bCs/>
          <w:sz w:val="22"/>
          <w:szCs w:val="22"/>
        </w:rPr>
        <w:t>1.012.683,00</w:t>
      </w:r>
      <w:r w:rsidRPr="00FF59A8">
        <w:rPr>
          <w:bCs/>
          <w:sz w:val="22"/>
          <w:szCs w:val="22"/>
        </w:rPr>
        <w:t xml:space="preserve"> </w:t>
      </w:r>
      <w:r w:rsidR="0040014A">
        <w:rPr>
          <w:bCs/>
          <w:sz w:val="22"/>
          <w:szCs w:val="22"/>
        </w:rPr>
        <w:t>€</w:t>
      </w:r>
      <w:r w:rsidRPr="00FF59A8">
        <w:rPr>
          <w:bCs/>
          <w:sz w:val="22"/>
          <w:szCs w:val="22"/>
        </w:rPr>
        <w:t xml:space="preserve">. </w:t>
      </w:r>
    </w:p>
    <w:p w14:paraId="50E5FFBB" w14:textId="0198BC88" w:rsidR="00B9262C" w:rsidRPr="00FF59A8" w:rsidRDefault="00B9262C" w:rsidP="00B9262C">
      <w:pPr>
        <w:spacing w:line="276" w:lineRule="auto"/>
        <w:jc w:val="both"/>
        <w:rPr>
          <w:sz w:val="22"/>
          <w:szCs w:val="22"/>
        </w:rPr>
      </w:pPr>
      <w:r w:rsidRPr="00FF59A8">
        <w:rPr>
          <w:sz w:val="22"/>
          <w:szCs w:val="22"/>
        </w:rPr>
        <w:t xml:space="preserve">Prema </w:t>
      </w:r>
      <w:r w:rsidR="00CE2CB3" w:rsidRPr="00FF59A8">
        <w:rPr>
          <w:sz w:val="22"/>
          <w:szCs w:val="22"/>
        </w:rPr>
        <w:t>I</w:t>
      </w:r>
      <w:r w:rsidRPr="00FF59A8">
        <w:rPr>
          <w:sz w:val="22"/>
          <w:szCs w:val="22"/>
        </w:rPr>
        <w:t>zvješć</w:t>
      </w:r>
      <w:r w:rsidR="00CE2CB3" w:rsidRPr="00FF59A8">
        <w:rPr>
          <w:sz w:val="22"/>
          <w:szCs w:val="22"/>
        </w:rPr>
        <w:t>u</w:t>
      </w:r>
      <w:r w:rsidRPr="00FF59A8">
        <w:rPr>
          <w:sz w:val="22"/>
          <w:szCs w:val="22"/>
        </w:rPr>
        <w:t xml:space="preserve"> o </w:t>
      </w:r>
      <w:r w:rsidR="00DF1482" w:rsidRPr="00FF59A8">
        <w:rPr>
          <w:sz w:val="22"/>
          <w:szCs w:val="22"/>
        </w:rPr>
        <w:t>godišnjem</w:t>
      </w:r>
      <w:r w:rsidRPr="00FF59A8">
        <w:rPr>
          <w:sz w:val="22"/>
          <w:szCs w:val="22"/>
        </w:rPr>
        <w:t xml:space="preserve"> </w:t>
      </w:r>
      <w:r w:rsidR="00DF1482" w:rsidRPr="00FF59A8">
        <w:rPr>
          <w:sz w:val="22"/>
          <w:szCs w:val="22"/>
        </w:rPr>
        <w:t>i</w:t>
      </w:r>
      <w:r w:rsidRPr="00FF59A8">
        <w:rPr>
          <w:sz w:val="22"/>
          <w:szCs w:val="22"/>
        </w:rPr>
        <w:t>zvršenju Financijskog plana za 2024. godinu, od ukupno planiranih sredstva  ostvareno je</w:t>
      </w:r>
      <w:r w:rsidR="00134BB2" w:rsidRPr="00FF59A8">
        <w:rPr>
          <w:sz w:val="22"/>
          <w:szCs w:val="22"/>
        </w:rPr>
        <w:t xml:space="preserve"> </w:t>
      </w:r>
      <w:r w:rsidR="006A5494" w:rsidRPr="00FF59A8">
        <w:rPr>
          <w:sz w:val="22"/>
          <w:szCs w:val="22"/>
        </w:rPr>
        <w:t>9</w:t>
      </w:r>
      <w:r w:rsidR="0051478A" w:rsidRPr="00FF59A8">
        <w:rPr>
          <w:sz w:val="22"/>
          <w:szCs w:val="22"/>
        </w:rPr>
        <w:t>1</w:t>
      </w:r>
      <w:r w:rsidRPr="00FF59A8">
        <w:rPr>
          <w:sz w:val="22"/>
          <w:szCs w:val="22"/>
        </w:rPr>
        <w:t xml:space="preserve">% prihoda u iznosu od </w:t>
      </w:r>
      <w:r w:rsidR="00D5268F">
        <w:rPr>
          <w:sz w:val="22"/>
          <w:szCs w:val="22"/>
        </w:rPr>
        <w:t>777.008,73</w:t>
      </w:r>
      <w:r w:rsidRPr="00FF59A8">
        <w:rPr>
          <w:sz w:val="22"/>
          <w:szCs w:val="22"/>
        </w:rPr>
        <w:t xml:space="preserve"> </w:t>
      </w:r>
      <w:r w:rsidR="0040014A">
        <w:rPr>
          <w:bCs/>
          <w:sz w:val="22"/>
          <w:szCs w:val="22"/>
        </w:rPr>
        <w:t>€</w:t>
      </w:r>
      <w:r w:rsidRPr="00FF59A8">
        <w:rPr>
          <w:sz w:val="22"/>
          <w:szCs w:val="22"/>
        </w:rPr>
        <w:t>, a index odstupanja u odnosu na ostvareno u 2023. godini je 1</w:t>
      </w:r>
      <w:r w:rsidR="0051478A" w:rsidRPr="00FF59A8">
        <w:rPr>
          <w:sz w:val="22"/>
          <w:szCs w:val="22"/>
        </w:rPr>
        <w:t>1</w:t>
      </w:r>
      <w:r w:rsidR="00FC3D66">
        <w:rPr>
          <w:sz w:val="22"/>
          <w:szCs w:val="22"/>
        </w:rPr>
        <w:t>9</w:t>
      </w:r>
      <w:r w:rsidRPr="00FF59A8">
        <w:rPr>
          <w:sz w:val="22"/>
          <w:szCs w:val="22"/>
        </w:rPr>
        <w:t xml:space="preserve">%. Od ukupno planiranih rashoda ostvareno je </w:t>
      </w:r>
      <w:r w:rsidR="0051478A" w:rsidRPr="00FF59A8">
        <w:rPr>
          <w:sz w:val="22"/>
          <w:szCs w:val="22"/>
        </w:rPr>
        <w:t>853.238,12</w:t>
      </w:r>
      <w:r w:rsidRPr="00FF59A8">
        <w:rPr>
          <w:sz w:val="22"/>
          <w:szCs w:val="22"/>
        </w:rPr>
        <w:t xml:space="preserve"> </w:t>
      </w:r>
      <w:r w:rsidR="0040014A">
        <w:rPr>
          <w:sz w:val="22"/>
          <w:szCs w:val="22"/>
        </w:rPr>
        <w:t>€</w:t>
      </w:r>
      <w:r w:rsidRPr="00FF59A8">
        <w:rPr>
          <w:sz w:val="22"/>
          <w:szCs w:val="22"/>
        </w:rPr>
        <w:t>, indeks izvršenja je 1</w:t>
      </w:r>
      <w:r w:rsidR="00FF59A8" w:rsidRPr="00FF59A8">
        <w:rPr>
          <w:sz w:val="22"/>
          <w:szCs w:val="22"/>
        </w:rPr>
        <w:t>29</w:t>
      </w:r>
      <w:r w:rsidRPr="00FF59A8">
        <w:rPr>
          <w:sz w:val="22"/>
          <w:szCs w:val="22"/>
        </w:rPr>
        <w:t>% u odnosu na ostvareno u 2023. godini.</w:t>
      </w:r>
    </w:p>
    <w:p w14:paraId="22907A15" w14:textId="4E0EE1DD" w:rsidR="00B9262C" w:rsidRPr="00B9262C" w:rsidRDefault="00B9262C" w:rsidP="00B9262C">
      <w:pPr>
        <w:spacing w:line="276" w:lineRule="auto"/>
        <w:jc w:val="both"/>
        <w:rPr>
          <w:sz w:val="22"/>
          <w:szCs w:val="22"/>
        </w:rPr>
      </w:pPr>
      <w:r w:rsidRPr="00B9262C">
        <w:rPr>
          <w:sz w:val="22"/>
          <w:szCs w:val="22"/>
        </w:rPr>
        <w:t xml:space="preserve">U prilogu ovog obrazloženja nalazi se </w:t>
      </w:r>
      <w:r w:rsidR="00D26B2A">
        <w:rPr>
          <w:sz w:val="22"/>
          <w:szCs w:val="22"/>
        </w:rPr>
        <w:t>I</w:t>
      </w:r>
      <w:r w:rsidRPr="00B9262C">
        <w:rPr>
          <w:sz w:val="22"/>
          <w:szCs w:val="22"/>
        </w:rPr>
        <w:t xml:space="preserve">zvještaj o godišnjem Izvršenju Financijskog plana za 2024. godinu Pučkog otvorenog učilišta Koprivnica. </w:t>
      </w:r>
    </w:p>
    <w:p w14:paraId="4604D092" w14:textId="77777777" w:rsidR="002D4EED" w:rsidRPr="00BE4EA7" w:rsidRDefault="002D4EED" w:rsidP="00BB067B">
      <w:pPr>
        <w:spacing w:line="276" w:lineRule="auto"/>
        <w:jc w:val="both"/>
        <w:rPr>
          <w:color w:val="FF0000"/>
          <w:sz w:val="22"/>
          <w:szCs w:val="22"/>
        </w:rPr>
      </w:pPr>
    </w:p>
    <w:p w14:paraId="47480967" w14:textId="77777777" w:rsidR="00814641" w:rsidRPr="00814641" w:rsidRDefault="00814641" w:rsidP="00814641">
      <w:pPr>
        <w:spacing w:line="276" w:lineRule="auto"/>
        <w:jc w:val="both"/>
        <w:rPr>
          <w:b/>
          <w:bCs/>
          <w:sz w:val="22"/>
          <w:szCs w:val="22"/>
        </w:rPr>
      </w:pPr>
      <w:r w:rsidRPr="00814641">
        <w:rPr>
          <w:b/>
          <w:sz w:val="22"/>
          <w:szCs w:val="22"/>
        </w:rPr>
        <w:t xml:space="preserve">Obrazloženje izvršenja </w:t>
      </w:r>
      <w:r w:rsidRPr="00814641">
        <w:rPr>
          <w:b/>
          <w:bCs/>
          <w:sz w:val="22"/>
          <w:szCs w:val="22"/>
        </w:rPr>
        <w:t>prihoda i rashoda prema ekonomskoj klasifikaciji</w:t>
      </w:r>
    </w:p>
    <w:p w14:paraId="319D7E00" w14:textId="77777777" w:rsidR="00814641" w:rsidRPr="00814641" w:rsidRDefault="00814641" w:rsidP="00814641">
      <w:pPr>
        <w:spacing w:line="276" w:lineRule="auto"/>
        <w:jc w:val="both"/>
        <w:rPr>
          <w:b/>
          <w:sz w:val="22"/>
          <w:szCs w:val="22"/>
        </w:rPr>
      </w:pPr>
    </w:p>
    <w:p w14:paraId="01F787B7" w14:textId="5815C4D7" w:rsidR="00814641" w:rsidRPr="00053377" w:rsidRDefault="00814641" w:rsidP="00814641">
      <w:pPr>
        <w:spacing w:line="276" w:lineRule="auto"/>
        <w:jc w:val="both"/>
        <w:rPr>
          <w:bCs/>
          <w:sz w:val="22"/>
          <w:szCs w:val="22"/>
        </w:rPr>
      </w:pPr>
      <w:r w:rsidRPr="00053377">
        <w:rPr>
          <w:bCs/>
          <w:sz w:val="22"/>
          <w:szCs w:val="22"/>
        </w:rPr>
        <w:t xml:space="preserve">Na razini ukupnih prihoda u odnosu na isto razdoblje prošle godine bilježi se indeks povećanja od </w:t>
      </w:r>
      <w:r w:rsidR="00430CEA">
        <w:rPr>
          <w:bCs/>
          <w:sz w:val="22"/>
          <w:szCs w:val="22"/>
        </w:rPr>
        <w:t>1</w:t>
      </w:r>
      <w:r w:rsidR="0065008A">
        <w:rPr>
          <w:bCs/>
          <w:sz w:val="22"/>
          <w:szCs w:val="22"/>
        </w:rPr>
        <w:t>1</w:t>
      </w:r>
      <w:r w:rsidR="00430CEA">
        <w:rPr>
          <w:bCs/>
          <w:sz w:val="22"/>
          <w:szCs w:val="22"/>
        </w:rPr>
        <w:t>9</w:t>
      </w:r>
      <w:r w:rsidRPr="00053377">
        <w:rPr>
          <w:bCs/>
          <w:sz w:val="22"/>
          <w:szCs w:val="22"/>
        </w:rPr>
        <w:t>% u odnosu na prošlu godinu. Izvršenje prihoda za razdoblje 01.01.-3</w:t>
      </w:r>
      <w:r w:rsidR="00005EC5">
        <w:rPr>
          <w:bCs/>
          <w:sz w:val="22"/>
          <w:szCs w:val="22"/>
        </w:rPr>
        <w:t>1</w:t>
      </w:r>
      <w:r w:rsidRPr="00053377">
        <w:rPr>
          <w:bCs/>
          <w:sz w:val="22"/>
          <w:szCs w:val="22"/>
        </w:rPr>
        <w:t>.</w:t>
      </w:r>
      <w:r w:rsidR="00594469">
        <w:rPr>
          <w:bCs/>
          <w:sz w:val="22"/>
          <w:szCs w:val="22"/>
        </w:rPr>
        <w:t>12</w:t>
      </w:r>
      <w:r w:rsidRPr="00053377">
        <w:rPr>
          <w:bCs/>
          <w:sz w:val="22"/>
          <w:szCs w:val="22"/>
        </w:rPr>
        <w:t xml:space="preserve">.2024. iznosi indeks izvršenja </w:t>
      </w:r>
      <w:r w:rsidR="00594469">
        <w:rPr>
          <w:bCs/>
          <w:sz w:val="22"/>
          <w:szCs w:val="22"/>
        </w:rPr>
        <w:t>91</w:t>
      </w:r>
      <w:r w:rsidRPr="00053377">
        <w:rPr>
          <w:bCs/>
          <w:sz w:val="22"/>
          <w:szCs w:val="22"/>
        </w:rPr>
        <w:t xml:space="preserve">%. Na razini ukupnih rashoda u odnosu na isto razdoblje prošle godine bilježi se lagano povećanja od </w:t>
      </w:r>
      <w:r w:rsidR="002D2D2E">
        <w:rPr>
          <w:bCs/>
          <w:sz w:val="22"/>
          <w:szCs w:val="22"/>
        </w:rPr>
        <w:t>29</w:t>
      </w:r>
      <w:r w:rsidRPr="00053377">
        <w:rPr>
          <w:bCs/>
          <w:sz w:val="22"/>
          <w:szCs w:val="22"/>
        </w:rPr>
        <w:t xml:space="preserve">%. Indeks izvršenja za rashode za </w:t>
      </w:r>
      <w:r w:rsidR="002D2D2E">
        <w:rPr>
          <w:bCs/>
          <w:sz w:val="22"/>
          <w:szCs w:val="22"/>
        </w:rPr>
        <w:t xml:space="preserve">2024. godinu </w:t>
      </w:r>
      <w:r w:rsidRPr="00053377">
        <w:rPr>
          <w:bCs/>
          <w:sz w:val="22"/>
          <w:szCs w:val="22"/>
        </w:rPr>
        <w:t xml:space="preserve">iznosi </w:t>
      </w:r>
      <w:r w:rsidR="002D2D2E">
        <w:rPr>
          <w:bCs/>
          <w:sz w:val="22"/>
          <w:szCs w:val="22"/>
        </w:rPr>
        <w:t>94</w:t>
      </w:r>
      <w:r w:rsidRPr="00053377">
        <w:rPr>
          <w:bCs/>
          <w:sz w:val="22"/>
          <w:szCs w:val="22"/>
        </w:rPr>
        <w:t xml:space="preserve">%. Konačni prikaz prihoda i rashoda za navedeno razdoblje, odnosno iskazani trenutni </w:t>
      </w:r>
      <w:r w:rsidR="002D2D2E">
        <w:rPr>
          <w:bCs/>
          <w:sz w:val="22"/>
          <w:szCs w:val="22"/>
        </w:rPr>
        <w:t>manjak</w:t>
      </w:r>
      <w:r w:rsidRPr="00053377">
        <w:rPr>
          <w:bCs/>
          <w:sz w:val="22"/>
          <w:szCs w:val="22"/>
        </w:rPr>
        <w:t xml:space="preserve"> prihoda u odnosu na rashode, rezultat je dinamike prihoda Pučkog otvorenog učilišta Koprivnica za realizirane programe u izvještajnom razdoblju te </w:t>
      </w:r>
      <w:r w:rsidR="00C36916">
        <w:rPr>
          <w:bCs/>
          <w:sz w:val="22"/>
          <w:szCs w:val="22"/>
        </w:rPr>
        <w:t>ulaganja u nefinancijsku imovinu</w:t>
      </w:r>
      <w:r w:rsidRPr="00053377">
        <w:rPr>
          <w:bCs/>
          <w:sz w:val="22"/>
          <w:szCs w:val="22"/>
        </w:rPr>
        <w:t>. Aktivnosti Učilišta rade u punom kapacitetu što je dovelo do većeg ostvarenja prihoda i rashoda  u 2023. i 2024. godini.</w:t>
      </w:r>
    </w:p>
    <w:p w14:paraId="721A96E3" w14:textId="152557FE" w:rsidR="00814641" w:rsidRPr="00053377" w:rsidRDefault="00814641" w:rsidP="00814641">
      <w:pPr>
        <w:spacing w:line="276" w:lineRule="auto"/>
        <w:jc w:val="both"/>
        <w:rPr>
          <w:bCs/>
          <w:sz w:val="22"/>
          <w:szCs w:val="22"/>
        </w:rPr>
      </w:pPr>
      <w:r w:rsidRPr="00FA1BB4">
        <w:rPr>
          <w:sz w:val="22"/>
          <w:szCs w:val="22"/>
        </w:rPr>
        <w:t xml:space="preserve">Kod prihoda  pomoći od međunarodnih organizacija (EU projekti) izvršenje je </w:t>
      </w:r>
      <w:r w:rsidR="00BE0DF9" w:rsidRPr="00FA1BB4">
        <w:rPr>
          <w:sz w:val="22"/>
          <w:szCs w:val="22"/>
        </w:rPr>
        <w:t>u porastu u odnosu</w:t>
      </w:r>
      <w:r w:rsidR="00DF7027" w:rsidRPr="00FA1BB4">
        <w:rPr>
          <w:sz w:val="22"/>
          <w:szCs w:val="22"/>
        </w:rPr>
        <w:t xml:space="preserve"> na</w:t>
      </w:r>
      <w:r w:rsidRPr="00FA1BB4">
        <w:rPr>
          <w:sz w:val="22"/>
          <w:szCs w:val="22"/>
        </w:rPr>
        <w:t xml:space="preserve"> prošle godine. </w:t>
      </w:r>
      <w:r w:rsidR="00A92E04" w:rsidRPr="00FA1BB4">
        <w:rPr>
          <w:bCs/>
          <w:sz w:val="22"/>
          <w:szCs w:val="22"/>
        </w:rPr>
        <w:t>Ove</w:t>
      </w:r>
      <w:r w:rsidRPr="00FA1BB4">
        <w:rPr>
          <w:sz w:val="22"/>
          <w:szCs w:val="22"/>
        </w:rPr>
        <w:t xml:space="preserve"> godine </w:t>
      </w:r>
      <w:r w:rsidR="00A4080F" w:rsidRPr="00FA1BB4">
        <w:rPr>
          <w:bCs/>
          <w:sz w:val="22"/>
          <w:szCs w:val="22"/>
        </w:rPr>
        <w:t>sm</w:t>
      </w:r>
      <w:r w:rsidR="002B4EF0" w:rsidRPr="00FA1BB4">
        <w:rPr>
          <w:bCs/>
          <w:sz w:val="22"/>
          <w:szCs w:val="22"/>
        </w:rPr>
        <w:t>o</w:t>
      </w:r>
      <w:r w:rsidRPr="00FA1BB4">
        <w:rPr>
          <w:bCs/>
          <w:sz w:val="22"/>
          <w:szCs w:val="22"/>
        </w:rPr>
        <w:t xml:space="preserve"> </w:t>
      </w:r>
      <w:r w:rsidRPr="00FA1BB4">
        <w:rPr>
          <w:sz w:val="22"/>
          <w:szCs w:val="22"/>
        </w:rPr>
        <w:t xml:space="preserve">zaprimili prihode za </w:t>
      </w:r>
      <w:r w:rsidR="006D0CBC" w:rsidRPr="00FA1BB4">
        <w:rPr>
          <w:bCs/>
          <w:sz w:val="22"/>
          <w:szCs w:val="22"/>
        </w:rPr>
        <w:t>šest</w:t>
      </w:r>
      <w:r w:rsidRPr="00FA1BB4">
        <w:rPr>
          <w:sz w:val="22"/>
          <w:szCs w:val="22"/>
        </w:rPr>
        <w:t xml:space="preserve"> EU projekata na navedenom kontu, od kojih su dva završila, </w:t>
      </w:r>
      <w:r w:rsidR="00A4080F" w:rsidRPr="00FA1BB4">
        <w:rPr>
          <w:bCs/>
          <w:sz w:val="22"/>
          <w:szCs w:val="22"/>
        </w:rPr>
        <w:t>te</w:t>
      </w:r>
      <w:r w:rsidRPr="00FA1BB4">
        <w:rPr>
          <w:sz w:val="22"/>
          <w:szCs w:val="22"/>
        </w:rPr>
        <w:t xml:space="preserve"> je </w:t>
      </w:r>
      <w:r w:rsidR="00A4080F" w:rsidRPr="00FA1BB4">
        <w:rPr>
          <w:bCs/>
          <w:sz w:val="22"/>
          <w:szCs w:val="22"/>
        </w:rPr>
        <w:t>iznos</w:t>
      </w:r>
      <w:r w:rsidR="002B4EF0" w:rsidRPr="00FA1BB4">
        <w:rPr>
          <w:bCs/>
          <w:sz w:val="22"/>
          <w:szCs w:val="22"/>
        </w:rPr>
        <w:t xml:space="preserve"> prihoda </w:t>
      </w:r>
      <w:r w:rsidR="00F041A5" w:rsidRPr="00FA1BB4">
        <w:rPr>
          <w:sz w:val="22"/>
          <w:szCs w:val="22"/>
        </w:rPr>
        <w:t>37.519,92</w:t>
      </w:r>
      <w:r w:rsidRPr="00FA1BB4">
        <w:rPr>
          <w:sz w:val="22"/>
          <w:szCs w:val="22"/>
        </w:rPr>
        <w:t xml:space="preserve"> </w:t>
      </w:r>
      <w:r w:rsidR="0040014A" w:rsidRPr="00FA1BB4">
        <w:rPr>
          <w:sz w:val="22"/>
          <w:szCs w:val="22"/>
        </w:rPr>
        <w:t>€</w:t>
      </w:r>
      <w:r w:rsidRPr="00FA1BB4">
        <w:rPr>
          <w:sz w:val="22"/>
          <w:szCs w:val="22"/>
        </w:rPr>
        <w:t xml:space="preserve">, što je indeks izvršenja od </w:t>
      </w:r>
      <w:r w:rsidR="00F041A5" w:rsidRPr="00FA1BB4">
        <w:rPr>
          <w:sz w:val="22"/>
          <w:szCs w:val="22"/>
        </w:rPr>
        <w:t>127</w:t>
      </w:r>
      <w:r w:rsidRPr="00FA1BB4">
        <w:rPr>
          <w:sz w:val="22"/>
          <w:szCs w:val="22"/>
        </w:rPr>
        <w:t xml:space="preserve"> % u odnosu na 2023. Tijekom narednog izvještajnog razdoblja očekuje se više prihoda čime će se nivelirati preneseni manjak nastao evidentiranjem rashoda za realizaciju EU projekata.</w:t>
      </w:r>
    </w:p>
    <w:p w14:paraId="011B8884" w14:textId="132C8632" w:rsidR="00814641" w:rsidRDefault="00814641" w:rsidP="00814641">
      <w:pPr>
        <w:spacing w:line="276" w:lineRule="auto"/>
        <w:jc w:val="both"/>
        <w:rPr>
          <w:bCs/>
          <w:sz w:val="22"/>
          <w:szCs w:val="22"/>
        </w:rPr>
      </w:pPr>
      <w:r w:rsidRPr="00053377">
        <w:rPr>
          <w:bCs/>
          <w:sz w:val="22"/>
          <w:szCs w:val="22"/>
        </w:rPr>
        <w:t xml:space="preserve">U 2024. godini primili smo sredstva iz nenadležnog proračuna za glazbeno-scensku djelatnost od Ministarstva kulture i medija i Hrvatskog audiovizualnog centra (HAVC), u povećanom iznosu od </w:t>
      </w:r>
      <w:r w:rsidR="00A809F1">
        <w:rPr>
          <w:bCs/>
          <w:sz w:val="22"/>
          <w:szCs w:val="22"/>
        </w:rPr>
        <w:t>51.230</w:t>
      </w:r>
      <w:r w:rsidR="0065158C">
        <w:rPr>
          <w:bCs/>
          <w:sz w:val="22"/>
          <w:szCs w:val="22"/>
        </w:rPr>
        <w:t>,89</w:t>
      </w:r>
      <w:r w:rsidRPr="00053377">
        <w:rPr>
          <w:bCs/>
          <w:sz w:val="22"/>
          <w:szCs w:val="22"/>
        </w:rPr>
        <w:t xml:space="preserve"> </w:t>
      </w:r>
      <w:r w:rsidR="0040014A">
        <w:rPr>
          <w:bCs/>
          <w:sz w:val="22"/>
          <w:szCs w:val="22"/>
        </w:rPr>
        <w:t>€</w:t>
      </w:r>
      <w:r w:rsidRPr="00053377">
        <w:rPr>
          <w:bCs/>
          <w:sz w:val="22"/>
          <w:szCs w:val="22"/>
        </w:rPr>
        <w:t xml:space="preserve"> (indeks odstupanja  u odnosu na 2023. je </w:t>
      </w:r>
      <w:r w:rsidR="0065158C">
        <w:rPr>
          <w:bCs/>
          <w:sz w:val="22"/>
          <w:szCs w:val="22"/>
        </w:rPr>
        <w:t>245</w:t>
      </w:r>
      <w:r w:rsidRPr="00053377">
        <w:rPr>
          <w:bCs/>
          <w:sz w:val="22"/>
          <w:szCs w:val="22"/>
        </w:rPr>
        <w:t>%).</w:t>
      </w:r>
    </w:p>
    <w:p w14:paraId="61DFD7F2" w14:textId="5C8A91B5" w:rsidR="005C33A5" w:rsidRPr="00053377" w:rsidRDefault="00D22574" w:rsidP="00814641">
      <w:pPr>
        <w:spacing w:line="276" w:lineRule="auto"/>
        <w:jc w:val="both"/>
        <w:rPr>
          <w:bCs/>
          <w:sz w:val="22"/>
          <w:szCs w:val="22"/>
        </w:rPr>
      </w:pPr>
      <w:r>
        <w:rPr>
          <w:bCs/>
          <w:sz w:val="22"/>
          <w:szCs w:val="22"/>
        </w:rPr>
        <w:t xml:space="preserve">Pomoći temeljem prijenosa EU povećale su se u odnosu na prošlu godinu i to za </w:t>
      </w:r>
      <w:r w:rsidR="002C41D2">
        <w:rPr>
          <w:bCs/>
          <w:sz w:val="22"/>
          <w:szCs w:val="22"/>
        </w:rPr>
        <w:t>9%.</w:t>
      </w:r>
    </w:p>
    <w:p w14:paraId="1850E1C8" w14:textId="5572CD48" w:rsidR="00814641" w:rsidRDefault="0045748C" w:rsidP="00814641">
      <w:pPr>
        <w:spacing w:line="276" w:lineRule="auto"/>
        <w:jc w:val="both"/>
        <w:rPr>
          <w:bCs/>
          <w:sz w:val="22"/>
          <w:szCs w:val="22"/>
        </w:rPr>
      </w:pPr>
      <w:r>
        <w:rPr>
          <w:bCs/>
          <w:sz w:val="22"/>
          <w:szCs w:val="22"/>
        </w:rPr>
        <w:lastRenderedPageBreak/>
        <w:t>Manje</w:t>
      </w:r>
      <w:r w:rsidR="00814641" w:rsidRPr="00053377">
        <w:rPr>
          <w:bCs/>
          <w:sz w:val="22"/>
          <w:szCs w:val="22"/>
        </w:rPr>
        <w:t xml:space="preserve"> odstupanje bilježi se na vlastitim prihodima ostvarenim od prodaje proizvoda i robe te pružanih usluga. Smanjeni su prihodi od pružanih usluga u obrazovnoj  i kino djelatnosti u POU Koprivnica</w:t>
      </w:r>
      <w:bookmarkStart w:id="6" w:name="_Hlk36635210"/>
      <w:r w:rsidR="00814641" w:rsidRPr="00053377">
        <w:rPr>
          <w:bCs/>
          <w:sz w:val="22"/>
          <w:szCs w:val="22"/>
        </w:rPr>
        <w:t xml:space="preserve">, te je ove godine index odstupanja </w:t>
      </w:r>
      <w:r w:rsidR="00A609F7">
        <w:rPr>
          <w:bCs/>
          <w:sz w:val="22"/>
          <w:szCs w:val="22"/>
        </w:rPr>
        <w:t>96</w:t>
      </w:r>
      <w:r w:rsidR="00814641" w:rsidRPr="00053377">
        <w:rPr>
          <w:bCs/>
          <w:sz w:val="22"/>
          <w:szCs w:val="22"/>
        </w:rPr>
        <w:t>%</w:t>
      </w:r>
      <w:bookmarkEnd w:id="6"/>
      <w:r w:rsidR="00814641" w:rsidRPr="00053377">
        <w:rPr>
          <w:bCs/>
          <w:sz w:val="22"/>
          <w:szCs w:val="22"/>
        </w:rPr>
        <w:t xml:space="preserve"> u odnosu na isto razdoblje prošle godine</w:t>
      </w:r>
      <w:r w:rsidR="00907773">
        <w:rPr>
          <w:bCs/>
          <w:sz w:val="22"/>
          <w:szCs w:val="22"/>
        </w:rPr>
        <w:t>,</w:t>
      </w:r>
      <w:r w:rsidR="00814641" w:rsidRPr="00053377">
        <w:rPr>
          <w:bCs/>
          <w:sz w:val="22"/>
          <w:szCs w:val="22"/>
        </w:rPr>
        <w:t xml:space="preserve"> dok je indeks izvršenja za 2024. </w:t>
      </w:r>
      <w:r w:rsidR="00A609F7">
        <w:rPr>
          <w:bCs/>
          <w:sz w:val="22"/>
          <w:szCs w:val="22"/>
        </w:rPr>
        <w:t>84</w:t>
      </w:r>
      <w:r w:rsidR="00814641" w:rsidRPr="00053377">
        <w:rPr>
          <w:bCs/>
          <w:sz w:val="22"/>
          <w:szCs w:val="22"/>
        </w:rPr>
        <w:t xml:space="preserve">%. </w:t>
      </w:r>
    </w:p>
    <w:p w14:paraId="59FDA0F9" w14:textId="17A31F72" w:rsidR="00FB04FE" w:rsidRPr="00053377" w:rsidRDefault="00FB04FE" w:rsidP="00814641">
      <w:pPr>
        <w:spacing w:line="276" w:lineRule="auto"/>
        <w:jc w:val="both"/>
        <w:rPr>
          <w:bCs/>
          <w:sz w:val="22"/>
          <w:szCs w:val="22"/>
        </w:rPr>
      </w:pPr>
      <w:r w:rsidRPr="00FB04FE">
        <w:rPr>
          <w:bCs/>
          <w:sz w:val="22"/>
          <w:szCs w:val="22"/>
        </w:rPr>
        <w:t xml:space="preserve">Donacije se odnose na prihod od HUZIP-a za planirani koncert, a plan je iznosio 700,00 </w:t>
      </w:r>
      <w:r w:rsidR="005C3B01">
        <w:rPr>
          <w:bCs/>
          <w:sz w:val="22"/>
          <w:szCs w:val="22"/>
        </w:rPr>
        <w:t>€</w:t>
      </w:r>
      <w:r w:rsidRPr="00FB04FE">
        <w:rPr>
          <w:bCs/>
          <w:sz w:val="22"/>
          <w:szCs w:val="22"/>
        </w:rPr>
        <w:t>. Plan je izvršen u 100% iznosu.</w:t>
      </w:r>
    </w:p>
    <w:p w14:paraId="71F2877A" w14:textId="1B62775D" w:rsidR="00814641" w:rsidRPr="00053377" w:rsidRDefault="00B873C9" w:rsidP="00814641">
      <w:pPr>
        <w:spacing w:line="276" w:lineRule="auto"/>
        <w:jc w:val="both"/>
        <w:rPr>
          <w:bCs/>
          <w:sz w:val="22"/>
          <w:szCs w:val="22"/>
        </w:rPr>
      </w:pPr>
      <w:r>
        <w:rPr>
          <w:bCs/>
          <w:sz w:val="22"/>
          <w:szCs w:val="22"/>
        </w:rPr>
        <w:t>Povećanje</w:t>
      </w:r>
      <w:r w:rsidR="00814641" w:rsidRPr="00053377">
        <w:rPr>
          <w:bCs/>
          <w:sz w:val="22"/>
          <w:szCs w:val="22"/>
        </w:rPr>
        <w:t xml:space="preserve"> u prihodima izvršilo se na prihodima iz nadležnog proračuna</w:t>
      </w:r>
      <w:bookmarkStart w:id="7" w:name="_Hlk140050357"/>
      <w:r w:rsidR="00814641" w:rsidRPr="00053377">
        <w:rPr>
          <w:bCs/>
          <w:sz w:val="22"/>
          <w:szCs w:val="22"/>
        </w:rPr>
        <w:t xml:space="preserve"> </w:t>
      </w:r>
      <w:bookmarkEnd w:id="7"/>
      <w:r w:rsidR="00814641" w:rsidRPr="00053377">
        <w:rPr>
          <w:bCs/>
          <w:sz w:val="22"/>
          <w:szCs w:val="22"/>
        </w:rPr>
        <w:t>(indeks odstupanja 1</w:t>
      </w:r>
      <w:r w:rsidR="00760E07">
        <w:rPr>
          <w:bCs/>
          <w:sz w:val="22"/>
          <w:szCs w:val="22"/>
        </w:rPr>
        <w:t>27</w:t>
      </w:r>
      <w:r w:rsidR="00814641" w:rsidRPr="00053377">
        <w:rPr>
          <w:bCs/>
          <w:sz w:val="22"/>
          <w:szCs w:val="22"/>
        </w:rPr>
        <w:t xml:space="preserve">%), a indeks izvršenja u odnosu na plan 2024. je </w:t>
      </w:r>
      <w:r w:rsidR="00760E07">
        <w:rPr>
          <w:bCs/>
          <w:sz w:val="22"/>
          <w:szCs w:val="22"/>
        </w:rPr>
        <w:t>97</w:t>
      </w:r>
      <w:r w:rsidR="00814641" w:rsidRPr="00053377">
        <w:rPr>
          <w:bCs/>
          <w:sz w:val="22"/>
          <w:szCs w:val="22"/>
        </w:rPr>
        <w:t>%. Navedeni prihod troši se za podmirenje rashoda za zaposlene, materijalne i financijske rashode, rashode za nabavu dugotrajne nefinancijske imovine, te rashode programske djelatnosti.</w:t>
      </w:r>
    </w:p>
    <w:p w14:paraId="5643F48C" w14:textId="7FE82911" w:rsidR="00814641" w:rsidRPr="00053377" w:rsidRDefault="00814641" w:rsidP="00814641">
      <w:pPr>
        <w:spacing w:line="276" w:lineRule="auto"/>
        <w:jc w:val="both"/>
        <w:rPr>
          <w:bCs/>
          <w:sz w:val="22"/>
          <w:szCs w:val="22"/>
        </w:rPr>
      </w:pPr>
      <w:r w:rsidRPr="001C0477">
        <w:rPr>
          <w:sz w:val="22"/>
          <w:szCs w:val="22"/>
        </w:rPr>
        <w:t xml:space="preserve">Troškovi rashoda </w:t>
      </w:r>
      <w:r w:rsidRPr="00053377">
        <w:rPr>
          <w:bCs/>
          <w:sz w:val="22"/>
          <w:szCs w:val="22"/>
        </w:rPr>
        <w:t xml:space="preserve">za zaposlene povećali su se u odnosu na prošlu godinu </w:t>
      </w:r>
      <w:bookmarkStart w:id="8" w:name="_Hlk108780987"/>
      <w:r w:rsidRPr="00053377">
        <w:rPr>
          <w:bCs/>
          <w:sz w:val="22"/>
          <w:szCs w:val="22"/>
        </w:rPr>
        <w:t xml:space="preserve">(index odstupanja je </w:t>
      </w:r>
      <w:r w:rsidR="006562C2">
        <w:rPr>
          <w:bCs/>
          <w:sz w:val="22"/>
          <w:szCs w:val="22"/>
        </w:rPr>
        <w:t>126</w:t>
      </w:r>
      <w:r w:rsidRPr="00053377">
        <w:rPr>
          <w:bCs/>
          <w:sz w:val="22"/>
          <w:szCs w:val="22"/>
        </w:rPr>
        <w:t>% u odnosu na isto razdoblje prošle godine). Vrijednosno najveći rashodi evidentirani su za plaće za 16 radnika koji su gotovo u cijelosti financirani iz nadležnog proračuna te ostala materijalna prava svih radnika (jubilarne nagrade, naknada za prehranu te prijevoz na posao i s posla, službena putovanja i stručna usavršavanja) temeljem novog Kolektivnog ugovora za zaposlene u ustanovama kulture Grada Koprivnice potpisanog 30.1.2023., I. Dodatka Kolektivnom ugovoru za zaposlene u ustanovama kulture Grada Koprivnice od 29. rujna 2023. g. te II. Dodatka Kolektivnom ugovoru za zaposlene u ustanovama kulture Grada Koprivnice od 22. ožujka 2024. g,</w:t>
      </w:r>
      <w:r w:rsidR="008E37E6" w:rsidRPr="008E37E6">
        <w:rPr>
          <w:bCs/>
          <w:color w:val="000000"/>
          <w:sz w:val="22"/>
          <w:szCs w:val="22"/>
        </w:rPr>
        <w:t xml:space="preserve"> </w:t>
      </w:r>
      <w:r w:rsidR="008E37E6" w:rsidRPr="008E37E6">
        <w:rPr>
          <w:bCs/>
          <w:sz w:val="22"/>
          <w:szCs w:val="22"/>
        </w:rPr>
        <w:t>III. Dodatkom Kolektivnom ugovoru za zaposlene u ustanovama kulture Grada Koprivnice od 5. prosinca 2024. g</w:t>
      </w:r>
      <w:r w:rsidR="008E37E6">
        <w:rPr>
          <w:bCs/>
          <w:sz w:val="22"/>
          <w:szCs w:val="22"/>
        </w:rPr>
        <w:t>.</w:t>
      </w:r>
      <w:r w:rsidRPr="00053377">
        <w:rPr>
          <w:bCs/>
          <w:sz w:val="22"/>
          <w:szCs w:val="22"/>
        </w:rPr>
        <w:t xml:space="preserve"> u iznosu </w:t>
      </w:r>
      <w:r w:rsidR="00A34A2D">
        <w:rPr>
          <w:bCs/>
          <w:sz w:val="22"/>
          <w:szCs w:val="22"/>
        </w:rPr>
        <w:t>371.201,76</w:t>
      </w:r>
      <w:r w:rsidRPr="00053377">
        <w:rPr>
          <w:bCs/>
          <w:sz w:val="22"/>
          <w:szCs w:val="22"/>
        </w:rPr>
        <w:t xml:space="preserve"> </w:t>
      </w:r>
      <w:r w:rsidR="0020057C">
        <w:rPr>
          <w:bCs/>
          <w:sz w:val="22"/>
          <w:szCs w:val="22"/>
        </w:rPr>
        <w:t>EUR</w:t>
      </w:r>
      <w:r w:rsidRPr="00053377">
        <w:rPr>
          <w:bCs/>
          <w:sz w:val="22"/>
          <w:szCs w:val="22"/>
        </w:rPr>
        <w:t>. Rashod za plaće  blago je povećan zbog povećanja plaće prema II. Dodatku Kolektivnog ugovora za zaposlene u ustanovama kulture Grada Koprivnice od 22. ožujka 2024.</w:t>
      </w:r>
      <w:r w:rsidR="001B316A">
        <w:rPr>
          <w:bCs/>
          <w:sz w:val="22"/>
          <w:szCs w:val="22"/>
        </w:rPr>
        <w:t xml:space="preserve"> i </w:t>
      </w:r>
      <w:r w:rsidR="001B316A" w:rsidRPr="001B316A">
        <w:rPr>
          <w:bCs/>
          <w:sz w:val="22"/>
          <w:szCs w:val="22"/>
        </w:rPr>
        <w:t>III. Dodatkom Kolektivnom ugovoru za zaposlene u ustanovama kulture Grada Koprivnice od 5. prosinca 2024. g</w:t>
      </w:r>
      <w:r w:rsidR="001B316A">
        <w:rPr>
          <w:bCs/>
          <w:sz w:val="22"/>
          <w:szCs w:val="22"/>
        </w:rPr>
        <w:t>.</w:t>
      </w:r>
    </w:p>
    <w:p w14:paraId="0809896A" w14:textId="54AD5D8D" w:rsidR="00814641" w:rsidRPr="00053377" w:rsidRDefault="00814641" w:rsidP="00814641">
      <w:pPr>
        <w:spacing w:line="276" w:lineRule="auto"/>
        <w:jc w:val="both"/>
        <w:rPr>
          <w:bCs/>
          <w:sz w:val="22"/>
          <w:szCs w:val="22"/>
        </w:rPr>
      </w:pPr>
      <w:bookmarkStart w:id="9" w:name="_Hlk192828746"/>
      <w:r w:rsidRPr="00053377">
        <w:rPr>
          <w:bCs/>
          <w:sz w:val="22"/>
          <w:szCs w:val="22"/>
        </w:rPr>
        <w:t>Ostali rashodi za zaposlene smanjili su se u odnosu na 2023. g. zbog manjih isplata naknada za zaposlene. Isplatio se regres</w:t>
      </w:r>
      <w:r w:rsidR="007A7855">
        <w:rPr>
          <w:bCs/>
          <w:sz w:val="22"/>
          <w:szCs w:val="22"/>
        </w:rPr>
        <w:t xml:space="preserve">, božićnica, dar djeci, </w:t>
      </w:r>
      <w:r w:rsidR="007A7855" w:rsidRPr="00271871">
        <w:rPr>
          <w:sz w:val="22"/>
          <w:szCs w:val="22"/>
        </w:rPr>
        <w:t>nagrade</w:t>
      </w:r>
      <w:r w:rsidRPr="00271871">
        <w:rPr>
          <w:sz w:val="22"/>
          <w:szCs w:val="22"/>
        </w:rPr>
        <w:t xml:space="preserve"> te </w:t>
      </w:r>
      <w:r w:rsidR="00271871" w:rsidRPr="00271871">
        <w:rPr>
          <w:bCs/>
          <w:sz w:val="22"/>
          <w:szCs w:val="22"/>
        </w:rPr>
        <w:t>2</w:t>
      </w:r>
      <w:r w:rsidRPr="00271871">
        <w:rPr>
          <w:sz w:val="22"/>
          <w:szCs w:val="22"/>
        </w:rPr>
        <w:t xml:space="preserve"> jubilarn</w:t>
      </w:r>
      <w:r w:rsidR="007A7855" w:rsidRPr="00271871">
        <w:rPr>
          <w:sz w:val="22"/>
          <w:szCs w:val="22"/>
        </w:rPr>
        <w:t>e</w:t>
      </w:r>
      <w:r w:rsidRPr="00271871">
        <w:rPr>
          <w:sz w:val="22"/>
          <w:szCs w:val="22"/>
        </w:rPr>
        <w:t xml:space="preserve"> nagrad</w:t>
      </w:r>
      <w:r w:rsidR="007A7855" w:rsidRPr="00271871">
        <w:rPr>
          <w:sz w:val="22"/>
          <w:szCs w:val="22"/>
        </w:rPr>
        <w:t>e</w:t>
      </w:r>
      <w:r w:rsidRPr="00271871">
        <w:rPr>
          <w:sz w:val="22"/>
          <w:szCs w:val="22"/>
        </w:rPr>
        <w:t xml:space="preserve"> </w:t>
      </w:r>
      <w:r w:rsidRPr="00053377">
        <w:rPr>
          <w:bCs/>
          <w:sz w:val="22"/>
          <w:szCs w:val="22"/>
        </w:rPr>
        <w:t xml:space="preserve">u </w:t>
      </w:r>
      <w:r w:rsidR="00D87207">
        <w:rPr>
          <w:bCs/>
          <w:sz w:val="22"/>
          <w:szCs w:val="22"/>
        </w:rPr>
        <w:t>12</w:t>
      </w:r>
      <w:r w:rsidRPr="00053377">
        <w:rPr>
          <w:bCs/>
          <w:sz w:val="22"/>
          <w:szCs w:val="22"/>
        </w:rPr>
        <w:t xml:space="preserve"> mjeseci 2024.</w:t>
      </w:r>
      <w:bookmarkEnd w:id="8"/>
      <w:r w:rsidRPr="00053377">
        <w:rPr>
          <w:bCs/>
          <w:sz w:val="22"/>
          <w:szCs w:val="22"/>
        </w:rPr>
        <w:t xml:space="preserve"> (indeks odstupanja </w:t>
      </w:r>
      <w:r w:rsidR="00D87207">
        <w:rPr>
          <w:bCs/>
          <w:sz w:val="22"/>
          <w:szCs w:val="22"/>
        </w:rPr>
        <w:t>95</w:t>
      </w:r>
      <w:r w:rsidRPr="00053377">
        <w:rPr>
          <w:bCs/>
          <w:sz w:val="22"/>
          <w:szCs w:val="22"/>
        </w:rPr>
        <w:t xml:space="preserve">%). Naknade troškova zaposlenih tj. troškovi službenih putovanja, naknade za prijevoz i stručnog usavršavanja smanjeni su u odnosu na prošlu godinu (index odstupanja je </w:t>
      </w:r>
      <w:r w:rsidR="00D87207">
        <w:rPr>
          <w:bCs/>
          <w:sz w:val="22"/>
          <w:szCs w:val="22"/>
        </w:rPr>
        <w:t>95</w:t>
      </w:r>
      <w:r w:rsidRPr="00053377">
        <w:rPr>
          <w:bCs/>
          <w:sz w:val="22"/>
          <w:szCs w:val="22"/>
        </w:rPr>
        <w:t>% u odnosu na isto razdoblje prošle godine).</w:t>
      </w:r>
    </w:p>
    <w:p w14:paraId="70E94E3E" w14:textId="7223F498" w:rsidR="00814641" w:rsidRPr="00053377" w:rsidRDefault="00814641" w:rsidP="00814641">
      <w:pPr>
        <w:spacing w:line="276" w:lineRule="auto"/>
        <w:jc w:val="both"/>
        <w:rPr>
          <w:bCs/>
          <w:sz w:val="22"/>
          <w:szCs w:val="22"/>
        </w:rPr>
      </w:pPr>
      <w:r w:rsidRPr="00053377">
        <w:rPr>
          <w:bCs/>
          <w:sz w:val="22"/>
          <w:szCs w:val="22"/>
        </w:rPr>
        <w:t>Rashodi za materijal i energiju povećali su se zbog veće potrošnje uredskog materijala i potrošnje energije za POU Koprivnica u</w:t>
      </w:r>
      <w:r w:rsidR="0010391B">
        <w:rPr>
          <w:bCs/>
          <w:sz w:val="22"/>
          <w:szCs w:val="22"/>
        </w:rPr>
        <w:t xml:space="preserve"> 12. </w:t>
      </w:r>
      <w:r w:rsidRPr="00053377">
        <w:rPr>
          <w:bCs/>
          <w:sz w:val="22"/>
          <w:szCs w:val="22"/>
        </w:rPr>
        <w:t xml:space="preserve">mjeseci 2024. godine (index odstupanja je </w:t>
      </w:r>
      <w:r w:rsidR="0010391B">
        <w:rPr>
          <w:bCs/>
          <w:sz w:val="22"/>
          <w:szCs w:val="22"/>
        </w:rPr>
        <w:t>126</w:t>
      </w:r>
      <w:r w:rsidRPr="00053377">
        <w:rPr>
          <w:bCs/>
          <w:sz w:val="22"/>
          <w:szCs w:val="22"/>
        </w:rPr>
        <w:t xml:space="preserve">% u odnosu na prošlu godinu). </w:t>
      </w:r>
      <w:r w:rsidR="006D38C4" w:rsidRPr="006D38C4">
        <w:rPr>
          <w:bCs/>
          <w:sz w:val="22"/>
          <w:szCs w:val="22"/>
        </w:rPr>
        <w:t>Rashodi za materijal i energiju blago se povećali zbog povećanja cijena na tržištu.</w:t>
      </w:r>
    </w:p>
    <w:bookmarkEnd w:id="9"/>
    <w:p w14:paraId="416B9D34" w14:textId="1AE009C0" w:rsidR="00814641" w:rsidRDefault="00814641" w:rsidP="00814641">
      <w:pPr>
        <w:spacing w:line="276" w:lineRule="auto"/>
        <w:jc w:val="both"/>
        <w:rPr>
          <w:bCs/>
          <w:sz w:val="22"/>
          <w:szCs w:val="22"/>
        </w:rPr>
      </w:pPr>
      <w:r w:rsidRPr="00053377">
        <w:rPr>
          <w:bCs/>
          <w:sz w:val="22"/>
          <w:szCs w:val="22"/>
        </w:rPr>
        <w:t xml:space="preserve">U odnosu na prošlu godinu najviše su se povećali rashodi za </w:t>
      </w:r>
      <w:r w:rsidR="006E6055">
        <w:rPr>
          <w:bCs/>
          <w:sz w:val="22"/>
          <w:szCs w:val="22"/>
        </w:rPr>
        <w:t>usluge</w:t>
      </w:r>
      <w:r w:rsidRPr="00053377">
        <w:rPr>
          <w:bCs/>
          <w:sz w:val="22"/>
          <w:szCs w:val="22"/>
        </w:rPr>
        <w:t xml:space="preserve"> </w:t>
      </w:r>
      <w:r w:rsidR="00657755">
        <w:rPr>
          <w:bCs/>
          <w:sz w:val="22"/>
          <w:szCs w:val="22"/>
        </w:rPr>
        <w:t xml:space="preserve">gdje se najveći </w:t>
      </w:r>
      <w:r w:rsidRPr="00053377">
        <w:rPr>
          <w:bCs/>
          <w:sz w:val="22"/>
          <w:szCs w:val="22"/>
        </w:rPr>
        <w:t xml:space="preserve">rashodi za </w:t>
      </w:r>
      <w:r w:rsidR="00AE1B30">
        <w:rPr>
          <w:bCs/>
          <w:sz w:val="22"/>
          <w:szCs w:val="22"/>
        </w:rPr>
        <w:t xml:space="preserve">intelektualne </w:t>
      </w:r>
      <w:r w:rsidR="00F25125">
        <w:rPr>
          <w:bCs/>
          <w:sz w:val="22"/>
          <w:szCs w:val="22"/>
        </w:rPr>
        <w:t>usluge</w:t>
      </w:r>
      <w:r w:rsidR="00AE1B30">
        <w:rPr>
          <w:bCs/>
          <w:sz w:val="22"/>
          <w:szCs w:val="22"/>
        </w:rPr>
        <w:t xml:space="preserve"> i </w:t>
      </w:r>
      <w:r w:rsidR="00F25125">
        <w:rPr>
          <w:bCs/>
          <w:sz w:val="22"/>
          <w:szCs w:val="22"/>
        </w:rPr>
        <w:t>usluge investicijskog održavanja</w:t>
      </w:r>
      <w:r w:rsidRPr="00053377">
        <w:rPr>
          <w:bCs/>
          <w:sz w:val="22"/>
          <w:szCs w:val="22"/>
        </w:rPr>
        <w:t xml:space="preserve"> (index odstupanja je </w:t>
      </w:r>
      <w:r w:rsidR="00F25125">
        <w:rPr>
          <w:bCs/>
          <w:sz w:val="22"/>
          <w:szCs w:val="22"/>
        </w:rPr>
        <w:t>119</w:t>
      </w:r>
      <w:r w:rsidRPr="00053377">
        <w:rPr>
          <w:bCs/>
          <w:sz w:val="22"/>
          <w:szCs w:val="22"/>
        </w:rPr>
        <w:t xml:space="preserve">% u odnosu na prošlu godinu). </w:t>
      </w:r>
    </w:p>
    <w:p w14:paraId="2983233F" w14:textId="77777777" w:rsidR="008A23B9" w:rsidRPr="008A23B9" w:rsidRDefault="008A23B9" w:rsidP="008A23B9">
      <w:pPr>
        <w:spacing w:line="276" w:lineRule="auto"/>
        <w:jc w:val="both"/>
        <w:rPr>
          <w:bCs/>
          <w:sz w:val="22"/>
          <w:szCs w:val="22"/>
        </w:rPr>
      </w:pPr>
      <w:r w:rsidRPr="008A23B9">
        <w:rPr>
          <w:bCs/>
          <w:sz w:val="22"/>
          <w:szCs w:val="22"/>
        </w:rPr>
        <w:t>Najveće povećanje bilježimo kod naknada troškova osobama izvan radnog odnosa zbog isplata financijske potpore vanjskim suradnicima  u projektu GO DIGITAL.</w:t>
      </w:r>
    </w:p>
    <w:p w14:paraId="587AB752" w14:textId="338D7E41" w:rsidR="00814641" w:rsidRPr="00053377" w:rsidRDefault="00F230CC" w:rsidP="00814641">
      <w:pPr>
        <w:spacing w:line="276" w:lineRule="auto"/>
        <w:jc w:val="both"/>
        <w:rPr>
          <w:bCs/>
          <w:sz w:val="22"/>
          <w:szCs w:val="22"/>
        </w:rPr>
      </w:pPr>
      <w:r>
        <w:rPr>
          <w:bCs/>
          <w:sz w:val="22"/>
          <w:szCs w:val="22"/>
        </w:rPr>
        <w:t>Veće</w:t>
      </w:r>
      <w:r w:rsidR="00814641" w:rsidRPr="00053377">
        <w:rPr>
          <w:bCs/>
          <w:sz w:val="22"/>
          <w:szCs w:val="22"/>
        </w:rPr>
        <w:t xml:space="preserve"> povećanje bilježi se na ostalim nespomenutim rashodima u odnosu na prošlu godinu (index odstupanja je 1</w:t>
      </w:r>
      <w:r w:rsidR="00583D43">
        <w:rPr>
          <w:bCs/>
          <w:sz w:val="22"/>
          <w:szCs w:val="22"/>
        </w:rPr>
        <w:t>45</w:t>
      </w:r>
      <w:r w:rsidR="00814641" w:rsidRPr="00053377">
        <w:rPr>
          <w:bCs/>
          <w:sz w:val="22"/>
          <w:szCs w:val="22"/>
        </w:rPr>
        <w:t xml:space="preserve">%) za </w:t>
      </w:r>
      <w:r w:rsidR="00583D43">
        <w:rPr>
          <w:bCs/>
          <w:sz w:val="22"/>
          <w:szCs w:val="22"/>
        </w:rPr>
        <w:t xml:space="preserve">ostale nespomenute rashode </w:t>
      </w:r>
      <w:r w:rsidR="00F563E2" w:rsidRPr="00F563E2">
        <w:rPr>
          <w:bCs/>
          <w:sz w:val="22"/>
          <w:szCs w:val="22"/>
        </w:rPr>
        <w:t>zbog obračuna PDV-a za posljednje razdoblje oporezivanja i godišnjeg usklađenja, te izračuna pro rate za 2024 koja se ove godine smanjila</w:t>
      </w:r>
      <w:r w:rsidR="009B5070">
        <w:rPr>
          <w:bCs/>
          <w:sz w:val="22"/>
          <w:szCs w:val="22"/>
        </w:rPr>
        <w:t>.</w:t>
      </w:r>
    </w:p>
    <w:p w14:paraId="76D7A00C" w14:textId="5BA47CB4" w:rsidR="00814641" w:rsidRPr="00053377" w:rsidRDefault="00814641" w:rsidP="00814641">
      <w:pPr>
        <w:spacing w:line="276" w:lineRule="auto"/>
        <w:jc w:val="both"/>
        <w:rPr>
          <w:bCs/>
          <w:sz w:val="22"/>
          <w:szCs w:val="22"/>
        </w:rPr>
      </w:pPr>
      <w:r w:rsidRPr="00053377">
        <w:rPr>
          <w:bCs/>
          <w:sz w:val="22"/>
          <w:szCs w:val="22"/>
        </w:rPr>
        <w:t xml:space="preserve">U odnosu na prošlu godinu smanjeni su financijski troškovi za plaćanje naknade banci za bankarske usluge za usluge kartičnog poslovanja (index odstupanja je </w:t>
      </w:r>
      <w:r w:rsidR="00C73703">
        <w:rPr>
          <w:bCs/>
          <w:sz w:val="22"/>
          <w:szCs w:val="22"/>
        </w:rPr>
        <w:t>97</w:t>
      </w:r>
      <w:r w:rsidRPr="00053377">
        <w:rPr>
          <w:bCs/>
          <w:sz w:val="22"/>
          <w:szCs w:val="22"/>
        </w:rPr>
        <w:t>% u odnosu na prošlu godinu).</w:t>
      </w:r>
    </w:p>
    <w:p w14:paraId="6FFFD926" w14:textId="21F6FE69" w:rsidR="00053377" w:rsidRDefault="00A60DD4" w:rsidP="00814641">
      <w:pPr>
        <w:spacing w:line="276" w:lineRule="auto"/>
        <w:jc w:val="both"/>
        <w:rPr>
          <w:bCs/>
          <w:sz w:val="22"/>
          <w:szCs w:val="22"/>
        </w:rPr>
      </w:pPr>
      <w:r w:rsidRPr="00A60DD4">
        <w:rPr>
          <w:bCs/>
          <w:sz w:val="22"/>
          <w:szCs w:val="22"/>
        </w:rPr>
        <w:t xml:space="preserve">Rashodi za nabavu </w:t>
      </w:r>
      <w:r w:rsidR="00EC07AD">
        <w:rPr>
          <w:bCs/>
          <w:sz w:val="22"/>
          <w:szCs w:val="22"/>
        </w:rPr>
        <w:t>nefinancijske</w:t>
      </w:r>
      <w:r w:rsidRPr="00A60DD4">
        <w:rPr>
          <w:bCs/>
          <w:sz w:val="22"/>
          <w:szCs w:val="22"/>
        </w:rPr>
        <w:t xml:space="preserve"> imovine povećani su zbog nabave projektora za vanjsko kino, računalne opreme, nabave rasvjete i razglasa za dvoranu Domoljub te sanacije i uređenja ulaznog prostora dvorane Domoljub. Isti su </w:t>
      </w:r>
      <w:r w:rsidR="00E168B9">
        <w:rPr>
          <w:bCs/>
          <w:sz w:val="22"/>
          <w:szCs w:val="22"/>
        </w:rPr>
        <w:t>izvršen</w:t>
      </w:r>
      <w:r w:rsidR="009B5070">
        <w:rPr>
          <w:bCs/>
          <w:sz w:val="22"/>
          <w:szCs w:val="22"/>
        </w:rPr>
        <w:t>i</w:t>
      </w:r>
      <w:r w:rsidR="00E168B9">
        <w:rPr>
          <w:bCs/>
          <w:sz w:val="22"/>
          <w:szCs w:val="22"/>
        </w:rPr>
        <w:t xml:space="preserve"> </w:t>
      </w:r>
      <w:r w:rsidR="00A2086F">
        <w:rPr>
          <w:bCs/>
          <w:sz w:val="22"/>
          <w:szCs w:val="22"/>
        </w:rPr>
        <w:t xml:space="preserve">u 100% iznosu dok je </w:t>
      </w:r>
      <w:r w:rsidR="00E168B9" w:rsidRPr="00E168B9">
        <w:rPr>
          <w:bCs/>
          <w:sz w:val="22"/>
          <w:szCs w:val="22"/>
        </w:rPr>
        <w:t xml:space="preserve">index odstupanja je </w:t>
      </w:r>
      <w:r w:rsidR="006E4B14">
        <w:rPr>
          <w:bCs/>
          <w:sz w:val="22"/>
          <w:szCs w:val="22"/>
        </w:rPr>
        <w:t>155</w:t>
      </w:r>
      <w:r w:rsidR="00E168B9" w:rsidRPr="00E168B9">
        <w:rPr>
          <w:bCs/>
          <w:sz w:val="22"/>
          <w:szCs w:val="22"/>
        </w:rPr>
        <w:t>% u odnosu na prošlu godinu.</w:t>
      </w:r>
    </w:p>
    <w:p w14:paraId="17A9A18C" w14:textId="5C69B61B" w:rsidR="00646CE9" w:rsidRPr="00646CE9" w:rsidRDefault="00646CE9" w:rsidP="00646CE9">
      <w:pPr>
        <w:spacing w:line="276" w:lineRule="auto"/>
        <w:jc w:val="both"/>
        <w:rPr>
          <w:bCs/>
          <w:sz w:val="22"/>
          <w:szCs w:val="22"/>
        </w:rPr>
      </w:pPr>
      <w:r w:rsidRPr="00646CE9">
        <w:rPr>
          <w:bCs/>
          <w:sz w:val="22"/>
          <w:szCs w:val="22"/>
        </w:rPr>
        <w:t xml:space="preserve">Ukupni manjak za 2024. g. u visini od 26.343,73 </w:t>
      </w:r>
      <w:r w:rsidR="005C3B01">
        <w:rPr>
          <w:bCs/>
          <w:sz w:val="22"/>
          <w:szCs w:val="22"/>
        </w:rPr>
        <w:t>€</w:t>
      </w:r>
      <w:r w:rsidRPr="00646CE9">
        <w:rPr>
          <w:bCs/>
          <w:sz w:val="22"/>
          <w:szCs w:val="22"/>
        </w:rPr>
        <w:t xml:space="preserve"> nastao je kao rezultat prenesenog viška prihoda poslovanja POU Koprivnica iz 2023. u visini od 49.885,66 </w:t>
      </w:r>
      <w:r w:rsidR="005C3B01">
        <w:rPr>
          <w:bCs/>
          <w:sz w:val="22"/>
          <w:szCs w:val="22"/>
        </w:rPr>
        <w:t>€</w:t>
      </w:r>
      <w:r w:rsidRPr="00646CE9">
        <w:rPr>
          <w:bCs/>
          <w:sz w:val="22"/>
          <w:szCs w:val="22"/>
        </w:rPr>
        <w:t xml:space="preserve"> umanjenog za ostvareni manjak prihoda poslovanja na bazi godine 76.229,39 </w:t>
      </w:r>
      <w:r w:rsidR="00D42389">
        <w:rPr>
          <w:bCs/>
          <w:sz w:val="22"/>
          <w:szCs w:val="22"/>
        </w:rPr>
        <w:t>€</w:t>
      </w:r>
      <w:r w:rsidRPr="00646CE9">
        <w:rPr>
          <w:bCs/>
          <w:sz w:val="22"/>
          <w:szCs w:val="22"/>
        </w:rPr>
        <w:t>.</w:t>
      </w:r>
    </w:p>
    <w:p w14:paraId="0395D249" w14:textId="33DE3883" w:rsidR="00814641" w:rsidRPr="00053377" w:rsidRDefault="00814641" w:rsidP="00814641">
      <w:pPr>
        <w:spacing w:line="276" w:lineRule="auto"/>
        <w:jc w:val="both"/>
        <w:rPr>
          <w:bCs/>
          <w:sz w:val="22"/>
          <w:szCs w:val="22"/>
        </w:rPr>
      </w:pPr>
    </w:p>
    <w:p w14:paraId="25B0F078" w14:textId="77777777" w:rsidR="00814641" w:rsidRPr="00814641" w:rsidRDefault="00814641" w:rsidP="00814641">
      <w:pPr>
        <w:spacing w:line="276" w:lineRule="auto"/>
        <w:jc w:val="both"/>
        <w:rPr>
          <w:b/>
          <w:sz w:val="22"/>
          <w:szCs w:val="22"/>
        </w:rPr>
      </w:pPr>
      <w:r w:rsidRPr="00814641">
        <w:rPr>
          <w:b/>
          <w:sz w:val="22"/>
          <w:szCs w:val="22"/>
        </w:rPr>
        <w:t>Prihodi i  rashodi po izvorima financiranja</w:t>
      </w:r>
    </w:p>
    <w:p w14:paraId="1005FD0B" w14:textId="77777777" w:rsidR="00814641" w:rsidRPr="00814641" w:rsidRDefault="00814641" w:rsidP="00814641">
      <w:pPr>
        <w:spacing w:line="276" w:lineRule="auto"/>
        <w:jc w:val="both"/>
        <w:rPr>
          <w:b/>
          <w:sz w:val="22"/>
          <w:szCs w:val="22"/>
        </w:rPr>
      </w:pPr>
    </w:p>
    <w:p w14:paraId="50C9537B" w14:textId="77777777" w:rsidR="00814641" w:rsidRPr="00053377" w:rsidRDefault="00814641" w:rsidP="00814641">
      <w:pPr>
        <w:spacing w:line="276" w:lineRule="auto"/>
        <w:jc w:val="both"/>
        <w:rPr>
          <w:bCs/>
          <w:sz w:val="22"/>
          <w:szCs w:val="22"/>
        </w:rPr>
      </w:pPr>
      <w:r w:rsidRPr="00053377">
        <w:rPr>
          <w:bCs/>
          <w:sz w:val="22"/>
          <w:szCs w:val="22"/>
        </w:rPr>
        <w:t xml:space="preserve">Planirani prihodi za 2024. g. realizirani su prema izvorima financiranja kako slijedi: </w:t>
      </w:r>
    </w:p>
    <w:p w14:paraId="56947045" w14:textId="77777777" w:rsidR="00814641" w:rsidRPr="00053377" w:rsidRDefault="00814641" w:rsidP="00814641">
      <w:pPr>
        <w:spacing w:line="276" w:lineRule="auto"/>
        <w:jc w:val="both"/>
        <w:rPr>
          <w:bCs/>
          <w:sz w:val="22"/>
          <w:szCs w:val="22"/>
        </w:rPr>
      </w:pPr>
      <w:r w:rsidRPr="00053377">
        <w:rPr>
          <w:bCs/>
          <w:sz w:val="22"/>
          <w:szCs w:val="22"/>
        </w:rPr>
        <w:t>Najznačajniji prihodi ostvareni su od pomoći unutar općeg proračuna.</w:t>
      </w:r>
    </w:p>
    <w:p w14:paraId="17A3F810" w14:textId="15A9DF66" w:rsidR="00814641" w:rsidRDefault="00814641" w:rsidP="00814641">
      <w:pPr>
        <w:spacing w:line="276" w:lineRule="auto"/>
        <w:jc w:val="both"/>
        <w:rPr>
          <w:bCs/>
          <w:sz w:val="22"/>
          <w:szCs w:val="22"/>
        </w:rPr>
      </w:pPr>
      <w:r w:rsidRPr="00F52720">
        <w:rPr>
          <w:b/>
          <w:sz w:val="22"/>
          <w:szCs w:val="22"/>
        </w:rPr>
        <w:t>Prihodi iz općih prihoda i primitaka</w:t>
      </w:r>
      <w:r w:rsidRPr="00053377">
        <w:rPr>
          <w:bCs/>
          <w:sz w:val="22"/>
          <w:szCs w:val="22"/>
        </w:rPr>
        <w:t xml:space="preserve"> planiran je u visini od </w:t>
      </w:r>
      <w:bookmarkStart w:id="10" w:name="_Hlk140064467"/>
      <w:r w:rsidRPr="00053377">
        <w:rPr>
          <w:bCs/>
          <w:sz w:val="22"/>
          <w:szCs w:val="22"/>
        </w:rPr>
        <w:t>4</w:t>
      </w:r>
      <w:r w:rsidR="00450211">
        <w:rPr>
          <w:bCs/>
          <w:sz w:val="22"/>
          <w:szCs w:val="22"/>
        </w:rPr>
        <w:t>13</w:t>
      </w:r>
      <w:r w:rsidRPr="00053377">
        <w:rPr>
          <w:bCs/>
          <w:sz w:val="22"/>
          <w:szCs w:val="22"/>
        </w:rPr>
        <w:t>.</w:t>
      </w:r>
      <w:r w:rsidR="00450211">
        <w:rPr>
          <w:bCs/>
          <w:sz w:val="22"/>
          <w:szCs w:val="22"/>
        </w:rPr>
        <w:t>448</w:t>
      </w:r>
      <w:r w:rsidRPr="00053377">
        <w:rPr>
          <w:bCs/>
          <w:sz w:val="22"/>
          <w:szCs w:val="22"/>
        </w:rPr>
        <w:t xml:space="preserve">,00 </w:t>
      </w:r>
      <w:bookmarkEnd w:id="10"/>
      <w:r w:rsidR="003A4285">
        <w:rPr>
          <w:bCs/>
          <w:sz w:val="22"/>
          <w:szCs w:val="22"/>
        </w:rPr>
        <w:t>€</w:t>
      </w:r>
      <w:r w:rsidRPr="00053377">
        <w:rPr>
          <w:bCs/>
          <w:sz w:val="22"/>
          <w:szCs w:val="22"/>
        </w:rPr>
        <w:t xml:space="preserve"> u skladu s dogovorom i limitima danim od strane Osnivača, a godišnje izvršenje je u iznosu od </w:t>
      </w:r>
      <w:r w:rsidR="00450211">
        <w:rPr>
          <w:bCs/>
          <w:sz w:val="22"/>
          <w:szCs w:val="22"/>
        </w:rPr>
        <w:t>4</w:t>
      </w:r>
      <w:r w:rsidR="009F6565">
        <w:rPr>
          <w:bCs/>
          <w:sz w:val="22"/>
          <w:szCs w:val="22"/>
        </w:rPr>
        <w:t>0</w:t>
      </w:r>
      <w:r w:rsidR="00450211">
        <w:rPr>
          <w:bCs/>
          <w:sz w:val="22"/>
          <w:szCs w:val="22"/>
        </w:rPr>
        <w:t>1.660,59</w:t>
      </w:r>
      <w:r w:rsidRPr="00053377">
        <w:rPr>
          <w:bCs/>
          <w:sz w:val="22"/>
          <w:szCs w:val="22"/>
        </w:rPr>
        <w:t xml:space="preserve"> </w:t>
      </w:r>
      <w:r w:rsidR="003A4285">
        <w:rPr>
          <w:bCs/>
          <w:sz w:val="22"/>
          <w:szCs w:val="22"/>
        </w:rPr>
        <w:t>€</w:t>
      </w:r>
      <w:r w:rsidRPr="00053377">
        <w:rPr>
          <w:bCs/>
          <w:sz w:val="22"/>
          <w:szCs w:val="22"/>
        </w:rPr>
        <w:t xml:space="preserve"> s uključenim prenesenim metodološkim manjkom ostvarenim na kraju 2023. godine. Bilježi se blago povećanje u odnosu na isto razdoblje 2023. godine (indeks odstupanja </w:t>
      </w:r>
      <w:r w:rsidR="00450211">
        <w:rPr>
          <w:bCs/>
          <w:sz w:val="22"/>
          <w:szCs w:val="22"/>
        </w:rPr>
        <w:t>125</w:t>
      </w:r>
      <w:r w:rsidRPr="00053377">
        <w:rPr>
          <w:bCs/>
          <w:sz w:val="22"/>
          <w:szCs w:val="22"/>
        </w:rPr>
        <w:t xml:space="preserve">%). Prihod je utrošen za podmirenje rashoda za zaposlene, materijalne rashode, rashode nastale realizacijom programskih aktivnosti. </w:t>
      </w:r>
    </w:p>
    <w:p w14:paraId="4420D939" w14:textId="740B10E5" w:rsidR="00CA666E" w:rsidRPr="00CA666E" w:rsidRDefault="00CA666E" w:rsidP="00CA666E">
      <w:pPr>
        <w:spacing w:line="276" w:lineRule="auto"/>
        <w:jc w:val="both"/>
        <w:rPr>
          <w:bCs/>
          <w:sz w:val="22"/>
          <w:szCs w:val="22"/>
        </w:rPr>
      </w:pPr>
      <w:r w:rsidRPr="00CA666E">
        <w:rPr>
          <w:b/>
          <w:bCs/>
          <w:sz w:val="22"/>
          <w:szCs w:val="22"/>
        </w:rPr>
        <w:lastRenderedPageBreak/>
        <w:t>Vlastiti prihodi</w:t>
      </w:r>
      <w:r w:rsidRPr="00CA666E">
        <w:rPr>
          <w:bCs/>
          <w:sz w:val="22"/>
          <w:szCs w:val="22"/>
        </w:rPr>
        <w:t xml:space="preserve"> planirani su u visini od </w:t>
      </w:r>
      <w:r w:rsidR="001A092B">
        <w:rPr>
          <w:bCs/>
          <w:sz w:val="22"/>
          <w:szCs w:val="22"/>
        </w:rPr>
        <w:t>283.843,00</w:t>
      </w:r>
      <w:r w:rsidRPr="00CA666E">
        <w:rPr>
          <w:bCs/>
          <w:sz w:val="22"/>
          <w:szCs w:val="22"/>
        </w:rPr>
        <w:t xml:space="preserve"> </w:t>
      </w:r>
      <w:r w:rsidR="003A4285">
        <w:rPr>
          <w:bCs/>
          <w:sz w:val="22"/>
          <w:szCs w:val="22"/>
        </w:rPr>
        <w:t>€</w:t>
      </w:r>
      <w:r w:rsidRPr="00CA666E">
        <w:rPr>
          <w:bCs/>
          <w:sz w:val="22"/>
          <w:szCs w:val="22"/>
        </w:rPr>
        <w:t xml:space="preserve">, a izvršenje je u iznosu od </w:t>
      </w:r>
      <w:r w:rsidR="00133BE5">
        <w:rPr>
          <w:bCs/>
          <w:sz w:val="22"/>
          <w:szCs w:val="22"/>
        </w:rPr>
        <w:t>237.350,29</w:t>
      </w:r>
      <w:r w:rsidRPr="00CA666E">
        <w:rPr>
          <w:bCs/>
          <w:sz w:val="22"/>
          <w:szCs w:val="22"/>
        </w:rPr>
        <w:t xml:space="preserve"> </w:t>
      </w:r>
      <w:r w:rsidR="003A4285">
        <w:rPr>
          <w:bCs/>
          <w:sz w:val="22"/>
          <w:szCs w:val="22"/>
        </w:rPr>
        <w:t>€</w:t>
      </w:r>
      <w:r w:rsidRPr="00CA666E">
        <w:rPr>
          <w:bCs/>
          <w:sz w:val="22"/>
          <w:szCs w:val="22"/>
        </w:rPr>
        <w:t xml:space="preserve"> što je indeks odstupanja od  </w:t>
      </w:r>
      <w:r w:rsidR="00FD3534">
        <w:rPr>
          <w:bCs/>
          <w:sz w:val="22"/>
          <w:szCs w:val="22"/>
        </w:rPr>
        <w:t>84</w:t>
      </w:r>
      <w:r w:rsidRPr="00CA666E">
        <w:rPr>
          <w:bCs/>
          <w:sz w:val="22"/>
          <w:szCs w:val="22"/>
        </w:rPr>
        <w:t xml:space="preserve">% od ukupno planiranih ili </w:t>
      </w:r>
      <w:r w:rsidR="00FD3534">
        <w:rPr>
          <w:bCs/>
          <w:sz w:val="22"/>
          <w:szCs w:val="22"/>
        </w:rPr>
        <w:t>95</w:t>
      </w:r>
      <w:r w:rsidRPr="00CA666E">
        <w:rPr>
          <w:bCs/>
          <w:sz w:val="22"/>
          <w:szCs w:val="22"/>
        </w:rPr>
        <w:t>% u odnosu na prošlu godinu. Prihod je utrošen za podmirenje rashoda za zaposlene, materijalne rashode, rashode nastale realizacijom programskih aktivnosti najviše u filmskoj i obrazovnoj djelatnosti.</w:t>
      </w:r>
    </w:p>
    <w:p w14:paraId="36FD2A0E" w14:textId="45A62AC4" w:rsidR="00CA666E" w:rsidRPr="00053377" w:rsidRDefault="00CA666E" w:rsidP="00814641">
      <w:pPr>
        <w:spacing w:line="276" w:lineRule="auto"/>
        <w:jc w:val="both"/>
        <w:rPr>
          <w:bCs/>
          <w:sz w:val="22"/>
          <w:szCs w:val="22"/>
        </w:rPr>
      </w:pPr>
      <w:r w:rsidRPr="00CA666E">
        <w:rPr>
          <w:b/>
          <w:bCs/>
          <w:sz w:val="22"/>
          <w:szCs w:val="22"/>
        </w:rPr>
        <w:t>Prihodi za posebne namjene - komunalna naknada</w:t>
      </w:r>
      <w:r w:rsidRPr="00CA666E">
        <w:rPr>
          <w:bCs/>
          <w:sz w:val="22"/>
          <w:szCs w:val="22"/>
        </w:rPr>
        <w:t xml:space="preserve"> – planiran je iznos u visini od 18.251,00 </w:t>
      </w:r>
      <w:r w:rsidR="003A4285">
        <w:rPr>
          <w:bCs/>
          <w:sz w:val="22"/>
          <w:szCs w:val="22"/>
        </w:rPr>
        <w:t>€</w:t>
      </w:r>
      <w:r w:rsidRPr="00CA666E">
        <w:rPr>
          <w:bCs/>
          <w:sz w:val="22"/>
          <w:szCs w:val="22"/>
        </w:rPr>
        <w:t>, a izvršenje je u iznosu od 1</w:t>
      </w:r>
      <w:r w:rsidR="00EE498C">
        <w:rPr>
          <w:bCs/>
          <w:sz w:val="22"/>
          <w:szCs w:val="22"/>
        </w:rPr>
        <w:t>8.218,04</w:t>
      </w:r>
      <w:r w:rsidRPr="00CA666E">
        <w:rPr>
          <w:bCs/>
          <w:sz w:val="22"/>
          <w:szCs w:val="22"/>
        </w:rPr>
        <w:t xml:space="preserve"> </w:t>
      </w:r>
      <w:r w:rsidR="003A4285">
        <w:rPr>
          <w:bCs/>
          <w:sz w:val="22"/>
          <w:szCs w:val="22"/>
        </w:rPr>
        <w:t>€</w:t>
      </w:r>
      <w:r w:rsidRPr="00CA666E">
        <w:rPr>
          <w:bCs/>
          <w:sz w:val="22"/>
          <w:szCs w:val="22"/>
        </w:rPr>
        <w:t xml:space="preserve">. Izvršenje se odnosi na troškove investicijskog održavanja. Potrošnja je </w:t>
      </w:r>
      <w:r w:rsidR="00597626">
        <w:rPr>
          <w:bCs/>
          <w:sz w:val="22"/>
          <w:szCs w:val="22"/>
        </w:rPr>
        <w:t>smanjena</w:t>
      </w:r>
      <w:r w:rsidRPr="00CA666E">
        <w:rPr>
          <w:bCs/>
          <w:sz w:val="22"/>
          <w:szCs w:val="22"/>
        </w:rPr>
        <w:t xml:space="preserve"> u odnosu na 2023. g. dok je u 2024. izvršeno samo 1</w:t>
      </w:r>
      <w:r w:rsidR="00597626">
        <w:rPr>
          <w:bCs/>
          <w:sz w:val="22"/>
          <w:szCs w:val="22"/>
        </w:rPr>
        <w:t>00</w:t>
      </w:r>
      <w:r w:rsidRPr="00CA666E">
        <w:rPr>
          <w:bCs/>
          <w:sz w:val="22"/>
          <w:szCs w:val="22"/>
        </w:rPr>
        <w:t>% od ukupno planiranog</w:t>
      </w:r>
    </w:p>
    <w:p w14:paraId="08702DFF" w14:textId="695DBCF8" w:rsidR="00814641" w:rsidRPr="00053377" w:rsidRDefault="00814641" w:rsidP="00814641">
      <w:pPr>
        <w:spacing w:line="276" w:lineRule="auto"/>
        <w:jc w:val="both"/>
        <w:rPr>
          <w:bCs/>
          <w:sz w:val="22"/>
          <w:szCs w:val="22"/>
        </w:rPr>
      </w:pPr>
      <w:r w:rsidRPr="00F52720">
        <w:rPr>
          <w:b/>
          <w:sz w:val="22"/>
          <w:szCs w:val="22"/>
        </w:rPr>
        <w:t xml:space="preserve">Prihod </w:t>
      </w:r>
      <w:r w:rsidR="00802C83">
        <w:rPr>
          <w:b/>
          <w:sz w:val="22"/>
          <w:szCs w:val="22"/>
        </w:rPr>
        <w:t>od pomoći</w:t>
      </w:r>
      <w:r w:rsidRPr="00053377">
        <w:rPr>
          <w:bCs/>
          <w:sz w:val="22"/>
          <w:szCs w:val="22"/>
        </w:rPr>
        <w:t xml:space="preserve"> prikazuje financijske podatke o planiranim i ostvarenim tekućim pomoćima iz nenadležnih proračuna</w:t>
      </w:r>
      <w:r w:rsidR="00105130">
        <w:rPr>
          <w:bCs/>
          <w:sz w:val="22"/>
          <w:szCs w:val="22"/>
        </w:rPr>
        <w:t xml:space="preserve"> i</w:t>
      </w:r>
      <w:r w:rsidRPr="00053377">
        <w:rPr>
          <w:bCs/>
          <w:sz w:val="22"/>
          <w:szCs w:val="22"/>
        </w:rPr>
        <w:t xml:space="preserve"> </w:t>
      </w:r>
      <w:r w:rsidR="00105130">
        <w:rPr>
          <w:bCs/>
          <w:sz w:val="22"/>
          <w:szCs w:val="22"/>
        </w:rPr>
        <w:t>pomoći iz EU</w:t>
      </w:r>
      <w:r w:rsidRPr="00053377">
        <w:rPr>
          <w:bCs/>
          <w:sz w:val="22"/>
          <w:szCs w:val="22"/>
        </w:rPr>
        <w:t xml:space="preserve">, a odnosi se na prihode poslovanja koji se financiraju iz državnog proračuna za programsku djelatnost ustanove i iz županijskog proračuna za financiranje programske djelatnosti. Dio planiranih prihoda iz nenadležnog proračuna financirat će kapitalni rashod, odnosno rashod za nabavu nefinancijske imovine. </w:t>
      </w:r>
      <w:r w:rsidR="00215909">
        <w:rPr>
          <w:bCs/>
          <w:sz w:val="22"/>
          <w:szCs w:val="22"/>
        </w:rPr>
        <w:t xml:space="preserve">Izvršenje je u iznosu od </w:t>
      </w:r>
      <w:r w:rsidR="00141341">
        <w:rPr>
          <w:bCs/>
          <w:sz w:val="22"/>
          <w:szCs w:val="22"/>
        </w:rPr>
        <w:t xml:space="preserve">51.230,89 </w:t>
      </w:r>
      <w:r w:rsidR="00353703">
        <w:rPr>
          <w:bCs/>
          <w:sz w:val="22"/>
          <w:szCs w:val="22"/>
        </w:rPr>
        <w:t xml:space="preserve">€ što je izvršenje od </w:t>
      </w:r>
      <w:r w:rsidR="00141341">
        <w:rPr>
          <w:bCs/>
          <w:sz w:val="22"/>
          <w:szCs w:val="22"/>
        </w:rPr>
        <w:t>90</w:t>
      </w:r>
      <w:r w:rsidR="00353703">
        <w:rPr>
          <w:bCs/>
          <w:sz w:val="22"/>
          <w:szCs w:val="22"/>
        </w:rPr>
        <w:t>% u odnosu na plan</w:t>
      </w:r>
      <w:r w:rsidR="00141341">
        <w:rPr>
          <w:bCs/>
          <w:sz w:val="22"/>
          <w:szCs w:val="22"/>
        </w:rPr>
        <w:t>, no u odnosu na prošl</w:t>
      </w:r>
      <w:r w:rsidR="00FB354E">
        <w:rPr>
          <w:bCs/>
          <w:sz w:val="22"/>
          <w:szCs w:val="22"/>
        </w:rPr>
        <w:t>u godinu indeks izvršenja pokazuje povećanje od 245%.</w:t>
      </w:r>
    </w:p>
    <w:p w14:paraId="2DC03920" w14:textId="364C14B7" w:rsidR="00814641" w:rsidRPr="00053377" w:rsidRDefault="00814641" w:rsidP="00814641">
      <w:pPr>
        <w:spacing w:line="276" w:lineRule="auto"/>
        <w:jc w:val="both"/>
        <w:rPr>
          <w:bCs/>
          <w:sz w:val="22"/>
          <w:szCs w:val="22"/>
        </w:rPr>
      </w:pPr>
      <w:bookmarkStart w:id="11" w:name="_Hlk192829402"/>
      <w:r w:rsidRPr="003B23F3">
        <w:rPr>
          <w:b/>
          <w:sz w:val="22"/>
          <w:szCs w:val="22"/>
        </w:rPr>
        <w:t>Pomoći unutar općeg proračuna EU</w:t>
      </w:r>
      <w:r w:rsidRPr="00053377">
        <w:rPr>
          <w:bCs/>
          <w:sz w:val="22"/>
          <w:szCs w:val="22"/>
        </w:rPr>
        <w:t xml:space="preserve"> projekti planirane su u iznosu od 2.999,00 </w:t>
      </w:r>
      <w:r w:rsidR="003A4285">
        <w:rPr>
          <w:bCs/>
          <w:sz w:val="22"/>
          <w:szCs w:val="22"/>
        </w:rPr>
        <w:t>€</w:t>
      </w:r>
      <w:r w:rsidRPr="00053377">
        <w:rPr>
          <w:bCs/>
          <w:sz w:val="22"/>
          <w:szCs w:val="22"/>
        </w:rPr>
        <w:t xml:space="preserve">, a izvršeno je </w:t>
      </w:r>
      <w:r w:rsidR="00CE36E9">
        <w:rPr>
          <w:bCs/>
          <w:sz w:val="22"/>
          <w:szCs w:val="22"/>
        </w:rPr>
        <w:t>9</w:t>
      </w:r>
      <w:r w:rsidR="00175966">
        <w:rPr>
          <w:bCs/>
          <w:sz w:val="22"/>
          <w:szCs w:val="22"/>
        </w:rPr>
        <w:t>.</w:t>
      </w:r>
      <w:r w:rsidR="00CE36E9">
        <w:rPr>
          <w:bCs/>
          <w:sz w:val="22"/>
          <w:szCs w:val="22"/>
        </w:rPr>
        <w:t>679,00</w:t>
      </w:r>
      <w:r w:rsidRPr="00053377">
        <w:rPr>
          <w:bCs/>
          <w:sz w:val="22"/>
          <w:szCs w:val="22"/>
        </w:rPr>
        <w:t xml:space="preserve"> </w:t>
      </w:r>
      <w:r w:rsidR="003A4285">
        <w:rPr>
          <w:bCs/>
          <w:sz w:val="22"/>
          <w:szCs w:val="22"/>
        </w:rPr>
        <w:t>€</w:t>
      </w:r>
      <w:r w:rsidRPr="00053377">
        <w:rPr>
          <w:bCs/>
          <w:sz w:val="22"/>
          <w:szCs w:val="22"/>
        </w:rPr>
        <w:t xml:space="preserve"> što je indeks odstupanja od  </w:t>
      </w:r>
      <w:r w:rsidR="00C92C5E">
        <w:rPr>
          <w:bCs/>
          <w:sz w:val="22"/>
          <w:szCs w:val="22"/>
        </w:rPr>
        <w:t>323</w:t>
      </w:r>
      <w:r w:rsidRPr="00053377">
        <w:rPr>
          <w:bCs/>
          <w:sz w:val="22"/>
          <w:szCs w:val="22"/>
        </w:rPr>
        <w:t xml:space="preserve">% od ukupno planiranih ili </w:t>
      </w:r>
      <w:r w:rsidR="00C92C5E">
        <w:rPr>
          <w:bCs/>
          <w:sz w:val="22"/>
          <w:szCs w:val="22"/>
        </w:rPr>
        <w:t>109</w:t>
      </w:r>
      <w:r w:rsidRPr="00053377">
        <w:rPr>
          <w:bCs/>
          <w:sz w:val="22"/>
          <w:szCs w:val="22"/>
        </w:rPr>
        <w:t>% u odnosu na prošlu godinu jer je dio navedenih prihoda i rashoda planiran kroz višak prihoda poslovanja.</w:t>
      </w:r>
      <w:r w:rsidR="007B164B" w:rsidRPr="007B164B">
        <w:rPr>
          <w:bCs/>
          <w:sz w:val="22"/>
          <w:szCs w:val="22"/>
        </w:rPr>
        <w:t xml:space="preserve"> </w:t>
      </w:r>
      <w:r w:rsidR="004841C1">
        <w:rPr>
          <w:bCs/>
          <w:sz w:val="22"/>
          <w:szCs w:val="22"/>
        </w:rPr>
        <w:t>Navedenim priho</w:t>
      </w:r>
      <w:r w:rsidR="009D5F79">
        <w:rPr>
          <w:bCs/>
          <w:sz w:val="22"/>
          <w:szCs w:val="22"/>
        </w:rPr>
        <w:t>dom</w:t>
      </w:r>
      <w:r w:rsidR="007B164B" w:rsidRPr="007B164B">
        <w:rPr>
          <w:bCs/>
          <w:sz w:val="22"/>
          <w:szCs w:val="22"/>
        </w:rPr>
        <w:t xml:space="preserve"> financiraju</w:t>
      </w:r>
      <w:r w:rsidR="009D5F79">
        <w:rPr>
          <w:bCs/>
          <w:sz w:val="22"/>
          <w:szCs w:val="22"/>
        </w:rPr>
        <w:t xml:space="preserve"> se</w:t>
      </w:r>
      <w:r w:rsidR="007B164B" w:rsidRPr="007B164B">
        <w:rPr>
          <w:bCs/>
          <w:sz w:val="22"/>
          <w:szCs w:val="22"/>
        </w:rPr>
        <w:t xml:space="preserve"> aktivnost u Eu projektima u skladu s potpisanim ugovorima</w:t>
      </w:r>
      <w:r w:rsidR="00FF474E">
        <w:rPr>
          <w:bCs/>
          <w:sz w:val="22"/>
          <w:szCs w:val="22"/>
        </w:rPr>
        <w:t>.</w:t>
      </w:r>
    </w:p>
    <w:bookmarkEnd w:id="11"/>
    <w:p w14:paraId="425C4DE0" w14:textId="5DF9BFB6" w:rsidR="00814641" w:rsidRPr="00053377" w:rsidRDefault="00814641" w:rsidP="00814641">
      <w:pPr>
        <w:spacing w:line="276" w:lineRule="auto"/>
        <w:jc w:val="both"/>
        <w:rPr>
          <w:bCs/>
          <w:sz w:val="22"/>
          <w:szCs w:val="22"/>
        </w:rPr>
      </w:pPr>
      <w:r w:rsidRPr="003B23F3">
        <w:rPr>
          <w:b/>
          <w:sz w:val="22"/>
          <w:szCs w:val="22"/>
        </w:rPr>
        <w:t>Pomoći iz EU</w:t>
      </w:r>
      <w:r w:rsidRPr="00053377">
        <w:rPr>
          <w:bCs/>
          <w:sz w:val="22"/>
          <w:szCs w:val="22"/>
        </w:rPr>
        <w:t xml:space="preserve"> planirani su u visini od </w:t>
      </w:r>
      <w:r w:rsidR="002536F3">
        <w:rPr>
          <w:bCs/>
          <w:sz w:val="22"/>
          <w:szCs w:val="22"/>
        </w:rPr>
        <w:t>58.355,00</w:t>
      </w:r>
      <w:r w:rsidRPr="00053377">
        <w:rPr>
          <w:bCs/>
          <w:sz w:val="22"/>
          <w:szCs w:val="22"/>
        </w:rPr>
        <w:t xml:space="preserve"> </w:t>
      </w:r>
      <w:r w:rsidR="003A4285">
        <w:rPr>
          <w:bCs/>
          <w:sz w:val="22"/>
          <w:szCs w:val="22"/>
        </w:rPr>
        <w:t>€</w:t>
      </w:r>
      <w:r w:rsidRPr="00053377">
        <w:rPr>
          <w:bCs/>
          <w:sz w:val="22"/>
          <w:szCs w:val="22"/>
        </w:rPr>
        <w:t xml:space="preserve">, a godišnje izvršenje je u iznosu od </w:t>
      </w:r>
      <w:r w:rsidR="002536F3">
        <w:rPr>
          <w:bCs/>
          <w:sz w:val="22"/>
          <w:szCs w:val="22"/>
        </w:rPr>
        <w:t>37.519,92</w:t>
      </w:r>
      <w:r w:rsidR="003A4285">
        <w:rPr>
          <w:bCs/>
          <w:sz w:val="22"/>
          <w:szCs w:val="22"/>
        </w:rPr>
        <w:t xml:space="preserve"> €</w:t>
      </w:r>
      <w:r w:rsidRPr="00053377">
        <w:rPr>
          <w:bCs/>
          <w:sz w:val="22"/>
          <w:szCs w:val="22"/>
        </w:rPr>
        <w:t xml:space="preserve"> ili </w:t>
      </w:r>
      <w:r w:rsidR="0044660B">
        <w:rPr>
          <w:bCs/>
          <w:sz w:val="22"/>
          <w:szCs w:val="22"/>
        </w:rPr>
        <w:t>64</w:t>
      </w:r>
      <w:r w:rsidRPr="00053377">
        <w:rPr>
          <w:bCs/>
          <w:sz w:val="22"/>
          <w:szCs w:val="22"/>
        </w:rPr>
        <w:t xml:space="preserve">% od ukupno planiranih, </w:t>
      </w:r>
      <w:r w:rsidR="00DD5623">
        <w:rPr>
          <w:bCs/>
          <w:sz w:val="22"/>
          <w:szCs w:val="22"/>
        </w:rPr>
        <w:t>127</w:t>
      </w:r>
      <w:r w:rsidRPr="00053377">
        <w:rPr>
          <w:bCs/>
          <w:sz w:val="22"/>
          <w:szCs w:val="22"/>
        </w:rPr>
        <w:t>% u odnosu na prošlu godinu. Prihod očekujemo i u sljedećem izvještajnom razdoblju.</w:t>
      </w:r>
    </w:p>
    <w:p w14:paraId="6A246EA0" w14:textId="2B01701D" w:rsidR="00814641" w:rsidRPr="00053377" w:rsidRDefault="00814641" w:rsidP="00814641">
      <w:pPr>
        <w:spacing w:line="276" w:lineRule="auto"/>
        <w:jc w:val="both"/>
        <w:rPr>
          <w:bCs/>
          <w:sz w:val="22"/>
          <w:szCs w:val="22"/>
        </w:rPr>
      </w:pPr>
      <w:bookmarkStart w:id="12" w:name="_Hlk172035416"/>
      <w:r w:rsidRPr="003B23F3">
        <w:rPr>
          <w:b/>
          <w:sz w:val="22"/>
          <w:szCs w:val="22"/>
        </w:rPr>
        <w:t>Prihodi od nefinancijske imovine i naknada štete s osnove osiguranja</w:t>
      </w:r>
      <w:r w:rsidRPr="00053377">
        <w:rPr>
          <w:bCs/>
          <w:sz w:val="22"/>
          <w:szCs w:val="22"/>
        </w:rPr>
        <w:t xml:space="preserve"> planirani su u iznosu od 2</w:t>
      </w:r>
      <w:r w:rsidR="00B168AA">
        <w:rPr>
          <w:bCs/>
          <w:sz w:val="22"/>
          <w:szCs w:val="22"/>
        </w:rPr>
        <w:t>0.650</w:t>
      </w:r>
      <w:r w:rsidRPr="00053377">
        <w:rPr>
          <w:bCs/>
          <w:sz w:val="22"/>
          <w:szCs w:val="22"/>
        </w:rPr>
        <w:t xml:space="preserve">,00 </w:t>
      </w:r>
      <w:r w:rsidR="00505EE0">
        <w:rPr>
          <w:bCs/>
          <w:sz w:val="22"/>
          <w:szCs w:val="22"/>
        </w:rPr>
        <w:t>€</w:t>
      </w:r>
      <w:r w:rsidRPr="00053377">
        <w:rPr>
          <w:bCs/>
          <w:sz w:val="22"/>
          <w:szCs w:val="22"/>
        </w:rPr>
        <w:t xml:space="preserve"> </w:t>
      </w:r>
      <w:r w:rsidR="007216A8">
        <w:rPr>
          <w:bCs/>
          <w:sz w:val="22"/>
          <w:szCs w:val="22"/>
        </w:rPr>
        <w:t xml:space="preserve">te se plan za 2024 godinu </w:t>
      </w:r>
      <w:r w:rsidR="00292753">
        <w:rPr>
          <w:bCs/>
          <w:sz w:val="22"/>
          <w:szCs w:val="22"/>
        </w:rPr>
        <w:t>izvršio</w:t>
      </w:r>
      <w:r w:rsidR="007216A8">
        <w:rPr>
          <w:bCs/>
          <w:sz w:val="22"/>
          <w:szCs w:val="22"/>
        </w:rPr>
        <w:t xml:space="preserve"> u 100</w:t>
      </w:r>
      <w:r w:rsidR="00292753">
        <w:rPr>
          <w:bCs/>
          <w:sz w:val="22"/>
          <w:szCs w:val="22"/>
        </w:rPr>
        <w:t xml:space="preserve">% iznosu dok je u odnosu na prošlu godini indeks izvršenja </w:t>
      </w:r>
      <w:r w:rsidR="00A3338C">
        <w:rPr>
          <w:bCs/>
          <w:sz w:val="22"/>
          <w:szCs w:val="22"/>
        </w:rPr>
        <w:t>1589%.</w:t>
      </w:r>
    </w:p>
    <w:bookmarkEnd w:id="12"/>
    <w:p w14:paraId="12B4F1AE" w14:textId="3BAE95C2" w:rsidR="00814641" w:rsidRPr="00053377" w:rsidRDefault="00814641" w:rsidP="00814641">
      <w:pPr>
        <w:spacing w:line="276" w:lineRule="auto"/>
        <w:jc w:val="both"/>
        <w:rPr>
          <w:bCs/>
          <w:sz w:val="22"/>
          <w:szCs w:val="22"/>
        </w:rPr>
      </w:pPr>
      <w:r w:rsidRPr="003B23F3">
        <w:rPr>
          <w:b/>
          <w:sz w:val="22"/>
          <w:szCs w:val="22"/>
        </w:rPr>
        <w:t>Donacije</w:t>
      </w:r>
      <w:r w:rsidRPr="00053377">
        <w:rPr>
          <w:bCs/>
          <w:sz w:val="22"/>
          <w:szCs w:val="22"/>
        </w:rPr>
        <w:t xml:space="preserve"> su planirane za prihod od strane HUZIP-a u iznosu od 700,00 </w:t>
      </w:r>
      <w:r w:rsidR="00505EE0">
        <w:rPr>
          <w:bCs/>
          <w:sz w:val="22"/>
          <w:szCs w:val="22"/>
        </w:rPr>
        <w:t>€</w:t>
      </w:r>
      <w:r w:rsidRPr="00053377">
        <w:rPr>
          <w:bCs/>
          <w:sz w:val="22"/>
          <w:szCs w:val="22"/>
        </w:rPr>
        <w:t xml:space="preserve"> te su se u istom iznosu i izvršile.</w:t>
      </w:r>
    </w:p>
    <w:p w14:paraId="42A855DC" w14:textId="77777777" w:rsidR="00814641" w:rsidRPr="00053377" w:rsidRDefault="00814641" w:rsidP="00814641">
      <w:pPr>
        <w:spacing w:line="276" w:lineRule="auto"/>
        <w:jc w:val="both"/>
        <w:rPr>
          <w:bCs/>
          <w:sz w:val="22"/>
          <w:szCs w:val="22"/>
        </w:rPr>
      </w:pPr>
      <w:r w:rsidRPr="00053377">
        <w:rPr>
          <w:bCs/>
          <w:sz w:val="22"/>
          <w:szCs w:val="22"/>
        </w:rPr>
        <w:t>Rashodi su utrošeni u skladu s planiranim izvorima financiranja te usklađeni s prihodima.</w:t>
      </w:r>
    </w:p>
    <w:p w14:paraId="4EF2B4DC" w14:textId="70BF4A35" w:rsidR="00814641" w:rsidRPr="00053377" w:rsidRDefault="00814641" w:rsidP="00803E66">
      <w:pPr>
        <w:spacing w:line="276" w:lineRule="auto"/>
        <w:rPr>
          <w:bCs/>
          <w:sz w:val="22"/>
          <w:szCs w:val="22"/>
        </w:rPr>
      </w:pPr>
      <w:r w:rsidRPr="003B23F3">
        <w:rPr>
          <w:b/>
          <w:sz w:val="22"/>
          <w:szCs w:val="22"/>
        </w:rPr>
        <w:t>Rashod iz izvora općih prihoda</w:t>
      </w:r>
      <w:r w:rsidRPr="00053377">
        <w:rPr>
          <w:bCs/>
          <w:sz w:val="22"/>
          <w:szCs w:val="22"/>
        </w:rPr>
        <w:t xml:space="preserve"> i primitaka je planiran je u visini od 3</w:t>
      </w:r>
      <w:r w:rsidR="00674256">
        <w:rPr>
          <w:bCs/>
          <w:sz w:val="22"/>
          <w:szCs w:val="22"/>
        </w:rPr>
        <w:t>88.321,00</w:t>
      </w:r>
      <w:r w:rsidRPr="00053377">
        <w:rPr>
          <w:bCs/>
          <w:sz w:val="22"/>
          <w:szCs w:val="22"/>
        </w:rPr>
        <w:t xml:space="preserve"> </w:t>
      </w:r>
      <w:r w:rsidR="00505EE0">
        <w:rPr>
          <w:bCs/>
          <w:sz w:val="22"/>
          <w:szCs w:val="22"/>
        </w:rPr>
        <w:t>€</w:t>
      </w:r>
      <w:r w:rsidRPr="00053377">
        <w:rPr>
          <w:bCs/>
          <w:sz w:val="22"/>
          <w:szCs w:val="22"/>
        </w:rPr>
        <w:t xml:space="preserve"> u skladu s dogovorom i limitima danim od strane Osnivača, a godišnje izvršenje je u iznosu od </w:t>
      </w:r>
      <w:r w:rsidR="003346BB">
        <w:rPr>
          <w:bCs/>
          <w:sz w:val="22"/>
          <w:szCs w:val="22"/>
        </w:rPr>
        <w:t>387.877,64</w:t>
      </w:r>
      <w:r w:rsidRPr="00053377">
        <w:rPr>
          <w:bCs/>
          <w:sz w:val="22"/>
          <w:szCs w:val="22"/>
        </w:rPr>
        <w:t xml:space="preserve"> </w:t>
      </w:r>
      <w:r w:rsidR="00505EE0">
        <w:rPr>
          <w:bCs/>
          <w:sz w:val="22"/>
          <w:szCs w:val="22"/>
        </w:rPr>
        <w:t>€</w:t>
      </w:r>
      <w:r w:rsidRPr="00053377">
        <w:rPr>
          <w:bCs/>
          <w:sz w:val="22"/>
          <w:szCs w:val="22"/>
        </w:rPr>
        <w:t xml:space="preserve"> što je indeks odstupanja od </w:t>
      </w:r>
      <w:r w:rsidR="003346BB">
        <w:rPr>
          <w:bCs/>
          <w:sz w:val="22"/>
          <w:szCs w:val="22"/>
        </w:rPr>
        <w:t>100</w:t>
      </w:r>
      <w:r w:rsidRPr="00053377">
        <w:rPr>
          <w:bCs/>
          <w:sz w:val="22"/>
          <w:szCs w:val="22"/>
        </w:rPr>
        <w:t>% od ukupno planiranih ili 1</w:t>
      </w:r>
      <w:r w:rsidR="003346BB">
        <w:rPr>
          <w:bCs/>
          <w:sz w:val="22"/>
          <w:szCs w:val="22"/>
        </w:rPr>
        <w:t>20</w:t>
      </w:r>
      <w:r w:rsidRPr="00053377">
        <w:rPr>
          <w:bCs/>
          <w:sz w:val="22"/>
          <w:szCs w:val="22"/>
        </w:rPr>
        <w:t>% u odnosu na prošlu godinu, a utrošeni su za rashode zaposlenih i materijale troškove.</w:t>
      </w:r>
    </w:p>
    <w:p w14:paraId="501130E4" w14:textId="34161059" w:rsidR="00814641" w:rsidRPr="00053377" w:rsidRDefault="00814641" w:rsidP="00814641">
      <w:pPr>
        <w:spacing w:line="276" w:lineRule="auto"/>
        <w:jc w:val="both"/>
        <w:rPr>
          <w:bCs/>
          <w:sz w:val="22"/>
          <w:szCs w:val="22"/>
        </w:rPr>
      </w:pPr>
      <w:r w:rsidRPr="003B23F3">
        <w:rPr>
          <w:b/>
          <w:sz w:val="22"/>
          <w:szCs w:val="22"/>
        </w:rPr>
        <w:t>Rashod iz vlastitih prihoda</w:t>
      </w:r>
      <w:r w:rsidRPr="00053377">
        <w:rPr>
          <w:bCs/>
          <w:sz w:val="22"/>
          <w:szCs w:val="22"/>
        </w:rPr>
        <w:t xml:space="preserve"> planirani su u visini od </w:t>
      </w:r>
      <w:r w:rsidR="00887C8E">
        <w:rPr>
          <w:bCs/>
          <w:sz w:val="22"/>
          <w:szCs w:val="22"/>
        </w:rPr>
        <w:t>360.001,00</w:t>
      </w:r>
      <w:r w:rsidRPr="00053377">
        <w:rPr>
          <w:bCs/>
          <w:sz w:val="22"/>
          <w:szCs w:val="22"/>
        </w:rPr>
        <w:t xml:space="preserve"> </w:t>
      </w:r>
      <w:r w:rsidR="00505EE0">
        <w:rPr>
          <w:bCs/>
          <w:sz w:val="22"/>
          <w:szCs w:val="22"/>
        </w:rPr>
        <w:t>€</w:t>
      </w:r>
      <w:r w:rsidRPr="00053377">
        <w:rPr>
          <w:bCs/>
          <w:sz w:val="22"/>
          <w:szCs w:val="22"/>
        </w:rPr>
        <w:t xml:space="preserve">, a izvršenje je u iznosu od </w:t>
      </w:r>
      <w:r w:rsidR="00887C8E">
        <w:rPr>
          <w:bCs/>
          <w:sz w:val="22"/>
          <w:szCs w:val="22"/>
        </w:rPr>
        <w:t>308.886,09</w:t>
      </w:r>
      <w:r w:rsidRPr="00053377">
        <w:rPr>
          <w:bCs/>
          <w:sz w:val="22"/>
          <w:szCs w:val="22"/>
        </w:rPr>
        <w:t xml:space="preserve"> </w:t>
      </w:r>
      <w:r w:rsidR="00505EE0">
        <w:rPr>
          <w:bCs/>
          <w:sz w:val="22"/>
          <w:szCs w:val="22"/>
        </w:rPr>
        <w:t>€</w:t>
      </w:r>
      <w:r w:rsidRPr="00053377">
        <w:rPr>
          <w:bCs/>
          <w:sz w:val="22"/>
          <w:szCs w:val="22"/>
        </w:rPr>
        <w:t xml:space="preserve"> što je indeks odstupanja od </w:t>
      </w:r>
      <w:r w:rsidR="00A77250">
        <w:rPr>
          <w:bCs/>
          <w:sz w:val="22"/>
          <w:szCs w:val="22"/>
        </w:rPr>
        <w:t>86</w:t>
      </w:r>
      <w:r w:rsidRPr="00053377">
        <w:rPr>
          <w:bCs/>
          <w:sz w:val="22"/>
          <w:szCs w:val="22"/>
        </w:rPr>
        <w:t>% od ukupno planiranih ili 1</w:t>
      </w:r>
      <w:r w:rsidR="00A77250">
        <w:rPr>
          <w:bCs/>
          <w:sz w:val="22"/>
          <w:szCs w:val="22"/>
        </w:rPr>
        <w:t>18</w:t>
      </w:r>
      <w:r w:rsidRPr="00053377">
        <w:rPr>
          <w:bCs/>
          <w:sz w:val="22"/>
          <w:szCs w:val="22"/>
        </w:rPr>
        <w:t>% u odnosu na prošlu godinu. Sredstva su utrošena na troškove za zaposlene, materijale troškove kao i troškove za nefinancijsku imovinu.</w:t>
      </w:r>
    </w:p>
    <w:p w14:paraId="3E8D73EB" w14:textId="1CB73181" w:rsidR="00814641" w:rsidRPr="00053377" w:rsidRDefault="00814641" w:rsidP="00814641">
      <w:pPr>
        <w:spacing w:line="276" w:lineRule="auto"/>
        <w:jc w:val="both"/>
        <w:rPr>
          <w:bCs/>
          <w:sz w:val="22"/>
          <w:szCs w:val="22"/>
        </w:rPr>
      </w:pPr>
      <w:r w:rsidRPr="003B23F3">
        <w:rPr>
          <w:b/>
          <w:sz w:val="22"/>
          <w:szCs w:val="22"/>
        </w:rPr>
        <w:t>Rashod od prihoda za posebne namjene</w:t>
      </w:r>
      <w:r w:rsidRPr="00053377">
        <w:rPr>
          <w:bCs/>
          <w:sz w:val="22"/>
          <w:szCs w:val="22"/>
        </w:rPr>
        <w:t xml:space="preserve"> - komunalna naknada - planiran je iznos u visini od 18.251,00 </w:t>
      </w:r>
      <w:r w:rsidR="00505EE0">
        <w:rPr>
          <w:bCs/>
          <w:sz w:val="22"/>
          <w:szCs w:val="22"/>
        </w:rPr>
        <w:t>€</w:t>
      </w:r>
      <w:r w:rsidRPr="00053377">
        <w:rPr>
          <w:bCs/>
          <w:sz w:val="22"/>
          <w:szCs w:val="22"/>
        </w:rPr>
        <w:t>, a izvršenje je u iznosu od 1</w:t>
      </w:r>
      <w:r w:rsidR="00A77250">
        <w:rPr>
          <w:bCs/>
          <w:sz w:val="22"/>
          <w:szCs w:val="22"/>
        </w:rPr>
        <w:t>8.</w:t>
      </w:r>
      <w:r w:rsidR="0069417B">
        <w:rPr>
          <w:bCs/>
          <w:sz w:val="22"/>
          <w:szCs w:val="22"/>
        </w:rPr>
        <w:t>218,04</w:t>
      </w:r>
      <w:r w:rsidRPr="00053377">
        <w:rPr>
          <w:bCs/>
          <w:sz w:val="22"/>
          <w:szCs w:val="22"/>
        </w:rPr>
        <w:t xml:space="preserve"> </w:t>
      </w:r>
      <w:r w:rsidR="00505EE0">
        <w:rPr>
          <w:bCs/>
          <w:sz w:val="22"/>
          <w:szCs w:val="22"/>
        </w:rPr>
        <w:t>€</w:t>
      </w:r>
      <w:r w:rsidRPr="00053377">
        <w:rPr>
          <w:bCs/>
          <w:sz w:val="22"/>
          <w:szCs w:val="22"/>
        </w:rPr>
        <w:t xml:space="preserve">. Izvršenje se odnosi na troškove investicijskog održavanja. Potrošnja je </w:t>
      </w:r>
      <w:r w:rsidR="00175966">
        <w:rPr>
          <w:bCs/>
          <w:sz w:val="22"/>
          <w:szCs w:val="22"/>
        </w:rPr>
        <w:t>smanjena</w:t>
      </w:r>
      <w:r w:rsidRPr="00053377">
        <w:rPr>
          <w:bCs/>
          <w:sz w:val="22"/>
          <w:szCs w:val="22"/>
        </w:rPr>
        <w:t xml:space="preserve"> u odnosu na 2023. g. dok je u 2024. izvršeno 1</w:t>
      </w:r>
      <w:r w:rsidR="0069417B">
        <w:rPr>
          <w:bCs/>
          <w:sz w:val="22"/>
          <w:szCs w:val="22"/>
        </w:rPr>
        <w:t>00</w:t>
      </w:r>
      <w:r w:rsidRPr="00053377">
        <w:rPr>
          <w:bCs/>
          <w:sz w:val="22"/>
          <w:szCs w:val="22"/>
        </w:rPr>
        <w:t xml:space="preserve">% od ukupno planiranog. </w:t>
      </w:r>
    </w:p>
    <w:p w14:paraId="53A4D716" w14:textId="14E828F4" w:rsidR="00814641" w:rsidRPr="00053377" w:rsidRDefault="00814641" w:rsidP="00814641">
      <w:pPr>
        <w:spacing w:line="276" w:lineRule="auto"/>
        <w:jc w:val="both"/>
        <w:rPr>
          <w:bCs/>
          <w:sz w:val="22"/>
          <w:szCs w:val="22"/>
        </w:rPr>
      </w:pPr>
      <w:r w:rsidRPr="003B23F3">
        <w:rPr>
          <w:b/>
          <w:sz w:val="22"/>
          <w:szCs w:val="22"/>
        </w:rPr>
        <w:t>Rashod s osnove prihoda pomoći</w:t>
      </w:r>
      <w:r w:rsidRPr="00053377">
        <w:rPr>
          <w:bCs/>
          <w:sz w:val="22"/>
          <w:szCs w:val="22"/>
        </w:rPr>
        <w:t xml:space="preserve"> odnose se na pomoći unutar općeg proračuna i pomoći od strane EU. </w:t>
      </w:r>
      <w:r w:rsidR="00B80F92">
        <w:rPr>
          <w:bCs/>
          <w:sz w:val="22"/>
          <w:szCs w:val="22"/>
        </w:rPr>
        <w:t>G</w:t>
      </w:r>
      <w:r w:rsidRPr="00053377">
        <w:rPr>
          <w:bCs/>
          <w:sz w:val="22"/>
          <w:szCs w:val="22"/>
        </w:rPr>
        <w:t xml:space="preserve">odišnje izvršenje je u iznosu od </w:t>
      </w:r>
      <w:r w:rsidR="00306325">
        <w:rPr>
          <w:bCs/>
          <w:sz w:val="22"/>
          <w:szCs w:val="22"/>
        </w:rPr>
        <w:t>116.906,35</w:t>
      </w:r>
      <w:r w:rsidRPr="00053377">
        <w:rPr>
          <w:bCs/>
          <w:sz w:val="22"/>
          <w:szCs w:val="22"/>
        </w:rPr>
        <w:t xml:space="preserve"> </w:t>
      </w:r>
      <w:r w:rsidR="00505EE0">
        <w:rPr>
          <w:bCs/>
          <w:sz w:val="22"/>
          <w:szCs w:val="22"/>
        </w:rPr>
        <w:t>€</w:t>
      </w:r>
      <w:r w:rsidRPr="00053377">
        <w:rPr>
          <w:bCs/>
          <w:sz w:val="22"/>
          <w:szCs w:val="22"/>
        </w:rPr>
        <w:t xml:space="preserve"> što je indeks odstupanja od 24% od ukupno planiranih ili 221% u odnosu na prošlu godinu, a utrošeni su za troškove planirane za programsku djelatnost i potrebe provođenja EU.</w:t>
      </w:r>
    </w:p>
    <w:p w14:paraId="75DC433A" w14:textId="3CAA5125" w:rsidR="00814641" w:rsidRPr="00AE437F" w:rsidRDefault="00814641" w:rsidP="00814641">
      <w:pPr>
        <w:spacing w:line="276" w:lineRule="auto"/>
        <w:jc w:val="both"/>
        <w:rPr>
          <w:b/>
          <w:sz w:val="22"/>
          <w:szCs w:val="22"/>
        </w:rPr>
      </w:pPr>
      <w:r w:rsidRPr="003B23F3">
        <w:rPr>
          <w:b/>
          <w:sz w:val="22"/>
          <w:szCs w:val="22"/>
        </w:rPr>
        <w:t>Rashod s osnove prihoda donacija</w:t>
      </w:r>
      <w:r w:rsidRPr="00053377">
        <w:rPr>
          <w:bCs/>
          <w:sz w:val="22"/>
          <w:szCs w:val="22"/>
        </w:rPr>
        <w:t xml:space="preserve"> strane HUZIP-a je planiran za koncert u iznosu od 700,00 </w:t>
      </w:r>
      <w:r w:rsidR="00505EE0">
        <w:rPr>
          <w:bCs/>
          <w:sz w:val="22"/>
          <w:szCs w:val="22"/>
        </w:rPr>
        <w:t>€</w:t>
      </w:r>
      <w:r w:rsidRPr="00053377">
        <w:rPr>
          <w:bCs/>
          <w:sz w:val="22"/>
          <w:szCs w:val="22"/>
        </w:rPr>
        <w:t xml:space="preserve"> te se u istom iznosu i izvršio.</w:t>
      </w:r>
    </w:p>
    <w:p w14:paraId="1E0BF8EA" w14:textId="4C21BA1F" w:rsidR="00814641" w:rsidRPr="00053377" w:rsidRDefault="00814641" w:rsidP="00814641">
      <w:pPr>
        <w:spacing w:line="276" w:lineRule="auto"/>
        <w:jc w:val="both"/>
        <w:rPr>
          <w:bCs/>
          <w:sz w:val="22"/>
          <w:szCs w:val="22"/>
        </w:rPr>
      </w:pPr>
      <w:r w:rsidRPr="003B23F3">
        <w:rPr>
          <w:b/>
          <w:sz w:val="22"/>
          <w:szCs w:val="22"/>
        </w:rPr>
        <w:t>Rashod s osnove prihoda od nefinancijske imovine</w:t>
      </w:r>
      <w:r w:rsidRPr="00AE437F">
        <w:rPr>
          <w:b/>
          <w:sz w:val="22"/>
          <w:szCs w:val="22"/>
        </w:rPr>
        <w:t xml:space="preserve"> i naknada štete s osnove osiguranja</w:t>
      </w:r>
      <w:r w:rsidRPr="00053377">
        <w:rPr>
          <w:bCs/>
          <w:sz w:val="22"/>
          <w:szCs w:val="22"/>
        </w:rPr>
        <w:t xml:space="preserve"> planirani su u iznosu od 2</w:t>
      </w:r>
      <w:r w:rsidR="00E14748">
        <w:rPr>
          <w:bCs/>
          <w:sz w:val="22"/>
          <w:szCs w:val="22"/>
        </w:rPr>
        <w:t>0.650</w:t>
      </w:r>
      <w:r w:rsidRPr="00053377">
        <w:rPr>
          <w:bCs/>
          <w:sz w:val="22"/>
          <w:szCs w:val="22"/>
        </w:rPr>
        <w:t xml:space="preserve">,00 </w:t>
      </w:r>
      <w:r w:rsidR="00505EE0">
        <w:rPr>
          <w:bCs/>
          <w:sz w:val="22"/>
          <w:szCs w:val="22"/>
        </w:rPr>
        <w:t>€</w:t>
      </w:r>
      <w:r w:rsidRPr="00053377">
        <w:rPr>
          <w:bCs/>
          <w:sz w:val="22"/>
          <w:szCs w:val="22"/>
        </w:rPr>
        <w:t xml:space="preserve"> </w:t>
      </w:r>
      <w:r w:rsidR="006233CC">
        <w:rPr>
          <w:bCs/>
          <w:sz w:val="22"/>
          <w:szCs w:val="22"/>
        </w:rPr>
        <w:t>te se isti izvršio u 100% iznosu.</w:t>
      </w:r>
      <w:r w:rsidRPr="00053377">
        <w:rPr>
          <w:bCs/>
          <w:sz w:val="22"/>
          <w:szCs w:val="22"/>
        </w:rPr>
        <w:t xml:space="preserve"> Planirani iznos </w:t>
      </w:r>
      <w:r w:rsidR="00E14748">
        <w:rPr>
          <w:bCs/>
          <w:sz w:val="22"/>
          <w:szCs w:val="22"/>
        </w:rPr>
        <w:t>utrošio</w:t>
      </w:r>
      <w:r w:rsidR="00CC4EEA">
        <w:rPr>
          <w:bCs/>
          <w:sz w:val="22"/>
          <w:szCs w:val="22"/>
        </w:rPr>
        <w:t xml:space="preserve"> </w:t>
      </w:r>
      <w:r w:rsidRPr="00053377">
        <w:rPr>
          <w:bCs/>
          <w:sz w:val="22"/>
          <w:szCs w:val="22"/>
        </w:rPr>
        <w:t>se u drugoj polovici godine za dodatna ulaganja na građevinskim objektima (rekonstrukcija dvorane Domoljub)</w:t>
      </w:r>
      <w:r w:rsidR="006233CC">
        <w:rPr>
          <w:bCs/>
          <w:sz w:val="22"/>
          <w:szCs w:val="22"/>
        </w:rPr>
        <w:t>.</w:t>
      </w:r>
    </w:p>
    <w:p w14:paraId="4C58F1C3" w14:textId="77777777" w:rsidR="00814641" w:rsidRPr="00053377" w:rsidRDefault="00814641" w:rsidP="00814641">
      <w:pPr>
        <w:spacing w:line="276" w:lineRule="auto"/>
        <w:jc w:val="both"/>
        <w:rPr>
          <w:bCs/>
          <w:sz w:val="22"/>
          <w:szCs w:val="22"/>
        </w:rPr>
      </w:pPr>
    </w:p>
    <w:p w14:paraId="0B3FADFE" w14:textId="32F453F6" w:rsidR="00814641" w:rsidRPr="00053377" w:rsidRDefault="00814641" w:rsidP="00814641">
      <w:pPr>
        <w:spacing w:line="276" w:lineRule="auto"/>
        <w:jc w:val="both"/>
        <w:rPr>
          <w:bCs/>
          <w:sz w:val="22"/>
          <w:szCs w:val="22"/>
        </w:rPr>
      </w:pPr>
      <w:r w:rsidRPr="00053377">
        <w:rPr>
          <w:bCs/>
          <w:sz w:val="22"/>
          <w:szCs w:val="22"/>
        </w:rPr>
        <w:t xml:space="preserve">Omjerom ostvarenih prihoda i rashoda </w:t>
      </w:r>
      <w:r w:rsidR="00626391">
        <w:rPr>
          <w:bCs/>
          <w:sz w:val="22"/>
          <w:szCs w:val="22"/>
        </w:rPr>
        <w:t xml:space="preserve">za ovu </w:t>
      </w:r>
      <w:r w:rsidRPr="00053377">
        <w:rPr>
          <w:bCs/>
          <w:sz w:val="22"/>
          <w:szCs w:val="22"/>
        </w:rPr>
        <w:t>izvještajn</w:t>
      </w:r>
      <w:r w:rsidR="00626391">
        <w:rPr>
          <w:bCs/>
          <w:sz w:val="22"/>
          <w:szCs w:val="22"/>
        </w:rPr>
        <w:t>u</w:t>
      </w:r>
      <w:r w:rsidRPr="00053377">
        <w:rPr>
          <w:bCs/>
          <w:sz w:val="22"/>
          <w:szCs w:val="22"/>
        </w:rPr>
        <w:t xml:space="preserve"> godin</w:t>
      </w:r>
      <w:r w:rsidR="00626391">
        <w:rPr>
          <w:bCs/>
          <w:sz w:val="22"/>
          <w:szCs w:val="22"/>
        </w:rPr>
        <w:t>u</w:t>
      </w:r>
      <w:r w:rsidRPr="00053377">
        <w:rPr>
          <w:bCs/>
          <w:sz w:val="22"/>
          <w:szCs w:val="22"/>
        </w:rPr>
        <w:t xml:space="preserve"> Učilište je ostvarilo </w:t>
      </w:r>
      <w:r w:rsidR="00626391">
        <w:rPr>
          <w:bCs/>
          <w:sz w:val="22"/>
          <w:szCs w:val="22"/>
        </w:rPr>
        <w:t>negativan</w:t>
      </w:r>
      <w:r w:rsidRPr="00053377">
        <w:rPr>
          <w:bCs/>
          <w:sz w:val="22"/>
          <w:szCs w:val="22"/>
        </w:rPr>
        <w:t xml:space="preserve"> rezultat poslovanja od </w:t>
      </w:r>
      <w:r w:rsidR="00626391">
        <w:rPr>
          <w:bCs/>
          <w:sz w:val="22"/>
          <w:szCs w:val="22"/>
        </w:rPr>
        <w:t>26.</w:t>
      </w:r>
      <w:r w:rsidR="00851477">
        <w:rPr>
          <w:bCs/>
          <w:sz w:val="22"/>
          <w:szCs w:val="22"/>
        </w:rPr>
        <w:t>343,73</w:t>
      </w:r>
      <w:r w:rsidRPr="00053377">
        <w:rPr>
          <w:bCs/>
          <w:sz w:val="22"/>
          <w:szCs w:val="22"/>
        </w:rPr>
        <w:t xml:space="preserve"> </w:t>
      </w:r>
      <w:r w:rsidR="00505EE0">
        <w:rPr>
          <w:bCs/>
          <w:sz w:val="22"/>
          <w:szCs w:val="22"/>
        </w:rPr>
        <w:t>€</w:t>
      </w:r>
      <w:r w:rsidRPr="00053377">
        <w:rPr>
          <w:bCs/>
          <w:sz w:val="22"/>
          <w:szCs w:val="22"/>
        </w:rPr>
        <w:t xml:space="preserve">. Višak prihoda poslovanja iz 2023. godine iznosi </w:t>
      </w:r>
      <w:r w:rsidR="008B101D">
        <w:rPr>
          <w:bCs/>
          <w:sz w:val="22"/>
          <w:szCs w:val="22"/>
        </w:rPr>
        <w:t>49.885,66</w:t>
      </w:r>
      <w:r w:rsidRPr="00053377">
        <w:rPr>
          <w:bCs/>
          <w:sz w:val="22"/>
          <w:szCs w:val="22"/>
        </w:rPr>
        <w:t xml:space="preserve"> </w:t>
      </w:r>
      <w:r w:rsidR="00857EB9">
        <w:rPr>
          <w:bCs/>
          <w:sz w:val="22"/>
          <w:szCs w:val="22"/>
        </w:rPr>
        <w:t>€</w:t>
      </w:r>
      <w:r w:rsidRPr="00053377">
        <w:rPr>
          <w:bCs/>
          <w:sz w:val="22"/>
          <w:szCs w:val="22"/>
        </w:rPr>
        <w:t>.</w:t>
      </w:r>
    </w:p>
    <w:p w14:paraId="2502AF2F" w14:textId="03251FFC" w:rsidR="00814641" w:rsidRPr="00053377" w:rsidRDefault="00814641" w:rsidP="00814641">
      <w:pPr>
        <w:spacing w:line="276" w:lineRule="auto"/>
        <w:jc w:val="both"/>
        <w:rPr>
          <w:bCs/>
          <w:sz w:val="22"/>
          <w:szCs w:val="22"/>
        </w:rPr>
      </w:pPr>
      <w:r w:rsidRPr="00053377">
        <w:rPr>
          <w:bCs/>
          <w:sz w:val="22"/>
          <w:szCs w:val="22"/>
        </w:rPr>
        <w:t>Ostvareni viškovi i manjkovi po izvorima financiranja na dan 31.12.202</w:t>
      </w:r>
      <w:r w:rsidR="00851477">
        <w:rPr>
          <w:bCs/>
          <w:sz w:val="22"/>
          <w:szCs w:val="22"/>
        </w:rPr>
        <w:t>4</w:t>
      </w:r>
      <w:r w:rsidRPr="00053377">
        <w:rPr>
          <w:bCs/>
          <w:sz w:val="22"/>
          <w:szCs w:val="22"/>
        </w:rPr>
        <w:t xml:space="preserve">. godine koji </w:t>
      </w:r>
      <w:r w:rsidR="00851477">
        <w:rPr>
          <w:bCs/>
          <w:sz w:val="22"/>
          <w:szCs w:val="22"/>
        </w:rPr>
        <w:t>će biti</w:t>
      </w:r>
      <w:r w:rsidRPr="00053377">
        <w:rPr>
          <w:bCs/>
          <w:sz w:val="22"/>
          <w:szCs w:val="22"/>
        </w:rPr>
        <w:t xml:space="preserve"> uključeni u I. Izmjene i dopune Financijskog plana ustanove utrošit će se</w:t>
      </w:r>
      <w:r w:rsidR="00902E85">
        <w:rPr>
          <w:bCs/>
          <w:sz w:val="22"/>
          <w:szCs w:val="22"/>
        </w:rPr>
        <w:t xml:space="preserve"> u skladu s </w:t>
      </w:r>
      <w:r w:rsidR="009F1195">
        <w:rPr>
          <w:bCs/>
          <w:sz w:val="22"/>
          <w:szCs w:val="22"/>
        </w:rPr>
        <w:t>aktivnostima</w:t>
      </w:r>
      <w:r w:rsidRPr="00053377">
        <w:rPr>
          <w:bCs/>
          <w:sz w:val="22"/>
          <w:szCs w:val="22"/>
        </w:rPr>
        <w:t>, a manjkovi nastojati pokriti tijekom 202</w:t>
      </w:r>
      <w:r w:rsidR="005A05B3">
        <w:rPr>
          <w:bCs/>
          <w:sz w:val="22"/>
          <w:szCs w:val="22"/>
        </w:rPr>
        <w:t>5</w:t>
      </w:r>
      <w:r w:rsidRPr="00053377">
        <w:rPr>
          <w:bCs/>
          <w:sz w:val="22"/>
          <w:szCs w:val="22"/>
        </w:rPr>
        <w:t>. godine sukladno Odluci Upravnoga vijeća o utvrđivanju i raspodjeli rezultata iz 202</w:t>
      </w:r>
      <w:r w:rsidR="005A05B3">
        <w:rPr>
          <w:bCs/>
          <w:sz w:val="22"/>
          <w:szCs w:val="22"/>
        </w:rPr>
        <w:t>4</w:t>
      </w:r>
      <w:r w:rsidRPr="00053377">
        <w:rPr>
          <w:bCs/>
          <w:sz w:val="22"/>
          <w:szCs w:val="22"/>
        </w:rPr>
        <w:t>. godine.</w:t>
      </w:r>
    </w:p>
    <w:p w14:paraId="7307639B" w14:textId="77777777" w:rsidR="00814641" w:rsidRPr="00814641" w:rsidRDefault="00814641" w:rsidP="00814641">
      <w:pPr>
        <w:spacing w:line="276" w:lineRule="auto"/>
        <w:jc w:val="both"/>
        <w:rPr>
          <w:b/>
          <w:bCs/>
          <w:sz w:val="22"/>
          <w:szCs w:val="22"/>
        </w:rPr>
      </w:pPr>
    </w:p>
    <w:p w14:paraId="199A83F8" w14:textId="7F2262FC" w:rsidR="002A3921" w:rsidRPr="002A3921" w:rsidRDefault="00803E66" w:rsidP="007D2669">
      <w:pPr>
        <w:rPr>
          <w:b/>
          <w:bCs/>
          <w:sz w:val="22"/>
          <w:szCs w:val="22"/>
        </w:rPr>
      </w:pPr>
      <w:r>
        <w:rPr>
          <w:b/>
          <w:bCs/>
          <w:sz w:val="22"/>
          <w:szCs w:val="22"/>
        </w:rPr>
        <w:br w:type="page"/>
      </w:r>
    </w:p>
    <w:p w14:paraId="36E70597" w14:textId="6850417E" w:rsidR="00C93590" w:rsidRDefault="00C93590" w:rsidP="002A3921">
      <w:pPr>
        <w:spacing w:line="276" w:lineRule="auto"/>
        <w:jc w:val="both"/>
        <w:rPr>
          <w:b/>
          <w:bCs/>
          <w:sz w:val="22"/>
          <w:szCs w:val="22"/>
        </w:rPr>
      </w:pPr>
      <w:r w:rsidRPr="00C93590">
        <w:rPr>
          <w:b/>
          <w:bCs/>
          <w:sz w:val="22"/>
          <w:szCs w:val="22"/>
        </w:rPr>
        <w:lastRenderedPageBreak/>
        <w:t>Izvještaj računa financiranja prema izvorima financiranja</w:t>
      </w:r>
    </w:p>
    <w:p w14:paraId="2129529B" w14:textId="77777777" w:rsidR="00C93590" w:rsidRDefault="00C93590" w:rsidP="002A3921">
      <w:pPr>
        <w:spacing w:line="276" w:lineRule="auto"/>
        <w:jc w:val="both"/>
        <w:rPr>
          <w:b/>
          <w:bCs/>
          <w:sz w:val="22"/>
          <w:szCs w:val="22"/>
        </w:rPr>
      </w:pPr>
    </w:p>
    <w:p w14:paraId="57C58773" w14:textId="57CE51EA" w:rsidR="002A3921" w:rsidRPr="002A3921" w:rsidRDefault="002A3921" w:rsidP="002A3921">
      <w:pPr>
        <w:spacing w:line="276" w:lineRule="auto"/>
        <w:jc w:val="both"/>
        <w:rPr>
          <w:b/>
          <w:bCs/>
          <w:sz w:val="22"/>
          <w:szCs w:val="22"/>
        </w:rPr>
      </w:pPr>
      <w:r w:rsidRPr="002A3921">
        <w:rPr>
          <w:b/>
          <w:bCs/>
          <w:sz w:val="22"/>
          <w:szCs w:val="22"/>
        </w:rPr>
        <w:t xml:space="preserve">Ostvarenje </w:t>
      </w:r>
      <w:r w:rsidR="00E57270">
        <w:rPr>
          <w:b/>
          <w:bCs/>
          <w:sz w:val="22"/>
          <w:szCs w:val="22"/>
        </w:rPr>
        <w:t>prenesenog</w:t>
      </w:r>
      <w:r w:rsidR="00D86B78">
        <w:rPr>
          <w:b/>
          <w:bCs/>
          <w:sz w:val="22"/>
          <w:szCs w:val="22"/>
        </w:rPr>
        <w:t xml:space="preserve"> rezultat</w:t>
      </w:r>
      <w:r w:rsidRPr="002A3921">
        <w:rPr>
          <w:b/>
          <w:bCs/>
          <w:sz w:val="22"/>
          <w:szCs w:val="22"/>
        </w:rPr>
        <w:t xml:space="preserve"> poslovanja prema izvorima financiranja </w:t>
      </w:r>
      <w:r>
        <w:rPr>
          <w:b/>
          <w:bCs/>
          <w:sz w:val="22"/>
          <w:szCs w:val="22"/>
        </w:rPr>
        <w:t xml:space="preserve">u </w:t>
      </w:r>
      <w:r w:rsidRPr="002A3921">
        <w:rPr>
          <w:b/>
          <w:bCs/>
          <w:sz w:val="22"/>
          <w:szCs w:val="22"/>
        </w:rPr>
        <w:t>2024.:</w:t>
      </w:r>
    </w:p>
    <w:tbl>
      <w:tblPr>
        <w:tblpPr w:leftFromText="180" w:rightFromText="180" w:vertAnchor="text" w:tblpY="1"/>
        <w:tblOverlap w:val="never"/>
        <w:tblW w:w="4040" w:type="dxa"/>
        <w:tblLook w:val="04A0" w:firstRow="1" w:lastRow="0" w:firstColumn="1" w:lastColumn="0" w:noHBand="0" w:noVBand="1"/>
      </w:tblPr>
      <w:tblGrid>
        <w:gridCol w:w="2020"/>
        <w:gridCol w:w="2020"/>
      </w:tblGrid>
      <w:tr w:rsidR="00341E83" w:rsidRPr="00341E83" w14:paraId="7D6E09B0" w14:textId="77777777" w:rsidTr="00B804D3">
        <w:trPr>
          <w:trHeight w:val="300"/>
        </w:trPr>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4822D1" w14:textId="77777777" w:rsidR="00341E83" w:rsidRPr="00341E83" w:rsidRDefault="00341E83" w:rsidP="00341E83">
            <w:pPr>
              <w:spacing w:line="276" w:lineRule="auto"/>
              <w:jc w:val="both"/>
              <w:rPr>
                <w:b/>
                <w:bCs/>
                <w:sz w:val="22"/>
                <w:szCs w:val="22"/>
              </w:rPr>
            </w:pPr>
            <w:r w:rsidRPr="00341E83">
              <w:rPr>
                <w:b/>
                <w:bCs/>
                <w:sz w:val="22"/>
                <w:szCs w:val="22"/>
              </w:rPr>
              <w:t>Izvori financiranja</w:t>
            </w:r>
          </w:p>
        </w:tc>
        <w:tc>
          <w:tcPr>
            <w:tcW w:w="2020" w:type="dxa"/>
            <w:tcBorders>
              <w:top w:val="single" w:sz="4" w:space="0" w:color="auto"/>
              <w:left w:val="nil"/>
              <w:bottom w:val="single" w:sz="4" w:space="0" w:color="auto"/>
              <w:right w:val="single" w:sz="4" w:space="0" w:color="auto"/>
            </w:tcBorders>
            <w:shd w:val="clear" w:color="auto" w:fill="auto"/>
            <w:noWrap/>
            <w:vAlign w:val="bottom"/>
            <w:hideMark/>
          </w:tcPr>
          <w:p w14:paraId="416C93C7" w14:textId="77777777" w:rsidR="00341E83" w:rsidRPr="00341E83" w:rsidRDefault="00341E83" w:rsidP="00341E83">
            <w:pPr>
              <w:spacing w:line="276" w:lineRule="auto"/>
              <w:jc w:val="both"/>
              <w:rPr>
                <w:b/>
                <w:bCs/>
                <w:sz w:val="22"/>
                <w:szCs w:val="22"/>
              </w:rPr>
            </w:pPr>
            <w:r w:rsidRPr="00341E83">
              <w:rPr>
                <w:b/>
                <w:bCs/>
                <w:sz w:val="22"/>
                <w:szCs w:val="22"/>
              </w:rPr>
              <w:t>Rezultat poslovanja</w:t>
            </w:r>
          </w:p>
        </w:tc>
      </w:tr>
      <w:tr w:rsidR="00341E83" w:rsidRPr="00341E83" w14:paraId="05BCB1B8" w14:textId="77777777" w:rsidTr="00B804D3">
        <w:trPr>
          <w:trHeight w:val="30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176A153" w14:textId="77777777" w:rsidR="00341E83" w:rsidRPr="00341E83" w:rsidRDefault="00341E83" w:rsidP="00341E83">
            <w:pPr>
              <w:spacing w:line="276" w:lineRule="auto"/>
              <w:jc w:val="both"/>
              <w:rPr>
                <w:b/>
                <w:bCs/>
                <w:sz w:val="22"/>
                <w:szCs w:val="22"/>
              </w:rPr>
            </w:pPr>
            <w:r w:rsidRPr="00341E83">
              <w:rPr>
                <w:b/>
                <w:bCs/>
                <w:sz w:val="22"/>
                <w:szCs w:val="22"/>
              </w:rPr>
              <w:t>Izvor 1</w:t>
            </w:r>
          </w:p>
        </w:tc>
        <w:tc>
          <w:tcPr>
            <w:tcW w:w="2020" w:type="dxa"/>
            <w:tcBorders>
              <w:top w:val="nil"/>
              <w:left w:val="nil"/>
              <w:bottom w:val="single" w:sz="4" w:space="0" w:color="auto"/>
              <w:right w:val="single" w:sz="4" w:space="0" w:color="auto"/>
            </w:tcBorders>
            <w:shd w:val="clear" w:color="auto" w:fill="auto"/>
            <w:noWrap/>
            <w:vAlign w:val="bottom"/>
            <w:hideMark/>
          </w:tcPr>
          <w:p w14:paraId="3F178E59" w14:textId="77777777" w:rsidR="00341E83" w:rsidRPr="00341E83" w:rsidRDefault="00341E83" w:rsidP="00341E83">
            <w:pPr>
              <w:spacing w:line="276" w:lineRule="auto"/>
              <w:jc w:val="both"/>
              <w:rPr>
                <w:b/>
                <w:bCs/>
                <w:i/>
                <w:iCs/>
                <w:sz w:val="22"/>
                <w:szCs w:val="22"/>
              </w:rPr>
            </w:pPr>
            <w:r w:rsidRPr="00341E83">
              <w:rPr>
                <w:b/>
                <w:bCs/>
                <w:i/>
                <w:iCs/>
                <w:sz w:val="22"/>
                <w:szCs w:val="22"/>
              </w:rPr>
              <w:t>-25.127,45</w:t>
            </w:r>
          </w:p>
        </w:tc>
      </w:tr>
      <w:tr w:rsidR="00341E83" w:rsidRPr="00341E83" w14:paraId="37A73C60" w14:textId="77777777" w:rsidTr="00B804D3">
        <w:trPr>
          <w:trHeight w:val="30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2FAA66D" w14:textId="77777777" w:rsidR="00341E83" w:rsidRPr="00341E83" w:rsidRDefault="00341E83" w:rsidP="00341E83">
            <w:pPr>
              <w:spacing w:line="276" w:lineRule="auto"/>
              <w:jc w:val="both"/>
              <w:rPr>
                <w:b/>
                <w:bCs/>
                <w:sz w:val="22"/>
                <w:szCs w:val="22"/>
              </w:rPr>
            </w:pPr>
            <w:r w:rsidRPr="00341E83">
              <w:rPr>
                <w:b/>
                <w:bCs/>
                <w:sz w:val="22"/>
                <w:szCs w:val="22"/>
              </w:rPr>
              <w:t>Izvor 29</w:t>
            </w:r>
          </w:p>
        </w:tc>
        <w:tc>
          <w:tcPr>
            <w:tcW w:w="2020" w:type="dxa"/>
            <w:tcBorders>
              <w:top w:val="nil"/>
              <w:left w:val="nil"/>
              <w:bottom w:val="single" w:sz="4" w:space="0" w:color="auto"/>
              <w:right w:val="single" w:sz="4" w:space="0" w:color="auto"/>
            </w:tcBorders>
            <w:shd w:val="clear" w:color="auto" w:fill="auto"/>
            <w:noWrap/>
            <w:vAlign w:val="bottom"/>
            <w:hideMark/>
          </w:tcPr>
          <w:p w14:paraId="54CF817B" w14:textId="65821980" w:rsidR="00341E83" w:rsidRPr="00341E83" w:rsidRDefault="00E46BC5" w:rsidP="00341E83">
            <w:pPr>
              <w:spacing w:line="276" w:lineRule="auto"/>
              <w:jc w:val="both"/>
              <w:rPr>
                <w:b/>
                <w:bCs/>
                <w:sz w:val="22"/>
                <w:szCs w:val="22"/>
              </w:rPr>
            </w:pPr>
            <w:r>
              <w:rPr>
                <w:b/>
                <w:bCs/>
                <w:sz w:val="22"/>
                <w:szCs w:val="22"/>
              </w:rPr>
              <w:t>73.166,81</w:t>
            </w:r>
          </w:p>
        </w:tc>
      </w:tr>
      <w:tr w:rsidR="00341E83" w:rsidRPr="00341E83" w14:paraId="251F3510" w14:textId="77777777" w:rsidTr="00B804D3">
        <w:trPr>
          <w:trHeight w:val="30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5C40FE9" w14:textId="77777777" w:rsidR="00341E83" w:rsidRPr="00341E83" w:rsidRDefault="00341E83" w:rsidP="00341E83">
            <w:pPr>
              <w:spacing w:line="276" w:lineRule="auto"/>
              <w:jc w:val="both"/>
              <w:rPr>
                <w:b/>
                <w:bCs/>
                <w:sz w:val="22"/>
                <w:szCs w:val="22"/>
              </w:rPr>
            </w:pPr>
            <w:r w:rsidRPr="00341E83">
              <w:rPr>
                <w:b/>
                <w:bCs/>
                <w:sz w:val="22"/>
                <w:szCs w:val="22"/>
              </w:rPr>
              <w:t>Izvor 452</w:t>
            </w:r>
          </w:p>
        </w:tc>
        <w:tc>
          <w:tcPr>
            <w:tcW w:w="2020" w:type="dxa"/>
            <w:tcBorders>
              <w:top w:val="nil"/>
              <w:left w:val="nil"/>
              <w:bottom w:val="single" w:sz="4" w:space="0" w:color="auto"/>
              <w:right w:val="single" w:sz="4" w:space="0" w:color="auto"/>
            </w:tcBorders>
            <w:shd w:val="clear" w:color="auto" w:fill="auto"/>
            <w:noWrap/>
            <w:vAlign w:val="bottom"/>
            <w:hideMark/>
          </w:tcPr>
          <w:p w14:paraId="6DA319BC" w14:textId="1AC8D5BA" w:rsidR="00341E83" w:rsidRPr="00341E83" w:rsidRDefault="00341E83" w:rsidP="00341E83">
            <w:pPr>
              <w:spacing w:line="276" w:lineRule="auto"/>
              <w:jc w:val="both"/>
              <w:rPr>
                <w:b/>
                <w:bCs/>
                <w:sz w:val="22"/>
                <w:szCs w:val="22"/>
              </w:rPr>
            </w:pPr>
            <w:r w:rsidRPr="00341E83">
              <w:rPr>
                <w:b/>
                <w:bCs/>
                <w:sz w:val="22"/>
                <w:szCs w:val="22"/>
              </w:rPr>
              <w:t>-</w:t>
            </w:r>
            <w:r w:rsidR="00896111">
              <w:rPr>
                <w:b/>
                <w:bCs/>
                <w:sz w:val="22"/>
                <w:szCs w:val="22"/>
              </w:rPr>
              <w:t>1.213,78</w:t>
            </w:r>
          </w:p>
        </w:tc>
      </w:tr>
      <w:tr w:rsidR="00341E83" w:rsidRPr="00341E83" w14:paraId="423FEB55" w14:textId="77777777" w:rsidTr="00B804D3">
        <w:trPr>
          <w:trHeight w:val="30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94372B7" w14:textId="77777777" w:rsidR="00341E83" w:rsidRPr="00341E83" w:rsidRDefault="00341E83" w:rsidP="00341E83">
            <w:pPr>
              <w:spacing w:line="276" w:lineRule="auto"/>
              <w:jc w:val="both"/>
              <w:rPr>
                <w:b/>
                <w:bCs/>
                <w:sz w:val="22"/>
                <w:szCs w:val="22"/>
              </w:rPr>
            </w:pPr>
            <w:r w:rsidRPr="00341E83">
              <w:rPr>
                <w:b/>
                <w:bCs/>
                <w:sz w:val="22"/>
                <w:szCs w:val="22"/>
              </w:rPr>
              <w:t>Izvor 482</w:t>
            </w:r>
          </w:p>
        </w:tc>
        <w:tc>
          <w:tcPr>
            <w:tcW w:w="2020" w:type="dxa"/>
            <w:tcBorders>
              <w:top w:val="nil"/>
              <w:left w:val="nil"/>
              <w:bottom w:val="single" w:sz="4" w:space="0" w:color="auto"/>
              <w:right w:val="single" w:sz="4" w:space="0" w:color="auto"/>
            </w:tcBorders>
            <w:shd w:val="clear" w:color="auto" w:fill="auto"/>
            <w:noWrap/>
            <w:vAlign w:val="bottom"/>
            <w:hideMark/>
          </w:tcPr>
          <w:p w14:paraId="6B94B064" w14:textId="77777777" w:rsidR="00341E83" w:rsidRPr="00341E83" w:rsidRDefault="00341E83" w:rsidP="00341E83">
            <w:pPr>
              <w:spacing w:line="276" w:lineRule="auto"/>
              <w:jc w:val="both"/>
              <w:rPr>
                <w:b/>
                <w:bCs/>
                <w:sz w:val="22"/>
                <w:szCs w:val="22"/>
              </w:rPr>
            </w:pPr>
            <w:r w:rsidRPr="00341E83">
              <w:rPr>
                <w:b/>
                <w:bCs/>
                <w:sz w:val="22"/>
                <w:szCs w:val="22"/>
              </w:rPr>
              <w:t>-530,89</w:t>
            </w:r>
          </w:p>
        </w:tc>
      </w:tr>
      <w:tr w:rsidR="00341E83" w:rsidRPr="00341E83" w14:paraId="1FD080E8" w14:textId="77777777" w:rsidTr="00B804D3">
        <w:trPr>
          <w:trHeight w:val="300"/>
        </w:trPr>
        <w:tc>
          <w:tcPr>
            <w:tcW w:w="2020" w:type="dxa"/>
            <w:tcBorders>
              <w:top w:val="nil"/>
              <w:left w:val="single" w:sz="4" w:space="0" w:color="auto"/>
              <w:bottom w:val="single" w:sz="4" w:space="0" w:color="auto"/>
              <w:right w:val="single" w:sz="4" w:space="0" w:color="auto"/>
            </w:tcBorders>
            <w:shd w:val="clear" w:color="auto" w:fill="auto"/>
            <w:noWrap/>
            <w:vAlign w:val="bottom"/>
          </w:tcPr>
          <w:p w14:paraId="2933F139" w14:textId="77777777" w:rsidR="00341E83" w:rsidRPr="00341E83" w:rsidRDefault="00341E83" w:rsidP="00341E83">
            <w:pPr>
              <w:spacing w:line="276" w:lineRule="auto"/>
              <w:jc w:val="both"/>
              <w:rPr>
                <w:b/>
                <w:bCs/>
                <w:sz w:val="22"/>
                <w:szCs w:val="22"/>
              </w:rPr>
            </w:pPr>
            <w:r w:rsidRPr="00341E83">
              <w:rPr>
                <w:b/>
                <w:bCs/>
                <w:sz w:val="22"/>
                <w:szCs w:val="22"/>
              </w:rPr>
              <w:t>Izvor 484</w:t>
            </w:r>
          </w:p>
        </w:tc>
        <w:tc>
          <w:tcPr>
            <w:tcW w:w="2020" w:type="dxa"/>
            <w:tcBorders>
              <w:top w:val="nil"/>
              <w:left w:val="nil"/>
              <w:bottom w:val="single" w:sz="4" w:space="0" w:color="auto"/>
              <w:right w:val="single" w:sz="4" w:space="0" w:color="auto"/>
            </w:tcBorders>
            <w:shd w:val="clear" w:color="auto" w:fill="auto"/>
            <w:noWrap/>
            <w:vAlign w:val="bottom"/>
          </w:tcPr>
          <w:p w14:paraId="48B9ED46" w14:textId="5D896276" w:rsidR="00341E83" w:rsidRPr="00341E83" w:rsidRDefault="00896111" w:rsidP="00341E83">
            <w:pPr>
              <w:spacing w:line="276" w:lineRule="auto"/>
              <w:jc w:val="both"/>
              <w:rPr>
                <w:b/>
                <w:bCs/>
                <w:sz w:val="22"/>
                <w:szCs w:val="22"/>
              </w:rPr>
            </w:pPr>
            <w:r>
              <w:rPr>
                <w:b/>
                <w:bCs/>
                <w:sz w:val="22"/>
                <w:szCs w:val="22"/>
              </w:rPr>
              <w:t>3.590,97</w:t>
            </w:r>
          </w:p>
        </w:tc>
      </w:tr>
      <w:tr w:rsidR="00341E83" w:rsidRPr="00341E83" w14:paraId="6E01E1F6" w14:textId="77777777" w:rsidTr="00B804D3">
        <w:trPr>
          <w:trHeight w:val="30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CEDFC08" w14:textId="77777777" w:rsidR="00341E83" w:rsidRPr="00341E83" w:rsidRDefault="00341E83" w:rsidP="00341E83">
            <w:pPr>
              <w:spacing w:line="276" w:lineRule="auto"/>
              <w:jc w:val="both"/>
              <w:rPr>
                <w:b/>
                <w:bCs/>
                <w:sz w:val="22"/>
                <w:szCs w:val="22"/>
              </w:rPr>
            </w:pPr>
            <w:r w:rsidRPr="00341E83">
              <w:rPr>
                <w:b/>
                <w:bCs/>
                <w:sz w:val="22"/>
                <w:szCs w:val="22"/>
              </w:rPr>
              <w:t>UKUPNO:</w:t>
            </w:r>
          </w:p>
        </w:tc>
        <w:tc>
          <w:tcPr>
            <w:tcW w:w="2020" w:type="dxa"/>
            <w:tcBorders>
              <w:top w:val="nil"/>
              <w:left w:val="nil"/>
              <w:bottom w:val="single" w:sz="4" w:space="0" w:color="auto"/>
              <w:right w:val="single" w:sz="4" w:space="0" w:color="auto"/>
            </w:tcBorders>
            <w:shd w:val="clear" w:color="auto" w:fill="auto"/>
            <w:noWrap/>
            <w:vAlign w:val="bottom"/>
            <w:hideMark/>
          </w:tcPr>
          <w:p w14:paraId="70EA77C6" w14:textId="2D9D2E58" w:rsidR="00341E83" w:rsidRPr="00341E83" w:rsidRDefault="00D86B78" w:rsidP="00341E83">
            <w:pPr>
              <w:spacing w:line="276" w:lineRule="auto"/>
              <w:jc w:val="both"/>
              <w:rPr>
                <w:b/>
                <w:bCs/>
                <w:sz w:val="22"/>
                <w:szCs w:val="22"/>
              </w:rPr>
            </w:pPr>
            <w:r>
              <w:rPr>
                <w:b/>
                <w:bCs/>
                <w:sz w:val="22"/>
                <w:szCs w:val="22"/>
              </w:rPr>
              <w:t>49.885,66</w:t>
            </w:r>
          </w:p>
        </w:tc>
      </w:tr>
    </w:tbl>
    <w:p w14:paraId="59467E18" w14:textId="77777777" w:rsidR="00341E83" w:rsidRPr="00341E83" w:rsidRDefault="00341E83" w:rsidP="00341E83">
      <w:pPr>
        <w:spacing w:line="276" w:lineRule="auto"/>
        <w:jc w:val="both"/>
        <w:rPr>
          <w:b/>
          <w:bCs/>
          <w:sz w:val="22"/>
          <w:szCs w:val="22"/>
        </w:rPr>
      </w:pPr>
    </w:p>
    <w:p w14:paraId="006055EF" w14:textId="77777777" w:rsidR="00341E83" w:rsidRPr="00341E83" w:rsidRDefault="00341E83" w:rsidP="00341E83">
      <w:pPr>
        <w:spacing w:line="276" w:lineRule="auto"/>
        <w:jc w:val="both"/>
        <w:rPr>
          <w:b/>
          <w:bCs/>
          <w:sz w:val="22"/>
          <w:szCs w:val="22"/>
        </w:rPr>
      </w:pPr>
    </w:p>
    <w:p w14:paraId="0ACD64EE" w14:textId="77777777" w:rsidR="00341E83" w:rsidRPr="00341E83" w:rsidRDefault="00341E83" w:rsidP="00341E83">
      <w:pPr>
        <w:spacing w:line="276" w:lineRule="auto"/>
        <w:jc w:val="both"/>
        <w:rPr>
          <w:b/>
          <w:bCs/>
          <w:sz w:val="22"/>
          <w:szCs w:val="22"/>
        </w:rPr>
      </w:pPr>
    </w:p>
    <w:p w14:paraId="04A5AD4C" w14:textId="77777777" w:rsidR="00341E83" w:rsidRPr="00341E83" w:rsidRDefault="00341E83" w:rsidP="00341E83">
      <w:pPr>
        <w:spacing w:line="276" w:lineRule="auto"/>
        <w:jc w:val="both"/>
        <w:rPr>
          <w:b/>
          <w:bCs/>
          <w:sz w:val="22"/>
          <w:szCs w:val="22"/>
        </w:rPr>
      </w:pPr>
    </w:p>
    <w:p w14:paraId="62F5EC41" w14:textId="77777777" w:rsidR="00341E83" w:rsidRPr="00341E83" w:rsidRDefault="00341E83" w:rsidP="00341E83">
      <w:pPr>
        <w:spacing w:line="276" w:lineRule="auto"/>
        <w:jc w:val="both"/>
        <w:rPr>
          <w:b/>
          <w:bCs/>
          <w:sz w:val="22"/>
          <w:szCs w:val="22"/>
        </w:rPr>
      </w:pPr>
    </w:p>
    <w:p w14:paraId="0F755847" w14:textId="77777777" w:rsidR="00341E83" w:rsidRPr="00341E83" w:rsidRDefault="00341E83" w:rsidP="00341E83">
      <w:pPr>
        <w:spacing w:line="276" w:lineRule="auto"/>
        <w:jc w:val="both"/>
        <w:rPr>
          <w:b/>
          <w:bCs/>
          <w:sz w:val="22"/>
          <w:szCs w:val="22"/>
        </w:rPr>
      </w:pPr>
    </w:p>
    <w:p w14:paraId="23C86680" w14:textId="77777777" w:rsidR="00341E83" w:rsidRPr="00341E83" w:rsidRDefault="00341E83" w:rsidP="00341E83">
      <w:pPr>
        <w:spacing w:line="276" w:lineRule="auto"/>
        <w:jc w:val="both"/>
        <w:rPr>
          <w:b/>
          <w:bCs/>
          <w:sz w:val="22"/>
          <w:szCs w:val="22"/>
        </w:rPr>
      </w:pPr>
    </w:p>
    <w:p w14:paraId="08F53D95" w14:textId="77777777" w:rsidR="00341E83" w:rsidRPr="007E1CB5" w:rsidRDefault="00341E83" w:rsidP="007E1CB5">
      <w:pPr>
        <w:spacing w:line="276" w:lineRule="auto"/>
        <w:jc w:val="both"/>
        <w:rPr>
          <w:b/>
          <w:bCs/>
          <w:sz w:val="22"/>
          <w:szCs w:val="22"/>
        </w:rPr>
      </w:pPr>
    </w:p>
    <w:p w14:paraId="5630351D" w14:textId="77777777" w:rsidR="007E1CB5" w:rsidRPr="007E1CB5" w:rsidRDefault="007E1CB5" w:rsidP="007E1CB5">
      <w:pPr>
        <w:spacing w:line="276" w:lineRule="auto"/>
        <w:jc w:val="both"/>
        <w:rPr>
          <w:b/>
          <w:bCs/>
          <w:sz w:val="22"/>
          <w:szCs w:val="22"/>
        </w:rPr>
      </w:pPr>
    </w:p>
    <w:p w14:paraId="41C2D040" w14:textId="0080AC73" w:rsidR="007E1CB5" w:rsidRPr="009534A1" w:rsidRDefault="00603888" w:rsidP="007E1CB5">
      <w:pPr>
        <w:spacing w:line="276" w:lineRule="auto"/>
        <w:jc w:val="both"/>
        <w:rPr>
          <w:sz w:val="22"/>
          <w:szCs w:val="22"/>
        </w:rPr>
      </w:pPr>
      <w:r w:rsidRPr="009534A1">
        <w:rPr>
          <w:sz w:val="22"/>
          <w:szCs w:val="22"/>
        </w:rPr>
        <w:t>Preneseni rezultat poslovanja izvršio se u</w:t>
      </w:r>
      <w:r w:rsidR="00DF6D6F" w:rsidRPr="009534A1">
        <w:rPr>
          <w:sz w:val="22"/>
          <w:szCs w:val="22"/>
        </w:rPr>
        <w:t xml:space="preserve"> prema tablici </w:t>
      </w:r>
      <w:r w:rsidR="00953058">
        <w:rPr>
          <w:sz w:val="22"/>
          <w:szCs w:val="22"/>
        </w:rPr>
        <w:t>u prilogu</w:t>
      </w:r>
      <w:r w:rsidR="004D1257">
        <w:rPr>
          <w:sz w:val="22"/>
          <w:szCs w:val="22"/>
        </w:rPr>
        <w:t xml:space="preserve">. </w:t>
      </w:r>
    </w:p>
    <w:p w14:paraId="6ED149E1" w14:textId="77777777" w:rsidR="004068C9" w:rsidRDefault="004068C9" w:rsidP="00BC2DAA">
      <w:pPr>
        <w:spacing w:line="276" w:lineRule="auto"/>
        <w:jc w:val="both"/>
        <w:rPr>
          <w:b/>
          <w:sz w:val="22"/>
          <w:szCs w:val="22"/>
        </w:rPr>
      </w:pPr>
    </w:p>
    <w:p w14:paraId="7F2CECA5" w14:textId="219F140F" w:rsidR="00BF01D6" w:rsidRPr="00BC2DAA" w:rsidRDefault="00CD0591" w:rsidP="00BC2DAA">
      <w:pPr>
        <w:spacing w:line="276" w:lineRule="auto"/>
        <w:jc w:val="both"/>
        <w:rPr>
          <w:bCs/>
          <w:sz w:val="22"/>
          <w:szCs w:val="22"/>
        </w:rPr>
      </w:pPr>
      <w:r w:rsidRPr="00507B1A">
        <w:rPr>
          <w:b/>
          <w:sz w:val="22"/>
          <w:szCs w:val="22"/>
        </w:rPr>
        <w:t>Rashodi po funkcijsko</w:t>
      </w:r>
      <w:r w:rsidR="008C2EDB" w:rsidRPr="00507B1A">
        <w:rPr>
          <w:b/>
          <w:sz w:val="22"/>
          <w:szCs w:val="22"/>
        </w:rPr>
        <w:t>j</w:t>
      </w:r>
      <w:r w:rsidRPr="00507B1A">
        <w:rPr>
          <w:b/>
          <w:sz w:val="22"/>
          <w:szCs w:val="22"/>
        </w:rPr>
        <w:t xml:space="preserve"> klasifikaciji</w:t>
      </w:r>
    </w:p>
    <w:p w14:paraId="1B6ED1FE" w14:textId="77777777" w:rsidR="000D44A1" w:rsidRPr="0092070C" w:rsidRDefault="000D44A1" w:rsidP="00BB067B">
      <w:pPr>
        <w:spacing w:line="276" w:lineRule="auto"/>
        <w:jc w:val="both"/>
        <w:rPr>
          <w:b/>
          <w:sz w:val="22"/>
          <w:szCs w:val="22"/>
        </w:rPr>
      </w:pPr>
    </w:p>
    <w:p w14:paraId="59D1B723" w14:textId="4524DF91" w:rsidR="00CA05BD" w:rsidRPr="0092070C" w:rsidRDefault="00D012F9" w:rsidP="00CA05BD">
      <w:pPr>
        <w:spacing w:line="276" w:lineRule="auto"/>
        <w:jc w:val="both"/>
        <w:rPr>
          <w:sz w:val="22"/>
          <w:szCs w:val="22"/>
        </w:rPr>
      </w:pPr>
      <w:r w:rsidRPr="0092070C">
        <w:rPr>
          <w:sz w:val="22"/>
          <w:szCs w:val="22"/>
        </w:rPr>
        <w:t>Planirani</w:t>
      </w:r>
      <w:r w:rsidR="00BF4DC6" w:rsidRPr="0092070C">
        <w:rPr>
          <w:sz w:val="22"/>
          <w:szCs w:val="22"/>
        </w:rPr>
        <w:t xml:space="preserve"> su</w:t>
      </w:r>
      <w:r w:rsidRPr="0092070C">
        <w:rPr>
          <w:sz w:val="22"/>
          <w:szCs w:val="22"/>
        </w:rPr>
        <w:t xml:space="preserve"> rashodi </w:t>
      </w:r>
      <w:r w:rsidR="00BF4DC6" w:rsidRPr="0092070C">
        <w:rPr>
          <w:sz w:val="22"/>
          <w:szCs w:val="22"/>
        </w:rPr>
        <w:t xml:space="preserve">u iznosu od </w:t>
      </w:r>
      <w:r w:rsidR="002E65C9" w:rsidRPr="0092070C">
        <w:rPr>
          <w:sz w:val="22"/>
          <w:szCs w:val="22"/>
        </w:rPr>
        <w:t>906.074,00</w:t>
      </w:r>
      <w:r w:rsidR="001412D9" w:rsidRPr="0092070C">
        <w:rPr>
          <w:sz w:val="22"/>
          <w:szCs w:val="22"/>
        </w:rPr>
        <w:t xml:space="preserve"> </w:t>
      </w:r>
      <w:r w:rsidR="003620B3" w:rsidRPr="0092070C">
        <w:rPr>
          <w:sz w:val="22"/>
          <w:szCs w:val="22"/>
        </w:rPr>
        <w:t>eura</w:t>
      </w:r>
      <w:r w:rsidR="0015463F" w:rsidRPr="0092070C">
        <w:rPr>
          <w:sz w:val="22"/>
          <w:szCs w:val="22"/>
        </w:rPr>
        <w:t>. O</w:t>
      </w:r>
      <w:r w:rsidR="00CE3B3F" w:rsidRPr="0092070C">
        <w:rPr>
          <w:sz w:val="22"/>
          <w:szCs w:val="22"/>
        </w:rPr>
        <w:t>d ukupno planiranih rashoda</w:t>
      </w:r>
      <w:r w:rsidRPr="0092070C">
        <w:rPr>
          <w:sz w:val="22"/>
          <w:szCs w:val="22"/>
        </w:rPr>
        <w:t xml:space="preserve"> za 20</w:t>
      </w:r>
      <w:r w:rsidR="00331FEF" w:rsidRPr="0092070C">
        <w:rPr>
          <w:sz w:val="22"/>
          <w:szCs w:val="22"/>
        </w:rPr>
        <w:t>2</w:t>
      </w:r>
      <w:r w:rsidR="00D52AD9" w:rsidRPr="0092070C">
        <w:rPr>
          <w:sz w:val="22"/>
          <w:szCs w:val="22"/>
        </w:rPr>
        <w:t>4</w:t>
      </w:r>
      <w:r w:rsidRPr="0092070C">
        <w:rPr>
          <w:sz w:val="22"/>
          <w:szCs w:val="22"/>
        </w:rPr>
        <w:t xml:space="preserve">. g. ostvareno je </w:t>
      </w:r>
      <w:r w:rsidR="002E65C9" w:rsidRPr="0092070C">
        <w:rPr>
          <w:sz w:val="22"/>
          <w:szCs w:val="22"/>
        </w:rPr>
        <w:t>853.238,12</w:t>
      </w:r>
      <w:r w:rsidR="0014625B" w:rsidRPr="0092070C">
        <w:rPr>
          <w:sz w:val="22"/>
          <w:szCs w:val="22"/>
        </w:rPr>
        <w:t xml:space="preserve"> </w:t>
      </w:r>
      <w:r w:rsidR="00EF614D" w:rsidRPr="0092070C">
        <w:rPr>
          <w:sz w:val="22"/>
          <w:szCs w:val="22"/>
        </w:rPr>
        <w:t>€</w:t>
      </w:r>
      <w:r w:rsidRPr="0092070C">
        <w:rPr>
          <w:sz w:val="22"/>
          <w:szCs w:val="22"/>
        </w:rPr>
        <w:t xml:space="preserve">, što je ostvarenje od </w:t>
      </w:r>
      <w:r w:rsidR="00F9155B" w:rsidRPr="0092070C">
        <w:rPr>
          <w:sz w:val="22"/>
          <w:szCs w:val="22"/>
        </w:rPr>
        <w:t>94</w:t>
      </w:r>
      <w:r w:rsidRPr="0092070C">
        <w:rPr>
          <w:sz w:val="22"/>
          <w:szCs w:val="22"/>
        </w:rPr>
        <w:t>% u odnosu na planirano u 20</w:t>
      </w:r>
      <w:r w:rsidR="006411BB" w:rsidRPr="0092070C">
        <w:rPr>
          <w:sz w:val="22"/>
          <w:szCs w:val="22"/>
        </w:rPr>
        <w:t>2</w:t>
      </w:r>
      <w:r w:rsidR="00F9155B" w:rsidRPr="0092070C">
        <w:rPr>
          <w:sz w:val="22"/>
          <w:szCs w:val="22"/>
        </w:rPr>
        <w:t>4</w:t>
      </w:r>
      <w:r w:rsidR="008C2EDB" w:rsidRPr="0092070C">
        <w:rPr>
          <w:sz w:val="22"/>
          <w:szCs w:val="22"/>
        </w:rPr>
        <w:t>.</w:t>
      </w:r>
      <w:r w:rsidRPr="0092070C">
        <w:rPr>
          <w:sz w:val="22"/>
          <w:szCs w:val="22"/>
        </w:rPr>
        <w:t xml:space="preserve"> g.</w:t>
      </w:r>
      <w:r w:rsidR="008C2EDB" w:rsidRPr="0092070C">
        <w:rPr>
          <w:sz w:val="22"/>
          <w:szCs w:val="22"/>
        </w:rPr>
        <w:t>,</w:t>
      </w:r>
      <w:r w:rsidRPr="0092070C">
        <w:rPr>
          <w:sz w:val="22"/>
          <w:szCs w:val="22"/>
        </w:rPr>
        <w:t xml:space="preserve"> dok u odnosu na izvršenje plana</w:t>
      </w:r>
      <w:r w:rsidR="00D26738" w:rsidRPr="0092070C">
        <w:rPr>
          <w:sz w:val="22"/>
          <w:szCs w:val="22"/>
        </w:rPr>
        <w:t xml:space="preserve"> </w:t>
      </w:r>
      <w:r w:rsidR="008F353F" w:rsidRPr="0092070C">
        <w:rPr>
          <w:sz w:val="22"/>
          <w:szCs w:val="22"/>
        </w:rPr>
        <w:t>za</w:t>
      </w:r>
      <w:r w:rsidRPr="0092070C">
        <w:rPr>
          <w:sz w:val="22"/>
          <w:szCs w:val="22"/>
        </w:rPr>
        <w:t xml:space="preserve"> 20</w:t>
      </w:r>
      <w:r w:rsidR="00030236" w:rsidRPr="0092070C">
        <w:rPr>
          <w:sz w:val="22"/>
          <w:szCs w:val="22"/>
        </w:rPr>
        <w:t>2</w:t>
      </w:r>
      <w:r w:rsidR="00F9155B" w:rsidRPr="0092070C">
        <w:rPr>
          <w:sz w:val="22"/>
          <w:szCs w:val="22"/>
        </w:rPr>
        <w:t>3</w:t>
      </w:r>
      <w:r w:rsidR="008C2EDB" w:rsidRPr="0092070C">
        <w:rPr>
          <w:sz w:val="22"/>
          <w:szCs w:val="22"/>
        </w:rPr>
        <w:t>.</w:t>
      </w:r>
      <w:r w:rsidR="006638EB" w:rsidRPr="0092070C">
        <w:rPr>
          <w:sz w:val="22"/>
          <w:szCs w:val="22"/>
        </w:rPr>
        <w:t xml:space="preserve"> </w:t>
      </w:r>
      <w:r w:rsidRPr="0092070C">
        <w:rPr>
          <w:sz w:val="22"/>
          <w:szCs w:val="22"/>
        </w:rPr>
        <w:t>g</w:t>
      </w:r>
      <w:r w:rsidR="00CE3B3F" w:rsidRPr="0092070C">
        <w:rPr>
          <w:sz w:val="22"/>
          <w:szCs w:val="22"/>
        </w:rPr>
        <w:t>.</w:t>
      </w:r>
      <w:r w:rsidR="008C2EDB" w:rsidRPr="0092070C">
        <w:rPr>
          <w:sz w:val="22"/>
          <w:szCs w:val="22"/>
        </w:rPr>
        <w:t>,</w:t>
      </w:r>
      <w:r w:rsidR="00CE3B3F" w:rsidRPr="0092070C">
        <w:rPr>
          <w:sz w:val="22"/>
          <w:szCs w:val="22"/>
        </w:rPr>
        <w:t xml:space="preserve"> index </w:t>
      </w:r>
      <w:r w:rsidR="0092070C" w:rsidRPr="0092070C">
        <w:rPr>
          <w:bCs/>
          <w:sz w:val="22"/>
          <w:szCs w:val="22"/>
        </w:rPr>
        <w:t>povećanja</w:t>
      </w:r>
      <w:r w:rsidR="00CE3B3F" w:rsidRPr="0092070C">
        <w:rPr>
          <w:sz w:val="22"/>
          <w:szCs w:val="22"/>
        </w:rPr>
        <w:t xml:space="preserve"> iznosi</w:t>
      </w:r>
      <w:r w:rsidR="00574329" w:rsidRPr="0092070C">
        <w:rPr>
          <w:sz w:val="22"/>
          <w:szCs w:val="22"/>
        </w:rPr>
        <w:t xml:space="preserve"> </w:t>
      </w:r>
      <w:r w:rsidR="00F9155B" w:rsidRPr="0092070C">
        <w:rPr>
          <w:sz w:val="22"/>
          <w:szCs w:val="22"/>
        </w:rPr>
        <w:t>12</w:t>
      </w:r>
      <w:r w:rsidR="00A012C2" w:rsidRPr="0092070C">
        <w:rPr>
          <w:sz w:val="22"/>
          <w:szCs w:val="22"/>
        </w:rPr>
        <w:t>9</w:t>
      </w:r>
      <w:r w:rsidRPr="0092070C">
        <w:rPr>
          <w:sz w:val="22"/>
          <w:szCs w:val="22"/>
        </w:rPr>
        <w:t xml:space="preserve">%. </w:t>
      </w:r>
      <w:r w:rsidR="00A012C2" w:rsidRPr="0092070C">
        <w:rPr>
          <w:sz w:val="22"/>
          <w:szCs w:val="22"/>
        </w:rPr>
        <w:t>Povećanje</w:t>
      </w:r>
      <w:r w:rsidR="007941FB" w:rsidRPr="0092070C">
        <w:rPr>
          <w:sz w:val="22"/>
          <w:szCs w:val="22"/>
        </w:rPr>
        <w:t xml:space="preserve"> troškova </w:t>
      </w:r>
      <w:r w:rsidR="008F353F" w:rsidRPr="0092070C">
        <w:rPr>
          <w:sz w:val="22"/>
          <w:szCs w:val="22"/>
        </w:rPr>
        <w:t xml:space="preserve">odnosi se </w:t>
      </w:r>
      <w:r w:rsidR="007941FB" w:rsidRPr="0092070C">
        <w:rPr>
          <w:sz w:val="22"/>
          <w:szCs w:val="22"/>
        </w:rPr>
        <w:t>u na</w:t>
      </w:r>
      <w:r w:rsidR="00CA05BD" w:rsidRPr="0092070C">
        <w:rPr>
          <w:sz w:val="22"/>
          <w:szCs w:val="22"/>
        </w:rPr>
        <w:t>jvećoj mjeri na troškov</w:t>
      </w:r>
      <w:r w:rsidR="009A0E6C" w:rsidRPr="0092070C">
        <w:rPr>
          <w:sz w:val="22"/>
          <w:szCs w:val="22"/>
        </w:rPr>
        <w:t>e</w:t>
      </w:r>
      <w:r w:rsidR="00CA05BD" w:rsidRPr="0092070C">
        <w:rPr>
          <w:sz w:val="22"/>
          <w:szCs w:val="22"/>
        </w:rPr>
        <w:t xml:space="preserve"> </w:t>
      </w:r>
      <w:r w:rsidR="00A012C2" w:rsidRPr="0092070C">
        <w:rPr>
          <w:sz w:val="22"/>
          <w:szCs w:val="22"/>
        </w:rPr>
        <w:t>ulaganja u nekretnine i opremu,</w:t>
      </w:r>
      <w:r w:rsidR="00232D8F" w:rsidRPr="0092070C">
        <w:rPr>
          <w:sz w:val="22"/>
          <w:szCs w:val="22"/>
        </w:rPr>
        <w:t xml:space="preserve"> aktivnosti u EU projektima </w:t>
      </w:r>
      <w:r w:rsidR="00FC6AEB" w:rsidRPr="0092070C">
        <w:rPr>
          <w:sz w:val="22"/>
          <w:szCs w:val="22"/>
        </w:rPr>
        <w:t xml:space="preserve">a, većina </w:t>
      </w:r>
      <w:r w:rsidR="00BE6FE0" w:rsidRPr="0092070C">
        <w:rPr>
          <w:sz w:val="22"/>
          <w:szCs w:val="22"/>
        </w:rPr>
        <w:t>uloženih sredstava je iz</w:t>
      </w:r>
      <w:r w:rsidR="00F571FC" w:rsidRPr="0092070C">
        <w:rPr>
          <w:sz w:val="22"/>
          <w:szCs w:val="22"/>
        </w:rPr>
        <w:t xml:space="preserve"> vlastitih </w:t>
      </w:r>
      <w:r w:rsidR="00BE6FE0" w:rsidRPr="0092070C">
        <w:rPr>
          <w:sz w:val="22"/>
          <w:szCs w:val="22"/>
        </w:rPr>
        <w:t>prihoda</w:t>
      </w:r>
      <w:r w:rsidR="00F571FC" w:rsidRPr="0092070C">
        <w:rPr>
          <w:sz w:val="22"/>
          <w:szCs w:val="22"/>
        </w:rPr>
        <w:t xml:space="preserve"> </w:t>
      </w:r>
      <w:r w:rsidR="005E74E2" w:rsidRPr="0092070C">
        <w:rPr>
          <w:sz w:val="22"/>
          <w:szCs w:val="22"/>
        </w:rPr>
        <w:t>za</w:t>
      </w:r>
      <w:r w:rsidR="00F571FC" w:rsidRPr="0092070C">
        <w:rPr>
          <w:sz w:val="22"/>
          <w:szCs w:val="22"/>
        </w:rPr>
        <w:t xml:space="preserve"> izvršavanje navedenih aktivnosti.</w:t>
      </w:r>
    </w:p>
    <w:p w14:paraId="2ED5C375" w14:textId="58A0BB36" w:rsidR="00D73694" w:rsidRPr="0092070C" w:rsidRDefault="00D73694" w:rsidP="00BB067B">
      <w:pPr>
        <w:spacing w:line="276" w:lineRule="auto"/>
        <w:jc w:val="both"/>
        <w:rPr>
          <w:sz w:val="22"/>
          <w:szCs w:val="22"/>
        </w:rPr>
      </w:pPr>
      <w:r w:rsidRPr="0092070C">
        <w:rPr>
          <w:sz w:val="22"/>
          <w:szCs w:val="22"/>
        </w:rPr>
        <w:t xml:space="preserve">Po funkcijskoj </w:t>
      </w:r>
      <w:r w:rsidR="004E4D9B" w:rsidRPr="0092070C">
        <w:rPr>
          <w:sz w:val="22"/>
          <w:szCs w:val="22"/>
        </w:rPr>
        <w:t>klasifikaciji d</w:t>
      </w:r>
      <w:r w:rsidR="00CE3B3F" w:rsidRPr="0092070C">
        <w:rPr>
          <w:sz w:val="22"/>
          <w:szCs w:val="22"/>
        </w:rPr>
        <w:t>i</w:t>
      </w:r>
      <w:r w:rsidR="004E4D9B" w:rsidRPr="0092070C">
        <w:rPr>
          <w:sz w:val="22"/>
          <w:szCs w:val="22"/>
        </w:rPr>
        <w:t xml:space="preserve">jelimo ih na </w:t>
      </w:r>
      <w:r w:rsidR="0003243D" w:rsidRPr="0092070C">
        <w:rPr>
          <w:sz w:val="22"/>
          <w:szCs w:val="22"/>
        </w:rPr>
        <w:t>rashode za obrazovanje i rashode za kulturu.</w:t>
      </w:r>
      <w:r w:rsidR="00E54F65" w:rsidRPr="0092070C">
        <w:rPr>
          <w:sz w:val="22"/>
          <w:szCs w:val="22"/>
        </w:rPr>
        <w:t xml:space="preserve"> </w:t>
      </w:r>
    </w:p>
    <w:p w14:paraId="47375C44" w14:textId="6E13192D" w:rsidR="00CF3128" w:rsidRPr="0092070C" w:rsidRDefault="00074F01" w:rsidP="00BB067B">
      <w:pPr>
        <w:spacing w:line="276" w:lineRule="auto"/>
        <w:jc w:val="both"/>
        <w:rPr>
          <w:sz w:val="22"/>
          <w:szCs w:val="22"/>
        </w:rPr>
      </w:pPr>
      <w:r w:rsidRPr="0092070C">
        <w:rPr>
          <w:sz w:val="22"/>
          <w:szCs w:val="22"/>
        </w:rPr>
        <w:t xml:space="preserve">Rashodi za kulturu planirani su u iznosu od </w:t>
      </w:r>
      <w:bookmarkStart w:id="13" w:name="_Hlk160803823"/>
      <w:r w:rsidR="007B5193" w:rsidRPr="0092070C">
        <w:rPr>
          <w:sz w:val="22"/>
          <w:szCs w:val="22"/>
        </w:rPr>
        <w:t>762.620</w:t>
      </w:r>
      <w:r w:rsidR="00CE325F" w:rsidRPr="0092070C">
        <w:rPr>
          <w:sz w:val="22"/>
          <w:szCs w:val="22"/>
        </w:rPr>
        <w:t xml:space="preserve">,00 </w:t>
      </w:r>
      <w:bookmarkEnd w:id="13"/>
      <w:r w:rsidR="00EF614D" w:rsidRPr="0092070C">
        <w:rPr>
          <w:sz w:val="22"/>
          <w:szCs w:val="22"/>
        </w:rPr>
        <w:t>€</w:t>
      </w:r>
      <w:r w:rsidR="00CE3B3F" w:rsidRPr="0092070C">
        <w:rPr>
          <w:sz w:val="22"/>
          <w:szCs w:val="22"/>
        </w:rPr>
        <w:t>,</w:t>
      </w:r>
      <w:r w:rsidR="00EE4135" w:rsidRPr="0092070C">
        <w:rPr>
          <w:sz w:val="22"/>
          <w:szCs w:val="22"/>
        </w:rPr>
        <w:t xml:space="preserve"> a ostvareno je </w:t>
      </w:r>
      <w:r w:rsidR="007B5193" w:rsidRPr="0092070C">
        <w:rPr>
          <w:sz w:val="22"/>
          <w:szCs w:val="22"/>
        </w:rPr>
        <w:t>721.088,90</w:t>
      </w:r>
      <w:r w:rsidR="00CE325F" w:rsidRPr="0092070C">
        <w:rPr>
          <w:sz w:val="22"/>
          <w:szCs w:val="22"/>
        </w:rPr>
        <w:t xml:space="preserve"> </w:t>
      </w:r>
      <w:r w:rsidR="00EF614D" w:rsidRPr="0092070C">
        <w:rPr>
          <w:sz w:val="22"/>
          <w:szCs w:val="22"/>
        </w:rPr>
        <w:t>€,</w:t>
      </w:r>
      <w:r w:rsidR="00FE6110" w:rsidRPr="0092070C">
        <w:rPr>
          <w:sz w:val="22"/>
          <w:szCs w:val="22"/>
        </w:rPr>
        <w:t xml:space="preserve"> što je </w:t>
      </w:r>
      <w:r w:rsidR="00502355" w:rsidRPr="0092070C">
        <w:rPr>
          <w:sz w:val="22"/>
          <w:szCs w:val="22"/>
        </w:rPr>
        <w:t>95</w:t>
      </w:r>
      <w:r w:rsidR="00C35C38" w:rsidRPr="0092070C">
        <w:rPr>
          <w:sz w:val="22"/>
          <w:szCs w:val="22"/>
        </w:rPr>
        <w:t>% od ukupno planiranih</w:t>
      </w:r>
      <w:r w:rsidR="00CE3B3F" w:rsidRPr="0092070C">
        <w:rPr>
          <w:sz w:val="22"/>
          <w:szCs w:val="22"/>
        </w:rPr>
        <w:t>,</w:t>
      </w:r>
      <w:r w:rsidR="00C35C38" w:rsidRPr="0092070C">
        <w:rPr>
          <w:sz w:val="22"/>
          <w:szCs w:val="22"/>
        </w:rPr>
        <w:t xml:space="preserve"> dok u odnosu na izvrš</w:t>
      </w:r>
      <w:r w:rsidR="00CE3B3F" w:rsidRPr="0092070C">
        <w:rPr>
          <w:sz w:val="22"/>
          <w:szCs w:val="22"/>
        </w:rPr>
        <w:t>enje plana u 20</w:t>
      </w:r>
      <w:r w:rsidR="00302CFD" w:rsidRPr="0092070C">
        <w:rPr>
          <w:sz w:val="22"/>
          <w:szCs w:val="22"/>
        </w:rPr>
        <w:t>2</w:t>
      </w:r>
      <w:r w:rsidR="00502355" w:rsidRPr="0092070C">
        <w:rPr>
          <w:sz w:val="22"/>
          <w:szCs w:val="22"/>
        </w:rPr>
        <w:t>3</w:t>
      </w:r>
      <w:r w:rsidR="008C2EDB" w:rsidRPr="0092070C">
        <w:rPr>
          <w:sz w:val="22"/>
          <w:szCs w:val="22"/>
        </w:rPr>
        <w:t>.</w:t>
      </w:r>
      <w:r w:rsidR="00CE3B3F" w:rsidRPr="0092070C">
        <w:rPr>
          <w:sz w:val="22"/>
          <w:szCs w:val="22"/>
        </w:rPr>
        <w:t xml:space="preserve"> g. index </w:t>
      </w:r>
      <w:r w:rsidR="00FB77D7" w:rsidRPr="0092070C">
        <w:rPr>
          <w:sz w:val="22"/>
          <w:szCs w:val="22"/>
        </w:rPr>
        <w:t>povećanja</w:t>
      </w:r>
      <w:r w:rsidR="00CE3B3F" w:rsidRPr="0092070C">
        <w:rPr>
          <w:sz w:val="22"/>
          <w:szCs w:val="22"/>
        </w:rPr>
        <w:t xml:space="preserve"> iznosi</w:t>
      </w:r>
      <w:r w:rsidR="00C35C38" w:rsidRPr="0092070C">
        <w:rPr>
          <w:sz w:val="22"/>
          <w:szCs w:val="22"/>
        </w:rPr>
        <w:t xml:space="preserve"> </w:t>
      </w:r>
      <w:r w:rsidR="00FB619A" w:rsidRPr="0092070C">
        <w:rPr>
          <w:sz w:val="22"/>
          <w:szCs w:val="22"/>
        </w:rPr>
        <w:t>1</w:t>
      </w:r>
      <w:r w:rsidR="00502355" w:rsidRPr="0092070C">
        <w:rPr>
          <w:sz w:val="22"/>
          <w:szCs w:val="22"/>
        </w:rPr>
        <w:t>26</w:t>
      </w:r>
      <w:r w:rsidR="00C35C38" w:rsidRPr="0092070C">
        <w:rPr>
          <w:sz w:val="22"/>
          <w:szCs w:val="22"/>
        </w:rPr>
        <w:t xml:space="preserve">%. </w:t>
      </w:r>
      <w:r w:rsidR="00A140D2" w:rsidRPr="0092070C">
        <w:rPr>
          <w:sz w:val="22"/>
          <w:szCs w:val="22"/>
        </w:rPr>
        <w:t>Rashodi se odnos</w:t>
      </w:r>
      <w:r w:rsidR="004E67D0" w:rsidRPr="0092070C">
        <w:rPr>
          <w:sz w:val="22"/>
          <w:szCs w:val="22"/>
        </w:rPr>
        <w:t>e</w:t>
      </w:r>
      <w:r w:rsidR="00560DC0" w:rsidRPr="0092070C">
        <w:rPr>
          <w:sz w:val="22"/>
          <w:szCs w:val="22"/>
        </w:rPr>
        <w:t xml:space="preserve"> na </w:t>
      </w:r>
      <w:r w:rsidR="00CB191E" w:rsidRPr="0092070C">
        <w:rPr>
          <w:sz w:val="22"/>
          <w:szCs w:val="22"/>
        </w:rPr>
        <w:t xml:space="preserve">rashode za </w:t>
      </w:r>
      <w:r w:rsidR="00560DC0" w:rsidRPr="0092070C">
        <w:rPr>
          <w:sz w:val="22"/>
          <w:szCs w:val="22"/>
        </w:rPr>
        <w:t>zaposlene,</w:t>
      </w:r>
      <w:r w:rsidR="00CE3B3F" w:rsidRPr="0092070C">
        <w:rPr>
          <w:sz w:val="22"/>
          <w:szCs w:val="22"/>
        </w:rPr>
        <w:t xml:space="preserve"> </w:t>
      </w:r>
      <w:r w:rsidR="00560DC0" w:rsidRPr="0092070C">
        <w:rPr>
          <w:sz w:val="22"/>
          <w:szCs w:val="22"/>
        </w:rPr>
        <w:t xml:space="preserve">materijalne rashode, rashode nastale realizacijom </w:t>
      </w:r>
      <w:r w:rsidR="003D7039" w:rsidRPr="0092070C">
        <w:rPr>
          <w:sz w:val="22"/>
          <w:szCs w:val="22"/>
        </w:rPr>
        <w:t>glazbeno-scenskih</w:t>
      </w:r>
      <w:r w:rsidR="00560DC0" w:rsidRPr="0092070C">
        <w:rPr>
          <w:sz w:val="22"/>
          <w:szCs w:val="22"/>
        </w:rPr>
        <w:t xml:space="preserve"> aktivnosti</w:t>
      </w:r>
      <w:r w:rsidR="009E423F" w:rsidRPr="0092070C">
        <w:rPr>
          <w:sz w:val="22"/>
          <w:szCs w:val="22"/>
        </w:rPr>
        <w:t>.</w:t>
      </w:r>
    </w:p>
    <w:p w14:paraId="48A56563" w14:textId="40278C09" w:rsidR="00195B8F" w:rsidRPr="00146E97" w:rsidRDefault="00C36798" w:rsidP="00BB067B">
      <w:pPr>
        <w:spacing w:line="276" w:lineRule="auto"/>
        <w:jc w:val="both"/>
        <w:rPr>
          <w:sz w:val="22"/>
          <w:szCs w:val="22"/>
        </w:rPr>
      </w:pPr>
      <w:r w:rsidRPr="0092070C">
        <w:rPr>
          <w:sz w:val="22"/>
          <w:szCs w:val="22"/>
        </w:rPr>
        <w:t xml:space="preserve">Rashodi za obrazovanje planirani su u iznosu od </w:t>
      </w:r>
      <w:r w:rsidR="002F2A89" w:rsidRPr="0092070C">
        <w:rPr>
          <w:sz w:val="22"/>
          <w:szCs w:val="22"/>
        </w:rPr>
        <w:t>143.454,00</w:t>
      </w:r>
      <w:r w:rsidR="000862D8" w:rsidRPr="0092070C">
        <w:rPr>
          <w:sz w:val="22"/>
          <w:szCs w:val="22"/>
        </w:rPr>
        <w:t xml:space="preserve"> </w:t>
      </w:r>
      <w:r w:rsidR="00EF614D" w:rsidRPr="0092070C">
        <w:rPr>
          <w:sz w:val="22"/>
          <w:szCs w:val="22"/>
        </w:rPr>
        <w:t>€</w:t>
      </w:r>
      <w:r w:rsidR="00872AC5" w:rsidRPr="0092070C">
        <w:rPr>
          <w:sz w:val="22"/>
          <w:szCs w:val="22"/>
        </w:rPr>
        <w:t>,</w:t>
      </w:r>
      <w:r w:rsidRPr="0092070C">
        <w:rPr>
          <w:sz w:val="22"/>
          <w:szCs w:val="22"/>
        </w:rPr>
        <w:t xml:space="preserve"> a ostvareno je </w:t>
      </w:r>
      <w:r w:rsidR="002F2A89" w:rsidRPr="0092070C">
        <w:rPr>
          <w:sz w:val="22"/>
          <w:szCs w:val="22"/>
        </w:rPr>
        <w:t>132.149,22</w:t>
      </w:r>
      <w:r w:rsidR="000862D8" w:rsidRPr="0092070C">
        <w:rPr>
          <w:sz w:val="22"/>
          <w:szCs w:val="22"/>
        </w:rPr>
        <w:t xml:space="preserve"> </w:t>
      </w:r>
      <w:r w:rsidR="00EF614D" w:rsidRPr="0092070C">
        <w:rPr>
          <w:sz w:val="22"/>
          <w:szCs w:val="22"/>
        </w:rPr>
        <w:t>€</w:t>
      </w:r>
      <w:r w:rsidR="00CE3B3F" w:rsidRPr="0092070C">
        <w:rPr>
          <w:sz w:val="22"/>
          <w:szCs w:val="22"/>
        </w:rPr>
        <w:t>,</w:t>
      </w:r>
      <w:r w:rsidRPr="0092070C">
        <w:rPr>
          <w:sz w:val="22"/>
          <w:szCs w:val="22"/>
        </w:rPr>
        <w:t xml:space="preserve"> što je </w:t>
      </w:r>
      <w:r w:rsidR="005F3A68" w:rsidRPr="0092070C">
        <w:rPr>
          <w:sz w:val="22"/>
          <w:szCs w:val="22"/>
        </w:rPr>
        <w:t>9</w:t>
      </w:r>
      <w:r w:rsidR="00D81FB5" w:rsidRPr="0092070C">
        <w:rPr>
          <w:sz w:val="22"/>
          <w:szCs w:val="22"/>
        </w:rPr>
        <w:t>2</w:t>
      </w:r>
      <w:r w:rsidRPr="0092070C">
        <w:rPr>
          <w:sz w:val="22"/>
          <w:szCs w:val="22"/>
        </w:rPr>
        <w:t>% od ukupno planiranih</w:t>
      </w:r>
      <w:r w:rsidR="00CE3B3F" w:rsidRPr="0092070C">
        <w:rPr>
          <w:sz w:val="22"/>
          <w:szCs w:val="22"/>
        </w:rPr>
        <w:t>,</w:t>
      </w:r>
      <w:r w:rsidRPr="0092070C">
        <w:rPr>
          <w:sz w:val="22"/>
          <w:szCs w:val="22"/>
        </w:rPr>
        <w:t xml:space="preserve"> dok u odnosu na izvrš</w:t>
      </w:r>
      <w:r w:rsidR="00CE3B3F" w:rsidRPr="0092070C">
        <w:rPr>
          <w:sz w:val="22"/>
          <w:szCs w:val="22"/>
        </w:rPr>
        <w:t>enje plana u 20</w:t>
      </w:r>
      <w:r w:rsidR="008B28A0" w:rsidRPr="0092070C">
        <w:rPr>
          <w:sz w:val="22"/>
          <w:szCs w:val="22"/>
        </w:rPr>
        <w:t>2</w:t>
      </w:r>
      <w:r w:rsidR="005F3A68" w:rsidRPr="0092070C">
        <w:rPr>
          <w:sz w:val="22"/>
          <w:szCs w:val="22"/>
        </w:rPr>
        <w:t>3</w:t>
      </w:r>
      <w:r w:rsidR="008C2EDB" w:rsidRPr="0092070C">
        <w:rPr>
          <w:sz w:val="22"/>
          <w:szCs w:val="22"/>
        </w:rPr>
        <w:t>.</w:t>
      </w:r>
      <w:r w:rsidR="00CE3B3F" w:rsidRPr="0092070C">
        <w:rPr>
          <w:sz w:val="22"/>
          <w:szCs w:val="22"/>
        </w:rPr>
        <w:t xml:space="preserve"> g. index </w:t>
      </w:r>
      <w:r w:rsidR="005F3A68" w:rsidRPr="0092070C">
        <w:rPr>
          <w:sz w:val="22"/>
          <w:szCs w:val="22"/>
        </w:rPr>
        <w:t>povećanja</w:t>
      </w:r>
      <w:r w:rsidR="00CE3B3F" w:rsidRPr="0092070C">
        <w:rPr>
          <w:sz w:val="22"/>
          <w:szCs w:val="22"/>
        </w:rPr>
        <w:t xml:space="preserve"> iznosi</w:t>
      </w:r>
      <w:r w:rsidRPr="0092070C">
        <w:rPr>
          <w:sz w:val="22"/>
          <w:szCs w:val="22"/>
        </w:rPr>
        <w:t xml:space="preserve"> </w:t>
      </w:r>
      <w:r w:rsidR="005F3A68" w:rsidRPr="0092070C">
        <w:rPr>
          <w:sz w:val="22"/>
          <w:szCs w:val="22"/>
        </w:rPr>
        <w:t>145</w:t>
      </w:r>
      <w:r w:rsidRPr="0092070C">
        <w:rPr>
          <w:sz w:val="22"/>
          <w:szCs w:val="22"/>
        </w:rPr>
        <w:t xml:space="preserve">%. </w:t>
      </w:r>
    </w:p>
    <w:p w14:paraId="10795252" w14:textId="77777777" w:rsidR="002769FA" w:rsidRPr="004A7AE1" w:rsidRDefault="002769FA" w:rsidP="00BB067B">
      <w:pPr>
        <w:spacing w:line="276" w:lineRule="auto"/>
        <w:jc w:val="both"/>
        <w:rPr>
          <w:b/>
          <w:sz w:val="22"/>
          <w:szCs w:val="22"/>
        </w:rPr>
      </w:pPr>
    </w:p>
    <w:p w14:paraId="6E48D957" w14:textId="1F1E97A7" w:rsidR="007379EE" w:rsidRPr="004A7AE1" w:rsidRDefault="00211879" w:rsidP="00BB067B">
      <w:pPr>
        <w:spacing w:line="276" w:lineRule="auto"/>
        <w:jc w:val="both"/>
        <w:rPr>
          <w:b/>
          <w:sz w:val="22"/>
          <w:szCs w:val="22"/>
        </w:rPr>
      </w:pPr>
      <w:r w:rsidRPr="004A7AE1">
        <w:rPr>
          <w:b/>
          <w:sz w:val="22"/>
          <w:szCs w:val="22"/>
        </w:rPr>
        <w:t>POSEBNI DIO</w:t>
      </w:r>
    </w:p>
    <w:p w14:paraId="73AC9FC8" w14:textId="77777777" w:rsidR="00013563" w:rsidRPr="004A7AE1" w:rsidRDefault="00013563" w:rsidP="00BB067B">
      <w:pPr>
        <w:spacing w:line="276" w:lineRule="auto"/>
        <w:jc w:val="both"/>
        <w:rPr>
          <w:b/>
          <w:sz w:val="22"/>
          <w:szCs w:val="22"/>
        </w:rPr>
      </w:pPr>
    </w:p>
    <w:p w14:paraId="14A9BC31" w14:textId="6E9A1EA9" w:rsidR="0086333F" w:rsidRPr="004A7AE1" w:rsidRDefault="0098076E" w:rsidP="00BB067B">
      <w:pPr>
        <w:spacing w:line="276" w:lineRule="auto"/>
        <w:jc w:val="both"/>
        <w:rPr>
          <w:b/>
          <w:sz w:val="22"/>
          <w:szCs w:val="22"/>
        </w:rPr>
      </w:pPr>
      <w:r w:rsidRPr="004A7AE1">
        <w:rPr>
          <w:b/>
          <w:sz w:val="22"/>
          <w:szCs w:val="22"/>
        </w:rPr>
        <w:t>Programska klasifikacija</w:t>
      </w:r>
    </w:p>
    <w:p w14:paraId="2997296A" w14:textId="77777777" w:rsidR="00013563" w:rsidRPr="004A7AE1" w:rsidRDefault="00013563" w:rsidP="00BB067B">
      <w:pPr>
        <w:spacing w:line="276" w:lineRule="auto"/>
        <w:jc w:val="both"/>
        <w:rPr>
          <w:b/>
          <w:sz w:val="22"/>
          <w:szCs w:val="22"/>
        </w:rPr>
      </w:pPr>
    </w:p>
    <w:p w14:paraId="4EA56091" w14:textId="26619C19" w:rsidR="0086333F" w:rsidRPr="004A7AE1" w:rsidRDefault="0086333F" w:rsidP="00BB067B">
      <w:pPr>
        <w:spacing w:line="276" w:lineRule="auto"/>
        <w:jc w:val="both"/>
        <w:rPr>
          <w:b/>
          <w:sz w:val="22"/>
          <w:szCs w:val="22"/>
        </w:rPr>
      </w:pPr>
      <w:r w:rsidRPr="004A7AE1">
        <w:rPr>
          <w:b/>
          <w:sz w:val="22"/>
          <w:szCs w:val="22"/>
        </w:rPr>
        <w:t>A</w:t>
      </w:r>
      <w:r w:rsidR="005364BF" w:rsidRPr="004A7AE1">
        <w:rPr>
          <w:b/>
          <w:sz w:val="22"/>
          <w:szCs w:val="22"/>
        </w:rPr>
        <w:t xml:space="preserve">300401 Centar za cjeloživotno učenje </w:t>
      </w:r>
      <w:r w:rsidRPr="004A7AE1">
        <w:rPr>
          <w:b/>
          <w:sz w:val="22"/>
          <w:szCs w:val="22"/>
        </w:rPr>
        <w:t>-</w:t>
      </w:r>
      <w:r w:rsidR="005364BF" w:rsidRPr="004A7AE1">
        <w:rPr>
          <w:b/>
          <w:sz w:val="22"/>
          <w:szCs w:val="22"/>
        </w:rPr>
        <w:t xml:space="preserve"> </w:t>
      </w:r>
      <w:r w:rsidRPr="004A7AE1">
        <w:rPr>
          <w:b/>
          <w:sz w:val="22"/>
          <w:szCs w:val="22"/>
        </w:rPr>
        <w:t>izvor financiranja: opći prihodi i primici</w:t>
      </w:r>
      <w:r w:rsidR="002D6B12" w:rsidRPr="004A7AE1">
        <w:rPr>
          <w:b/>
          <w:sz w:val="22"/>
          <w:szCs w:val="22"/>
        </w:rPr>
        <w:t>/1</w:t>
      </w:r>
      <w:r w:rsidR="00FA5BA6" w:rsidRPr="004A7AE1">
        <w:rPr>
          <w:b/>
          <w:sz w:val="22"/>
          <w:szCs w:val="22"/>
        </w:rPr>
        <w:t>,</w:t>
      </w:r>
      <w:r w:rsidR="005B70FD" w:rsidRPr="004A7AE1">
        <w:rPr>
          <w:b/>
          <w:sz w:val="22"/>
          <w:szCs w:val="22"/>
        </w:rPr>
        <w:t xml:space="preserve"> prihodi za posebne namjene</w:t>
      </w:r>
      <w:r w:rsidR="002D6B12" w:rsidRPr="004A7AE1">
        <w:rPr>
          <w:b/>
          <w:sz w:val="22"/>
          <w:szCs w:val="22"/>
        </w:rPr>
        <w:t>/35</w:t>
      </w:r>
      <w:r w:rsidR="00A84BA2" w:rsidRPr="004A7AE1">
        <w:rPr>
          <w:b/>
          <w:sz w:val="22"/>
          <w:szCs w:val="22"/>
        </w:rPr>
        <w:t xml:space="preserve">, prihodi </w:t>
      </w:r>
      <w:r w:rsidR="003553BE" w:rsidRPr="004A7AE1">
        <w:rPr>
          <w:b/>
          <w:sz w:val="22"/>
          <w:szCs w:val="22"/>
        </w:rPr>
        <w:t>od nefinancijske imovine/61</w:t>
      </w:r>
      <w:r w:rsidR="005B70FD" w:rsidRPr="004A7AE1">
        <w:rPr>
          <w:b/>
          <w:sz w:val="22"/>
          <w:szCs w:val="22"/>
        </w:rPr>
        <w:t xml:space="preserve"> </w:t>
      </w:r>
      <w:r w:rsidR="00FA5BA6" w:rsidRPr="004A7AE1">
        <w:rPr>
          <w:b/>
          <w:sz w:val="22"/>
          <w:szCs w:val="22"/>
        </w:rPr>
        <w:t>i vlastiti prihodi/29</w:t>
      </w:r>
    </w:p>
    <w:p w14:paraId="1FDFA95C" w14:textId="468CDE7D" w:rsidR="00E52A1A" w:rsidRDefault="0086333F" w:rsidP="00BB067B">
      <w:pPr>
        <w:tabs>
          <w:tab w:val="left" w:pos="4080"/>
        </w:tabs>
        <w:spacing w:line="276" w:lineRule="auto"/>
        <w:jc w:val="both"/>
        <w:rPr>
          <w:sz w:val="22"/>
          <w:szCs w:val="22"/>
        </w:rPr>
      </w:pPr>
      <w:r w:rsidRPr="004A7AE1">
        <w:rPr>
          <w:sz w:val="22"/>
          <w:szCs w:val="22"/>
        </w:rPr>
        <w:t>Za financ</w:t>
      </w:r>
      <w:r w:rsidR="001D3E96" w:rsidRPr="004A7AE1">
        <w:rPr>
          <w:sz w:val="22"/>
          <w:szCs w:val="22"/>
        </w:rPr>
        <w:t xml:space="preserve">iranje </w:t>
      </w:r>
      <w:r w:rsidR="004155A2" w:rsidRPr="004A7AE1">
        <w:rPr>
          <w:bCs/>
          <w:sz w:val="22"/>
          <w:szCs w:val="22"/>
        </w:rPr>
        <w:t>Centra za cjeloživotno učenje</w:t>
      </w:r>
      <w:r w:rsidR="004155A2" w:rsidRPr="004A7AE1">
        <w:rPr>
          <w:b/>
          <w:sz w:val="22"/>
          <w:szCs w:val="22"/>
        </w:rPr>
        <w:t xml:space="preserve"> </w:t>
      </w:r>
      <w:r w:rsidR="005124B3" w:rsidRPr="004A7AE1">
        <w:rPr>
          <w:sz w:val="22"/>
          <w:szCs w:val="22"/>
        </w:rPr>
        <w:t>p</w:t>
      </w:r>
      <w:r w:rsidR="005364BF" w:rsidRPr="004A7AE1">
        <w:rPr>
          <w:sz w:val="22"/>
          <w:szCs w:val="22"/>
        </w:rPr>
        <w:t xml:space="preserve">laniran je iznos </w:t>
      </w:r>
      <w:r w:rsidR="00437818" w:rsidRPr="004A7AE1">
        <w:rPr>
          <w:sz w:val="22"/>
          <w:szCs w:val="22"/>
        </w:rPr>
        <w:t xml:space="preserve">od </w:t>
      </w:r>
      <w:r w:rsidR="008A3F22">
        <w:rPr>
          <w:sz w:val="22"/>
          <w:szCs w:val="22"/>
        </w:rPr>
        <w:t>51.310</w:t>
      </w:r>
      <w:r w:rsidR="00CF5DAF" w:rsidRPr="004A7AE1">
        <w:rPr>
          <w:sz w:val="22"/>
          <w:szCs w:val="22"/>
        </w:rPr>
        <w:t>,00 €</w:t>
      </w:r>
      <w:r w:rsidRPr="004A7AE1">
        <w:rPr>
          <w:sz w:val="22"/>
          <w:szCs w:val="22"/>
        </w:rPr>
        <w:t xml:space="preserve"> koji </w:t>
      </w:r>
      <w:r w:rsidR="0093304E" w:rsidRPr="004A7AE1">
        <w:rPr>
          <w:sz w:val="22"/>
          <w:szCs w:val="22"/>
        </w:rPr>
        <w:t>se odnosi na</w:t>
      </w:r>
      <w:r w:rsidR="005124B3" w:rsidRPr="004A7AE1">
        <w:rPr>
          <w:sz w:val="22"/>
          <w:szCs w:val="22"/>
        </w:rPr>
        <w:t xml:space="preserve"> materijalne rashode</w:t>
      </w:r>
      <w:r w:rsidR="0093304E" w:rsidRPr="004A7AE1">
        <w:rPr>
          <w:sz w:val="22"/>
          <w:szCs w:val="22"/>
        </w:rPr>
        <w:t>, financijske rashode te rashode za nabavu proizvedene dugotrajne imovine</w:t>
      </w:r>
      <w:r w:rsidR="008A4761" w:rsidRPr="004A7AE1">
        <w:rPr>
          <w:sz w:val="22"/>
          <w:szCs w:val="22"/>
        </w:rPr>
        <w:t>.</w:t>
      </w:r>
      <w:r w:rsidR="00A72CBE" w:rsidRPr="004A7AE1">
        <w:rPr>
          <w:sz w:val="22"/>
          <w:szCs w:val="22"/>
        </w:rPr>
        <w:t xml:space="preserve"> </w:t>
      </w:r>
      <w:r w:rsidR="002B680F" w:rsidRPr="004A7AE1">
        <w:rPr>
          <w:sz w:val="22"/>
          <w:szCs w:val="22"/>
        </w:rPr>
        <w:t xml:space="preserve">Ostvaren je iznos od </w:t>
      </w:r>
      <w:r w:rsidR="00025A68">
        <w:rPr>
          <w:sz w:val="22"/>
          <w:szCs w:val="22"/>
        </w:rPr>
        <w:t>42.570,66</w:t>
      </w:r>
      <w:r w:rsidR="00923C34" w:rsidRPr="004A7AE1">
        <w:rPr>
          <w:sz w:val="22"/>
          <w:szCs w:val="22"/>
        </w:rPr>
        <w:t xml:space="preserve"> €</w:t>
      </w:r>
      <w:r w:rsidR="002B680F" w:rsidRPr="004A7AE1">
        <w:rPr>
          <w:sz w:val="22"/>
          <w:szCs w:val="22"/>
        </w:rPr>
        <w:t xml:space="preserve"> </w:t>
      </w:r>
      <w:r w:rsidR="00437A45" w:rsidRPr="004A7AE1">
        <w:rPr>
          <w:sz w:val="22"/>
          <w:szCs w:val="22"/>
        </w:rPr>
        <w:t xml:space="preserve">što je ostvarenje od </w:t>
      </w:r>
      <w:r w:rsidR="00025A68">
        <w:rPr>
          <w:sz w:val="22"/>
          <w:szCs w:val="22"/>
        </w:rPr>
        <w:t>83</w:t>
      </w:r>
      <w:r w:rsidR="00437A45" w:rsidRPr="004A7AE1">
        <w:rPr>
          <w:sz w:val="22"/>
          <w:szCs w:val="22"/>
        </w:rPr>
        <w:t xml:space="preserve">% </w:t>
      </w:r>
      <w:r w:rsidR="009855A1" w:rsidRPr="004A7AE1">
        <w:rPr>
          <w:sz w:val="22"/>
          <w:szCs w:val="22"/>
        </w:rPr>
        <w:t>u odnosu na planirano</w:t>
      </w:r>
      <w:r w:rsidR="00F57033">
        <w:rPr>
          <w:sz w:val="22"/>
          <w:szCs w:val="22"/>
        </w:rPr>
        <w:t xml:space="preserve">. </w:t>
      </w:r>
      <w:r w:rsidR="000B3677">
        <w:rPr>
          <w:sz w:val="22"/>
          <w:szCs w:val="22"/>
        </w:rPr>
        <w:t xml:space="preserve">Iz općih prihoda i primitaka planirani su </w:t>
      </w:r>
      <w:r w:rsidR="00500708">
        <w:rPr>
          <w:sz w:val="22"/>
          <w:szCs w:val="22"/>
        </w:rPr>
        <w:t>materijalni</w:t>
      </w:r>
      <w:r w:rsidR="000B3677">
        <w:rPr>
          <w:sz w:val="22"/>
          <w:szCs w:val="22"/>
        </w:rPr>
        <w:t xml:space="preserve"> rashodi koji su se izvršili </w:t>
      </w:r>
      <w:r w:rsidR="009855A1" w:rsidRPr="004A7AE1">
        <w:rPr>
          <w:sz w:val="22"/>
          <w:szCs w:val="22"/>
        </w:rPr>
        <w:t xml:space="preserve">u </w:t>
      </w:r>
      <w:r w:rsidR="00500708">
        <w:rPr>
          <w:sz w:val="22"/>
          <w:szCs w:val="22"/>
        </w:rPr>
        <w:t>gotovo ukupnom iznosu (</w:t>
      </w:r>
      <w:r w:rsidR="000D3B49">
        <w:rPr>
          <w:sz w:val="22"/>
          <w:szCs w:val="22"/>
        </w:rPr>
        <w:t xml:space="preserve">indeks izvršenja </w:t>
      </w:r>
      <w:r w:rsidR="00500708">
        <w:rPr>
          <w:sz w:val="22"/>
          <w:szCs w:val="22"/>
        </w:rPr>
        <w:t>99%)</w:t>
      </w:r>
      <w:r w:rsidR="00F10B42">
        <w:rPr>
          <w:sz w:val="22"/>
          <w:szCs w:val="22"/>
        </w:rPr>
        <w:t xml:space="preserve"> </w:t>
      </w:r>
      <w:r w:rsidR="00776236">
        <w:rPr>
          <w:sz w:val="22"/>
          <w:szCs w:val="22"/>
        </w:rPr>
        <w:t>te su utrošeni za en</w:t>
      </w:r>
      <w:r w:rsidR="00B27B29">
        <w:rPr>
          <w:sz w:val="22"/>
          <w:szCs w:val="22"/>
        </w:rPr>
        <w:t>ergen</w:t>
      </w:r>
      <w:r w:rsidR="00776236">
        <w:rPr>
          <w:sz w:val="22"/>
          <w:szCs w:val="22"/>
        </w:rPr>
        <w:t>te</w:t>
      </w:r>
      <w:r w:rsidR="00B27B29">
        <w:rPr>
          <w:sz w:val="22"/>
          <w:szCs w:val="22"/>
        </w:rPr>
        <w:t xml:space="preserve"> i uslug</w:t>
      </w:r>
      <w:r w:rsidR="00776236">
        <w:rPr>
          <w:sz w:val="22"/>
          <w:szCs w:val="22"/>
        </w:rPr>
        <w:t>e</w:t>
      </w:r>
      <w:r w:rsidR="00F10B42">
        <w:rPr>
          <w:sz w:val="22"/>
          <w:szCs w:val="22"/>
        </w:rPr>
        <w:t>, dok su se financijski rashodi izvršili u iznosu od 3%</w:t>
      </w:r>
      <w:r w:rsidR="00931E21">
        <w:rPr>
          <w:sz w:val="22"/>
          <w:szCs w:val="22"/>
        </w:rPr>
        <w:t xml:space="preserve"> za provedene bankarske troškove.</w:t>
      </w:r>
      <w:r w:rsidR="00C148DB">
        <w:rPr>
          <w:sz w:val="22"/>
          <w:szCs w:val="22"/>
        </w:rPr>
        <w:t xml:space="preserve"> Troškove koje smo planirali iz vlastitih prihoda odnose</w:t>
      </w:r>
      <w:r w:rsidR="0000601A">
        <w:rPr>
          <w:sz w:val="22"/>
          <w:szCs w:val="22"/>
        </w:rPr>
        <w:t xml:space="preserve"> se</w:t>
      </w:r>
      <w:r w:rsidR="00C148DB">
        <w:rPr>
          <w:sz w:val="22"/>
          <w:szCs w:val="22"/>
        </w:rPr>
        <w:t xml:space="preserve"> na </w:t>
      </w:r>
      <w:r w:rsidR="004B08B6">
        <w:rPr>
          <w:sz w:val="22"/>
          <w:szCs w:val="22"/>
        </w:rPr>
        <w:t>materijalne</w:t>
      </w:r>
      <w:r w:rsidR="00C148DB">
        <w:rPr>
          <w:sz w:val="22"/>
          <w:szCs w:val="22"/>
        </w:rPr>
        <w:t xml:space="preserve"> rashode </w:t>
      </w:r>
      <w:r w:rsidR="004B08B6">
        <w:rPr>
          <w:sz w:val="22"/>
          <w:szCs w:val="22"/>
        </w:rPr>
        <w:t>koji su se izvršili u iznosu od 39%</w:t>
      </w:r>
      <w:r w:rsidR="008C1383">
        <w:rPr>
          <w:sz w:val="22"/>
          <w:szCs w:val="22"/>
        </w:rPr>
        <w:t xml:space="preserve">, dok su se rashodi za dugotrajnu imovinu izvršili u </w:t>
      </w:r>
      <w:r w:rsidR="004260A9">
        <w:rPr>
          <w:sz w:val="22"/>
          <w:szCs w:val="22"/>
        </w:rPr>
        <w:t>iznosu od 102%.</w:t>
      </w:r>
      <w:r w:rsidR="00F974A9">
        <w:rPr>
          <w:sz w:val="22"/>
          <w:szCs w:val="22"/>
        </w:rPr>
        <w:t xml:space="preserve"> Prihodi za posebne namjene planirani su za investicijsko održavanje zgrade na Trgu </w:t>
      </w:r>
      <w:r w:rsidR="00152E95">
        <w:rPr>
          <w:sz w:val="22"/>
          <w:szCs w:val="22"/>
        </w:rPr>
        <w:t xml:space="preserve">J. bana Jelačića 6 te su se izvršili u 100% iznosu. </w:t>
      </w:r>
      <w:r w:rsidR="00290EDE">
        <w:rPr>
          <w:sz w:val="22"/>
          <w:szCs w:val="22"/>
        </w:rPr>
        <w:t>Iz izvora p</w:t>
      </w:r>
      <w:r w:rsidR="00646F98">
        <w:rPr>
          <w:sz w:val="22"/>
          <w:szCs w:val="22"/>
        </w:rPr>
        <w:t xml:space="preserve">rihod </w:t>
      </w:r>
      <w:r w:rsidR="002A6947">
        <w:rPr>
          <w:sz w:val="22"/>
          <w:szCs w:val="22"/>
        </w:rPr>
        <w:t>od</w:t>
      </w:r>
      <w:r w:rsidR="00646F98">
        <w:rPr>
          <w:sz w:val="22"/>
          <w:szCs w:val="22"/>
        </w:rPr>
        <w:t xml:space="preserve"> nefinancijske imovine </w:t>
      </w:r>
      <w:r w:rsidR="00290EDE">
        <w:rPr>
          <w:sz w:val="22"/>
          <w:szCs w:val="22"/>
        </w:rPr>
        <w:t>imali smo trošak za</w:t>
      </w:r>
      <w:r w:rsidR="00646F98">
        <w:rPr>
          <w:sz w:val="22"/>
          <w:szCs w:val="22"/>
        </w:rPr>
        <w:t xml:space="preserve"> nabavu </w:t>
      </w:r>
      <w:r w:rsidR="00AF69EE">
        <w:rPr>
          <w:sz w:val="22"/>
          <w:szCs w:val="22"/>
        </w:rPr>
        <w:t>opreme.</w:t>
      </w:r>
    </w:p>
    <w:p w14:paraId="419B06DC" w14:textId="77777777" w:rsidR="00AF69EE" w:rsidRPr="00BE4EA7" w:rsidRDefault="00AF69EE" w:rsidP="00BB067B">
      <w:pPr>
        <w:tabs>
          <w:tab w:val="left" w:pos="4080"/>
        </w:tabs>
        <w:spacing w:line="276" w:lineRule="auto"/>
        <w:jc w:val="both"/>
        <w:rPr>
          <w:b/>
          <w:color w:val="FF0000"/>
          <w:sz w:val="22"/>
          <w:szCs w:val="22"/>
        </w:rPr>
      </w:pPr>
    </w:p>
    <w:p w14:paraId="3AD25155" w14:textId="736F75AF" w:rsidR="005D3DFB" w:rsidRPr="007670A7" w:rsidRDefault="00AB655B" w:rsidP="00BB067B">
      <w:pPr>
        <w:spacing w:line="276" w:lineRule="auto"/>
        <w:jc w:val="both"/>
        <w:rPr>
          <w:b/>
          <w:sz w:val="22"/>
          <w:szCs w:val="22"/>
        </w:rPr>
      </w:pPr>
      <w:r w:rsidRPr="007670A7">
        <w:rPr>
          <w:b/>
          <w:sz w:val="22"/>
          <w:szCs w:val="22"/>
        </w:rPr>
        <w:t>A300404 Andragoška djelat</w:t>
      </w:r>
      <w:r w:rsidR="00EB30E3" w:rsidRPr="007670A7">
        <w:rPr>
          <w:b/>
          <w:sz w:val="22"/>
          <w:szCs w:val="22"/>
        </w:rPr>
        <w:t>nost</w:t>
      </w:r>
      <w:r w:rsidR="00125720" w:rsidRPr="007670A7">
        <w:rPr>
          <w:b/>
          <w:sz w:val="22"/>
          <w:szCs w:val="22"/>
        </w:rPr>
        <w:t xml:space="preserve"> </w:t>
      </w:r>
      <w:r w:rsidR="00EB30E3" w:rsidRPr="007670A7">
        <w:rPr>
          <w:b/>
          <w:sz w:val="22"/>
          <w:szCs w:val="22"/>
        </w:rPr>
        <w:t>-</w:t>
      </w:r>
      <w:r w:rsidR="00125720" w:rsidRPr="007670A7">
        <w:rPr>
          <w:b/>
          <w:sz w:val="22"/>
          <w:szCs w:val="22"/>
        </w:rPr>
        <w:t xml:space="preserve"> </w:t>
      </w:r>
      <w:r w:rsidR="00EB30E3" w:rsidRPr="007670A7">
        <w:rPr>
          <w:b/>
          <w:sz w:val="22"/>
          <w:szCs w:val="22"/>
        </w:rPr>
        <w:t>izvor financiranja:</w:t>
      </w:r>
      <w:r w:rsidR="009855A1" w:rsidRPr="007670A7">
        <w:rPr>
          <w:b/>
          <w:sz w:val="22"/>
          <w:szCs w:val="22"/>
        </w:rPr>
        <w:t xml:space="preserve"> </w:t>
      </w:r>
      <w:r w:rsidR="00EB30E3" w:rsidRPr="007670A7">
        <w:rPr>
          <w:b/>
          <w:sz w:val="22"/>
          <w:szCs w:val="22"/>
        </w:rPr>
        <w:t>vlastiti</w:t>
      </w:r>
      <w:r w:rsidRPr="007670A7">
        <w:rPr>
          <w:b/>
          <w:sz w:val="22"/>
          <w:szCs w:val="22"/>
        </w:rPr>
        <w:t xml:space="preserve"> prihodi</w:t>
      </w:r>
      <w:r w:rsidR="002D6B12" w:rsidRPr="007670A7">
        <w:rPr>
          <w:b/>
          <w:sz w:val="22"/>
          <w:szCs w:val="22"/>
        </w:rPr>
        <w:t>/29</w:t>
      </w:r>
      <w:r w:rsidR="005F7E02" w:rsidRPr="007670A7">
        <w:rPr>
          <w:b/>
          <w:sz w:val="22"/>
          <w:szCs w:val="22"/>
        </w:rPr>
        <w:t xml:space="preserve"> </w:t>
      </w:r>
      <w:r w:rsidR="00BB1A1C">
        <w:rPr>
          <w:b/>
          <w:sz w:val="22"/>
          <w:szCs w:val="22"/>
        </w:rPr>
        <w:t xml:space="preserve">i </w:t>
      </w:r>
      <w:r w:rsidR="00BB1A1C" w:rsidRPr="00BB1A1C">
        <w:rPr>
          <w:b/>
          <w:sz w:val="22"/>
          <w:szCs w:val="22"/>
        </w:rPr>
        <w:t>pomoći unutar proračuna/42</w:t>
      </w:r>
    </w:p>
    <w:p w14:paraId="44BA745F" w14:textId="6DCF3FD7" w:rsidR="00904B45" w:rsidRPr="007670A7" w:rsidRDefault="001E200D" w:rsidP="00BB067B">
      <w:pPr>
        <w:tabs>
          <w:tab w:val="left" w:pos="4080"/>
        </w:tabs>
        <w:spacing w:line="276" w:lineRule="auto"/>
        <w:jc w:val="both"/>
        <w:rPr>
          <w:sz w:val="22"/>
          <w:szCs w:val="22"/>
        </w:rPr>
      </w:pPr>
      <w:r w:rsidRPr="007670A7">
        <w:rPr>
          <w:sz w:val="22"/>
          <w:szCs w:val="22"/>
        </w:rPr>
        <w:t>Zbog nedovoljnih sredstava iz općih prihoda i primitaka planiran</w:t>
      </w:r>
      <w:r w:rsidR="0006594E">
        <w:rPr>
          <w:sz w:val="22"/>
          <w:szCs w:val="22"/>
        </w:rPr>
        <w:t>i</w:t>
      </w:r>
      <w:r w:rsidRPr="007670A7">
        <w:rPr>
          <w:sz w:val="22"/>
          <w:szCs w:val="22"/>
        </w:rPr>
        <w:t xml:space="preserve"> su </w:t>
      </w:r>
      <w:r w:rsidR="001E0767" w:rsidRPr="007670A7">
        <w:rPr>
          <w:sz w:val="22"/>
          <w:szCs w:val="22"/>
        </w:rPr>
        <w:t>rashodi</w:t>
      </w:r>
      <w:r w:rsidR="007A422A" w:rsidRPr="007670A7">
        <w:rPr>
          <w:sz w:val="22"/>
          <w:szCs w:val="22"/>
        </w:rPr>
        <w:t xml:space="preserve"> u iznosu od </w:t>
      </w:r>
      <w:r w:rsidR="004D2B2B">
        <w:rPr>
          <w:sz w:val="22"/>
          <w:szCs w:val="22"/>
        </w:rPr>
        <w:t>156.011</w:t>
      </w:r>
      <w:r w:rsidR="00227844" w:rsidRPr="007670A7">
        <w:rPr>
          <w:sz w:val="22"/>
          <w:szCs w:val="22"/>
        </w:rPr>
        <w:t>,00 €</w:t>
      </w:r>
      <w:r w:rsidR="00DF1559" w:rsidRPr="007670A7">
        <w:rPr>
          <w:sz w:val="22"/>
          <w:szCs w:val="22"/>
        </w:rPr>
        <w:t xml:space="preserve"> za obrazovni</w:t>
      </w:r>
      <w:r w:rsidRPr="007670A7">
        <w:rPr>
          <w:sz w:val="22"/>
          <w:szCs w:val="22"/>
        </w:rPr>
        <w:t xml:space="preserve"> progr</w:t>
      </w:r>
      <w:r w:rsidR="00DF1559" w:rsidRPr="007670A7">
        <w:rPr>
          <w:sz w:val="22"/>
          <w:szCs w:val="22"/>
        </w:rPr>
        <w:t>am</w:t>
      </w:r>
      <w:r w:rsidRPr="007670A7">
        <w:rPr>
          <w:sz w:val="22"/>
          <w:szCs w:val="22"/>
        </w:rPr>
        <w:t xml:space="preserve"> u zgradi Domoljuba.</w:t>
      </w:r>
      <w:r w:rsidR="00ED2967" w:rsidRPr="007670A7">
        <w:rPr>
          <w:sz w:val="22"/>
          <w:szCs w:val="22"/>
        </w:rPr>
        <w:t xml:space="preserve"> Od ukupno planiranih sredstava ostvareno je </w:t>
      </w:r>
      <w:r w:rsidR="004D2B2B">
        <w:rPr>
          <w:sz w:val="22"/>
          <w:szCs w:val="22"/>
        </w:rPr>
        <w:t>127.862,24</w:t>
      </w:r>
      <w:r w:rsidR="00227844" w:rsidRPr="007670A7">
        <w:rPr>
          <w:sz w:val="22"/>
          <w:szCs w:val="22"/>
        </w:rPr>
        <w:t xml:space="preserve"> €</w:t>
      </w:r>
      <w:r w:rsidR="00ED2967" w:rsidRPr="007670A7">
        <w:rPr>
          <w:sz w:val="22"/>
          <w:szCs w:val="22"/>
        </w:rPr>
        <w:t xml:space="preserve"> što je ostvarenj</w:t>
      </w:r>
      <w:r w:rsidR="009855A1" w:rsidRPr="007670A7">
        <w:rPr>
          <w:sz w:val="22"/>
          <w:szCs w:val="22"/>
        </w:rPr>
        <w:t>e od</w:t>
      </w:r>
      <w:r w:rsidR="0083387B" w:rsidRPr="007670A7">
        <w:rPr>
          <w:sz w:val="22"/>
          <w:szCs w:val="22"/>
        </w:rPr>
        <w:t xml:space="preserve"> </w:t>
      </w:r>
      <w:r w:rsidR="0052216C">
        <w:rPr>
          <w:sz w:val="22"/>
          <w:szCs w:val="22"/>
        </w:rPr>
        <w:t>82</w:t>
      </w:r>
      <w:r w:rsidR="009855A1" w:rsidRPr="007670A7">
        <w:rPr>
          <w:sz w:val="22"/>
          <w:szCs w:val="22"/>
        </w:rPr>
        <w:t>% od planiranog u 20</w:t>
      </w:r>
      <w:r w:rsidR="00293929" w:rsidRPr="007670A7">
        <w:rPr>
          <w:sz w:val="22"/>
          <w:szCs w:val="22"/>
        </w:rPr>
        <w:t>2</w:t>
      </w:r>
      <w:r w:rsidR="0052216C">
        <w:rPr>
          <w:sz w:val="22"/>
          <w:szCs w:val="22"/>
        </w:rPr>
        <w:t>4</w:t>
      </w:r>
      <w:r w:rsidR="009855A1" w:rsidRPr="007670A7">
        <w:rPr>
          <w:sz w:val="22"/>
          <w:szCs w:val="22"/>
        </w:rPr>
        <w:t>.</w:t>
      </w:r>
      <w:r w:rsidR="00125720" w:rsidRPr="007670A7">
        <w:rPr>
          <w:sz w:val="22"/>
          <w:szCs w:val="22"/>
        </w:rPr>
        <w:t xml:space="preserve"> </w:t>
      </w:r>
      <w:r w:rsidR="009855A1" w:rsidRPr="007670A7">
        <w:rPr>
          <w:sz w:val="22"/>
          <w:szCs w:val="22"/>
        </w:rPr>
        <w:t>godini.</w:t>
      </w:r>
      <w:r w:rsidRPr="007670A7">
        <w:rPr>
          <w:sz w:val="22"/>
          <w:szCs w:val="22"/>
        </w:rPr>
        <w:t xml:space="preserve"> </w:t>
      </w:r>
      <w:r w:rsidR="00912A3D">
        <w:rPr>
          <w:sz w:val="22"/>
          <w:szCs w:val="22"/>
        </w:rPr>
        <w:t>U 202</w:t>
      </w:r>
      <w:r w:rsidR="00154289">
        <w:rPr>
          <w:sz w:val="22"/>
          <w:szCs w:val="22"/>
        </w:rPr>
        <w:t>4</w:t>
      </w:r>
      <w:r w:rsidR="00912A3D">
        <w:rPr>
          <w:sz w:val="22"/>
          <w:szCs w:val="22"/>
        </w:rPr>
        <w:t>.</w:t>
      </w:r>
      <w:r w:rsidR="00800238" w:rsidRPr="007670A7">
        <w:rPr>
          <w:sz w:val="22"/>
          <w:szCs w:val="22"/>
        </w:rPr>
        <w:t xml:space="preserve"> </w:t>
      </w:r>
      <w:r w:rsidR="002E5BA2">
        <w:rPr>
          <w:sz w:val="22"/>
          <w:szCs w:val="22"/>
        </w:rPr>
        <w:t>iz vlastitih prihoda</w:t>
      </w:r>
      <w:r w:rsidR="00800238" w:rsidRPr="007670A7">
        <w:rPr>
          <w:sz w:val="22"/>
          <w:szCs w:val="22"/>
        </w:rPr>
        <w:t xml:space="preserve"> planirano je povećanje</w:t>
      </w:r>
      <w:r w:rsidR="0071410A">
        <w:rPr>
          <w:sz w:val="22"/>
          <w:szCs w:val="22"/>
        </w:rPr>
        <w:t xml:space="preserve"> </w:t>
      </w:r>
      <w:r w:rsidR="002E5BA2">
        <w:rPr>
          <w:sz w:val="22"/>
          <w:szCs w:val="22"/>
        </w:rPr>
        <w:t>materijalnih rashoda</w:t>
      </w:r>
      <w:r w:rsidR="0028778E">
        <w:rPr>
          <w:sz w:val="22"/>
          <w:szCs w:val="22"/>
        </w:rPr>
        <w:t>, ponajviše intelektualnih usluga</w:t>
      </w:r>
      <w:r w:rsidR="003D2FA8" w:rsidRPr="007670A7">
        <w:rPr>
          <w:sz w:val="22"/>
          <w:szCs w:val="22"/>
        </w:rPr>
        <w:t xml:space="preserve"> za </w:t>
      </w:r>
      <w:r w:rsidR="002C2A0D">
        <w:rPr>
          <w:sz w:val="22"/>
          <w:szCs w:val="22"/>
        </w:rPr>
        <w:t>obrazovne programe, a</w:t>
      </w:r>
      <w:r w:rsidR="00A735E1">
        <w:rPr>
          <w:sz w:val="22"/>
          <w:szCs w:val="22"/>
        </w:rPr>
        <w:t xml:space="preserve"> </w:t>
      </w:r>
      <w:r w:rsidR="002C2A0D">
        <w:rPr>
          <w:sz w:val="22"/>
          <w:szCs w:val="22"/>
        </w:rPr>
        <w:t>izvršenje je bilo</w:t>
      </w:r>
      <w:r w:rsidR="00417331" w:rsidRPr="007670A7">
        <w:rPr>
          <w:sz w:val="22"/>
          <w:szCs w:val="22"/>
        </w:rPr>
        <w:t xml:space="preserve"> u iznos</w:t>
      </w:r>
      <w:r w:rsidR="00077C1F" w:rsidRPr="007670A7">
        <w:rPr>
          <w:sz w:val="22"/>
          <w:szCs w:val="22"/>
        </w:rPr>
        <w:t xml:space="preserve">u od </w:t>
      </w:r>
      <w:r w:rsidR="00A735E1">
        <w:rPr>
          <w:sz w:val="22"/>
          <w:szCs w:val="22"/>
        </w:rPr>
        <w:t>81%.</w:t>
      </w:r>
      <w:r w:rsidR="00BF1BA8" w:rsidRPr="007670A7">
        <w:rPr>
          <w:sz w:val="22"/>
          <w:szCs w:val="22"/>
        </w:rPr>
        <w:t xml:space="preserve"> Na financijske rashode utrošeno je </w:t>
      </w:r>
      <w:r w:rsidR="0055734D" w:rsidRPr="007670A7">
        <w:rPr>
          <w:sz w:val="22"/>
          <w:szCs w:val="22"/>
        </w:rPr>
        <w:t>794,</w:t>
      </w:r>
      <w:r w:rsidR="00DE70B2">
        <w:rPr>
          <w:sz w:val="22"/>
          <w:szCs w:val="22"/>
        </w:rPr>
        <w:t>54</w:t>
      </w:r>
      <w:r w:rsidR="0055734D" w:rsidRPr="007670A7">
        <w:rPr>
          <w:sz w:val="22"/>
          <w:szCs w:val="22"/>
        </w:rPr>
        <w:t xml:space="preserve"> €</w:t>
      </w:r>
      <w:r w:rsidR="00BA20B3" w:rsidRPr="007670A7">
        <w:rPr>
          <w:sz w:val="22"/>
          <w:szCs w:val="22"/>
        </w:rPr>
        <w:t xml:space="preserve">, a </w:t>
      </w:r>
      <w:r w:rsidR="00904B45" w:rsidRPr="007670A7">
        <w:rPr>
          <w:sz w:val="22"/>
          <w:szCs w:val="22"/>
        </w:rPr>
        <w:t>odnose se na</w:t>
      </w:r>
      <w:r w:rsidR="007C76E1" w:rsidRPr="007670A7">
        <w:rPr>
          <w:sz w:val="22"/>
          <w:szCs w:val="22"/>
        </w:rPr>
        <w:t xml:space="preserve"> bankarske usluge</w:t>
      </w:r>
      <w:r w:rsidR="00904B45" w:rsidRPr="007670A7">
        <w:rPr>
          <w:sz w:val="22"/>
          <w:szCs w:val="22"/>
        </w:rPr>
        <w:t>. Z</w:t>
      </w:r>
      <w:r w:rsidR="009362E2" w:rsidRPr="007670A7">
        <w:rPr>
          <w:sz w:val="22"/>
          <w:szCs w:val="22"/>
        </w:rPr>
        <w:t xml:space="preserve">a </w:t>
      </w:r>
      <w:r w:rsidR="00B013DC" w:rsidRPr="007670A7">
        <w:rPr>
          <w:sz w:val="22"/>
          <w:szCs w:val="22"/>
        </w:rPr>
        <w:t>nabavu dugotrajne imovine</w:t>
      </w:r>
      <w:r w:rsidR="0000010B" w:rsidRPr="007670A7">
        <w:rPr>
          <w:sz w:val="22"/>
          <w:szCs w:val="22"/>
        </w:rPr>
        <w:t xml:space="preserve"> koristila su se isključivo vlastita sredstva</w:t>
      </w:r>
      <w:r w:rsidR="007670A7" w:rsidRPr="007670A7">
        <w:rPr>
          <w:sz w:val="22"/>
          <w:szCs w:val="22"/>
        </w:rPr>
        <w:t xml:space="preserve"> za kupnju uredskog namještaja i novih računala za obnovu informatičke učionice</w:t>
      </w:r>
      <w:r w:rsidR="0000010B" w:rsidRPr="007670A7">
        <w:rPr>
          <w:sz w:val="22"/>
          <w:szCs w:val="22"/>
        </w:rPr>
        <w:t>,</w:t>
      </w:r>
      <w:r w:rsidR="007670A7" w:rsidRPr="007670A7">
        <w:rPr>
          <w:sz w:val="22"/>
          <w:szCs w:val="22"/>
        </w:rPr>
        <w:t xml:space="preserve"> </w:t>
      </w:r>
      <w:r w:rsidR="0000010B" w:rsidRPr="007670A7">
        <w:rPr>
          <w:sz w:val="22"/>
          <w:szCs w:val="22"/>
        </w:rPr>
        <w:t>a</w:t>
      </w:r>
      <w:r w:rsidR="00E25731" w:rsidRPr="007670A7">
        <w:rPr>
          <w:sz w:val="22"/>
          <w:szCs w:val="22"/>
        </w:rPr>
        <w:t xml:space="preserve"> </w:t>
      </w:r>
      <w:r w:rsidR="00904B45" w:rsidRPr="007670A7">
        <w:rPr>
          <w:sz w:val="22"/>
          <w:szCs w:val="22"/>
        </w:rPr>
        <w:t xml:space="preserve">realizacija iznosi </w:t>
      </w:r>
      <w:r w:rsidR="00D464D6">
        <w:rPr>
          <w:sz w:val="22"/>
          <w:szCs w:val="22"/>
        </w:rPr>
        <w:t>20.618,30</w:t>
      </w:r>
      <w:r w:rsidR="00BA20B3" w:rsidRPr="007670A7">
        <w:rPr>
          <w:sz w:val="22"/>
          <w:szCs w:val="22"/>
        </w:rPr>
        <w:t xml:space="preserve"> €</w:t>
      </w:r>
      <w:r w:rsidR="00D464D6">
        <w:rPr>
          <w:sz w:val="22"/>
          <w:szCs w:val="22"/>
        </w:rPr>
        <w:t xml:space="preserve"> što je 89% od planiranog</w:t>
      </w:r>
      <w:r w:rsidR="00D464D6" w:rsidRPr="007670A7">
        <w:rPr>
          <w:sz w:val="22"/>
          <w:szCs w:val="22"/>
        </w:rPr>
        <w:t xml:space="preserve">. </w:t>
      </w:r>
      <w:r w:rsidR="00A735E1">
        <w:rPr>
          <w:sz w:val="22"/>
          <w:szCs w:val="22"/>
        </w:rPr>
        <w:t>U</w:t>
      </w:r>
      <w:r w:rsidR="00DD2626">
        <w:rPr>
          <w:sz w:val="22"/>
          <w:szCs w:val="22"/>
        </w:rPr>
        <w:t xml:space="preserve"> ovoj aktivnosti planirali smo i prihod iz općeg proračuna </w:t>
      </w:r>
      <w:r w:rsidR="008805A3">
        <w:rPr>
          <w:sz w:val="22"/>
          <w:szCs w:val="22"/>
        </w:rPr>
        <w:t>koji smo utrošili na Tjedan cjeloživotnog učenja u prosincu 2024.</w:t>
      </w:r>
      <w:r w:rsidR="00C8695D" w:rsidRPr="007670A7">
        <w:rPr>
          <w:sz w:val="22"/>
          <w:szCs w:val="22"/>
        </w:rPr>
        <w:t xml:space="preserve"> </w:t>
      </w:r>
    </w:p>
    <w:p w14:paraId="6E6428CC" w14:textId="77777777" w:rsidR="00AA36B0" w:rsidRPr="00BE4EA7" w:rsidRDefault="00AA36B0" w:rsidP="00BB067B">
      <w:pPr>
        <w:spacing w:line="276" w:lineRule="auto"/>
        <w:jc w:val="both"/>
        <w:rPr>
          <w:b/>
          <w:color w:val="FF0000"/>
          <w:sz w:val="22"/>
          <w:szCs w:val="22"/>
        </w:rPr>
      </w:pPr>
    </w:p>
    <w:p w14:paraId="5FA798F0" w14:textId="77777777" w:rsidR="00803E66" w:rsidRDefault="00803E66" w:rsidP="00BB067B">
      <w:pPr>
        <w:spacing w:line="276" w:lineRule="auto"/>
        <w:jc w:val="both"/>
        <w:rPr>
          <w:b/>
          <w:color w:val="FF0000"/>
          <w:sz w:val="22"/>
          <w:szCs w:val="22"/>
        </w:rPr>
      </w:pPr>
    </w:p>
    <w:p w14:paraId="78E3201C" w14:textId="77777777" w:rsidR="00803E66" w:rsidRPr="00BE4EA7" w:rsidRDefault="00803E66" w:rsidP="00BB067B">
      <w:pPr>
        <w:spacing w:line="276" w:lineRule="auto"/>
        <w:jc w:val="both"/>
        <w:rPr>
          <w:b/>
          <w:color w:val="FF0000"/>
          <w:sz w:val="22"/>
          <w:szCs w:val="22"/>
        </w:rPr>
      </w:pPr>
    </w:p>
    <w:p w14:paraId="7DEDF729" w14:textId="77777777" w:rsidR="00703B8E" w:rsidRPr="00703B8E" w:rsidRDefault="00703B8E" w:rsidP="00703B8E">
      <w:pPr>
        <w:jc w:val="both"/>
        <w:rPr>
          <w:b/>
          <w:noProof/>
          <w:sz w:val="22"/>
          <w:szCs w:val="22"/>
        </w:rPr>
      </w:pPr>
      <w:r w:rsidRPr="00703B8E">
        <w:rPr>
          <w:b/>
          <w:noProof/>
          <w:sz w:val="22"/>
          <w:szCs w:val="22"/>
        </w:rPr>
        <w:t>A300412 ESCAPE TO HAPPINESS - izvor financiranja: EU</w:t>
      </w:r>
    </w:p>
    <w:p w14:paraId="2D2FEB43" w14:textId="0272FE88" w:rsidR="00703B8E" w:rsidRPr="00703B8E" w:rsidRDefault="00703B8E" w:rsidP="00703B8E">
      <w:pPr>
        <w:spacing w:line="276" w:lineRule="auto"/>
        <w:jc w:val="both"/>
        <w:rPr>
          <w:noProof/>
          <w:sz w:val="22"/>
          <w:szCs w:val="22"/>
        </w:rPr>
      </w:pPr>
      <w:r w:rsidRPr="00703B8E">
        <w:rPr>
          <w:noProof/>
          <w:sz w:val="22"/>
          <w:szCs w:val="22"/>
        </w:rPr>
        <w:t xml:space="preserve">U </w:t>
      </w:r>
      <w:r w:rsidRPr="00803E66">
        <w:rPr>
          <w:noProof/>
          <w:sz w:val="22"/>
          <w:szCs w:val="22"/>
        </w:rPr>
        <w:t>202</w:t>
      </w:r>
      <w:r w:rsidR="00D24795" w:rsidRPr="00803E66">
        <w:rPr>
          <w:noProof/>
          <w:sz w:val="22"/>
          <w:szCs w:val="22"/>
        </w:rPr>
        <w:t>4</w:t>
      </w:r>
      <w:r w:rsidRPr="00803E66">
        <w:rPr>
          <w:noProof/>
          <w:sz w:val="22"/>
          <w:szCs w:val="22"/>
        </w:rPr>
        <w:t>.</w:t>
      </w:r>
      <w:r w:rsidRPr="00703B8E">
        <w:rPr>
          <w:noProof/>
          <w:sz w:val="22"/>
          <w:szCs w:val="22"/>
        </w:rPr>
        <w:t xml:space="preserve"> godini planira</w:t>
      </w:r>
      <w:r w:rsidR="000A28E1">
        <w:rPr>
          <w:noProof/>
          <w:sz w:val="22"/>
          <w:szCs w:val="22"/>
        </w:rPr>
        <w:t>ne su bile</w:t>
      </w:r>
      <w:r w:rsidRPr="00703B8E">
        <w:rPr>
          <w:noProof/>
          <w:sz w:val="22"/>
          <w:szCs w:val="22"/>
        </w:rPr>
        <w:t xml:space="preserve"> aktivnosti u projektu „Escape to happiness“. Nositelj projekta je Zasavska ljudska univerza, POU Koprivnica je partner. Projekt se provodi od 31.12.2022. do 30.</w:t>
      </w:r>
      <w:r w:rsidR="002A0833" w:rsidRPr="00803E66">
        <w:rPr>
          <w:noProof/>
          <w:sz w:val="22"/>
          <w:szCs w:val="22"/>
        </w:rPr>
        <w:t>4.2025.</w:t>
      </w:r>
      <w:r w:rsidRPr="00803E66">
        <w:rPr>
          <w:noProof/>
          <w:sz w:val="22"/>
          <w:szCs w:val="22"/>
        </w:rPr>
        <w:t>,</w:t>
      </w:r>
      <w:r w:rsidRPr="00703B8E">
        <w:rPr>
          <w:noProof/>
          <w:sz w:val="22"/>
          <w:szCs w:val="22"/>
        </w:rPr>
        <w:t xml:space="preserve"> a svrha mu je razviti inovativne koncepte i metode obrazovanja za odrasle</w:t>
      </w:r>
      <w:r w:rsidR="002F2346">
        <w:rPr>
          <w:noProof/>
          <w:sz w:val="22"/>
          <w:szCs w:val="22"/>
        </w:rPr>
        <w:t xml:space="preserve">. </w:t>
      </w:r>
      <w:r w:rsidRPr="00703B8E">
        <w:rPr>
          <w:noProof/>
          <w:sz w:val="22"/>
          <w:szCs w:val="22"/>
        </w:rPr>
        <w:t xml:space="preserve">Planirana </w:t>
      </w:r>
      <w:r w:rsidR="000A28E1">
        <w:rPr>
          <w:noProof/>
          <w:sz w:val="22"/>
          <w:szCs w:val="22"/>
        </w:rPr>
        <w:t xml:space="preserve">su </w:t>
      </w:r>
      <w:r w:rsidRPr="00703B8E">
        <w:rPr>
          <w:noProof/>
          <w:sz w:val="22"/>
          <w:szCs w:val="22"/>
        </w:rPr>
        <w:t xml:space="preserve">sredstava u iznosu od </w:t>
      </w:r>
      <w:r w:rsidR="00682F61" w:rsidRPr="00803E66">
        <w:rPr>
          <w:noProof/>
          <w:sz w:val="22"/>
          <w:szCs w:val="22"/>
        </w:rPr>
        <w:t>14.405</w:t>
      </w:r>
      <w:r w:rsidR="00B10442">
        <w:rPr>
          <w:noProof/>
          <w:sz w:val="22"/>
          <w:szCs w:val="22"/>
        </w:rPr>
        <w:t>,00</w:t>
      </w:r>
      <w:r w:rsidRPr="00703B8E">
        <w:rPr>
          <w:noProof/>
          <w:sz w:val="22"/>
          <w:szCs w:val="22"/>
        </w:rPr>
        <w:t xml:space="preserve"> </w:t>
      </w:r>
      <w:bookmarkStart w:id="14" w:name="_Hlk150947162"/>
      <w:r w:rsidRPr="00703B8E">
        <w:rPr>
          <w:noProof/>
          <w:sz w:val="22"/>
          <w:szCs w:val="22"/>
        </w:rPr>
        <w:t>€</w:t>
      </w:r>
      <w:bookmarkEnd w:id="14"/>
      <w:r w:rsidR="00B10442">
        <w:rPr>
          <w:noProof/>
          <w:sz w:val="22"/>
          <w:szCs w:val="22"/>
        </w:rPr>
        <w:t xml:space="preserve">, realizirano je </w:t>
      </w:r>
      <w:r w:rsidR="00682F61" w:rsidRPr="00803E66">
        <w:rPr>
          <w:noProof/>
          <w:sz w:val="22"/>
          <w:szCs w:val="22"/>
        </w:rPr>
        <w:t>14.402,98</w:t>
      </w:r>
      <w:r w:rsidR="001556A9">
        <w:rPr>
          <w:noProof/>
          <w:sz w:val="22"/>
          <w:szCs w:val="22"/>
        </w:rPr>
        <w:t xml:space="preserve"> €</w:t>
      </w:r>
      <w:r w:rsidR="00ED4F7D">
        <w:rPr>
          <w:noProof/>
          <w:sz w:val="22"/>
          <w:szCs w:val="22"/>
        </w:rPr>
        <w:t xml:space="preserve"> što je </w:t>
      </w:r>
      <w:r w:rsidR="00682F61" w:rsidRPr="00803E66">
        <w:rPr>
          <w:noProof/>
          <w:sz w:val="22"/>
          <w:szCs w:val="22"/>
        </w:rPr>
        <w:t>100</w:t>
      </w:r>
      <w:r w:rsidR="00ED4F7D">
        <w:rPr>
          <w:noProof/>
          <w:sz w:val="22"/>
          <w:szCs w:val="22"/>
        </w:rPr>
        <w:t xml:space="preserve"> % od planiranog</w:t>
      </w:r>
      <w:r w:rsidR="001556A9">
        <w:rPr>
          <w:noProof/>
          <w:sz w:val="22"/>
          <w:szCs w:val="22"/>
        </w:rPr>
        <w:t xml:space="preserve">. Realizirani troškovi </w:t>
      </w:r>
      <w:r w:rsidR="00ED4F7D">
        <w:rPr>
          <w:noProof/>
          <w:sz w:val="22"/>
          <w:szCs w:val="22"/>
        </w:rPr>
        <w:t xml:space="preserve">odnose se na </w:t>
      </w:r>
      <w:r w:rsidR="001556A9">
        <w:rPr>
          <w:noProof/>
          <w:sz w:val="22"/>
          <w:szCs w:val="22"/>
        </w:rPr>
        <w:t xml:space="preserve">plaće, </w:t>
      </w:r>
      <w:r w:rsidR="00E9756E" w:rsidRPr="00803E66">
        <w:rPr>
          <w:noProof/>
          <w:sz w:val="22"/>
          <w:szCs w:val="22"/>
        </w:rPr>
        <w:t>materijane rashode</w:t>
      </w:r>
      <w:r w:rsidR="00253C25">
        <w:rPr>
          <w:noProof/>
          <w:sz w:val="22"/>
          <w:szCs w:val="22"/>
        </w:rPr>
        <w:t xml:space="preserve"> i nabavu računala. </w:t>
      </w:r>
    </w:p>
    <w:p w14:paraId="29DEB040" w14:textId="77777777" w:rsidR="00BE625D" w:rsidRPr="00BE4EA7" w:rsidRDefault="00BE625D" w:rsidP="00BB067B">
      <w:pPr>
        <w:spacing w:line="276" w:lineRule="auto"/>
        <w:jc w:val="both"/>
        <w:rPr>
          <w:b/>
          <w:color w:val="FF0000"/>
          <w:sz w:val="22"/>
          <w:szCs w:val="22"/>
        </w:rPr>
      </w:pPr>
    </w:p>
    <w:p w14:paraId="6C58AFC0" w14:textId="2272E3D4" w:rsidR="0086333F" w:rsidRPr="00722DE6" w:rsidRDefault="006C4D05" w:rsidP="00BB067B">
      <w:pPr>
        <w:spacing w:line="276" w:lineRule="auto"/>
        <w:jc w:val="both"/>
        <w:rPr>
          <w:b/>
          <w:sz w:val="22"/>
          <w:szCs w:val="22"/>
        </w:rPr>
      </w:pPr>
      <w:r w:rsidRPr="00722DE6">
        <w:rPr>
          <w:b/>
          <w:sz w:val="22"/>
          <w:szCs w:val="22"/>
        </w:rPr>
        <w:t>A300801</w:t>
      </w:r>
      <w:r w:rsidR="0019543A" w:rsidRPr="00722DE6">
        <w:rPr>
          <w:b/>
          <w:sz w:val="22"/>
          <w:szCs w:val="22"/>
        </w:rPr>
        <w:t xml:space="preserve"> </w:t>
      </w:r>
      <w:r w:rsidRPr="00722DE6">
        <w:rPr>
          <w:b/>
          <w:sz w:val="22"/>
          <w:szCs w:val="22"/>
        </w:rPr>
        <w:t>Glazbeno–scenska djelatnost</w:t>
      </w:r>
      <w:r w:rsidR="00125720" w:rsidRPr="00722DE6">
        <w:rPr>
          <w:b/>
          <w:sz w:val="22"/>
          <w:szCs w:val="22"/>
        </w:rPr>
        <w:t xml:space="preserve"> </w:t>
      </w:r>
      <w:r w:rsidR="00DD2186" w:rsidRPr="00722DE6">
        <w:rPr>
          <w:b/>
          <w:sz w:val="22"/>
          <w:szCs w:val="22"/>
        </w:rPr>
        <w:t>-</w:t>
      </w:r>
      <w:r w:rsidR="00125720" w:rsidRPr="00722DE6">
        <w:rPr>
          <w:b/>
          <w:sz w:val="22"/>
          <w:szCs w:val="22"/>
        </w:rPr>
        <w:t xml:space="preserve"> </w:t>
      </w:r>
      <w:r w:rsidR="00DD2186" w:rsidRPr="00722DE6">
        <w:rPr>
          <w:b/>
          <w:sz w:val="22"/>
          <w:szCs w:val="22"/>
        </w:rPr>
        <w:t>izvor financiranja</w:t>
      </w:r>
      <w:r w:rsidR="0086333F" w:rsidRPr="00722DE6">
        <w:rPr>
          <w:b/>
          <w:sz w:val="22"/>
          <w:szCs w:val="22"/>
        </w:rPr>
        <w:t>:</w:t>
      </w:r>
      <w:r w:rsidR="00DD2186" w:rsidRPr="00722DE6">
        <w:rPr>
          <w:b/>
          <w:sz w:val="22"/>
          <w:szCs w:val="22"/>
        </w:rPr>
        <w:t xml:space="preserve"> opći prihodi i primici</w:t>
      </w:r>
      <w:r w:rsidR="002D6B12" w:rsidRPr="00722DE6">
        <w:rPr>
          <w:b/>
          <w:sz w:val="22"/>
          <w:szCs w:val="22"/>
        </w:rPr>
        <w:t>/1</w:t>
      </w:r>
      <w:r w:rsidR="00F111E9" w:rsidRPr="00722DE6">
        <w:rPr>
          <w:b/>
          <w:sz w:val="22"/>
          <w:szCs w:val="22"/>
        </w:rPr>
        <w:t>, prihodi  za posebne namjene/35</w:t>
      </w:r>
      <w:r w:rsidR="0004587D" w:rsidRPr="00722DE6">
        <w:rPr>
          <w:b/>
          <w:sz w:val="22"/>
          <w:szCs w:val="22"/>
        </w:rPr>
        <w:t xml:space="preserve">, prihodi od nefinancijske imovine/61 </w:t>
      </w:r>
      <w:r w:rsidR="00F111E9" w:rsidRPr="00722DE6">
        <w:rPr>
          <w:b/>
          <w:sz w:val="22"/>
          <w:szCs w:val="22"/>
        </w:rPr>
        <w:t xml:space="preserve">i </w:t>
      </w:r>
      <w:r w:rsidR="00125720" w:rsidRPr="00722DE6">
        <w:rPr>
          <w:b/>
          <w:sz w:val="22"/>
          <w:szCs w:val="22"/>
        </w:rPr>
        <w:t>pomoć</w:t>
      </w:r>
      <w:r w:rsidR="00B356E1" w:rsidRPr="00722DE6">
        <w:rPr>
          <w:b/>
          <w:sz w:val="22"/>
          <w:szCs w:val="22"/>
        </w:rPr>
        <w:t>i unutar proračuna/42</w:t>
      </w:r>
    </w:p>
    <w:p w14:paraId="7F0584CA" w14:textId="4F7CF1F8" w:rsidR="002A6413" w:rsidRPr="00722DE6" w:rsidRDefault="0019543A" w:rsidP="00BB067B">
      <w:pPr>
        <w:tabs>
          <w:tab w:val="left" w:pos="4080"/>
        </w:tabs>
        <w:spacing w:line="276" w:lineRule="auto"/>
        <w:jc w:val="both"/>
        <w:rPr>
          <w:sz w:val="22"/>
          <w:szCs w:val="22"/>
          <w:lang w:eastAsia="hr-HR"/>
        </w:rPr>
      </w:pPr>
      <w:r w:rsidRPr="00722DE6">
        <w:rPr>
          <w:sz w:val="22"/>
          <w:szCs w:val="22"/>
        </w:rPr>
        <w:t xml:space="preserve">Za financiranje </w:t>
      </w:r>
      <w:r w:rsidR="0086333F" w:rsidRPr="00722DE6">
        <w:rPr>
          <w:sz w:val="22"/>
          <w:szCs w:val="22"/>
        </w:rPr>
        <w:t>glazbeno</w:t>
      </w:r>
      <w:r w:rsidR="001538B4" w:rsidRPr="00722DE6">
        <w:rPr>
          <w:sz w:val="22"/>
          <w:szCs w:val="22"/>
        </w:rPr>
        <w:t>-</w:t>
      </w:r>
      <w:r w:rsidR="0086333F" w:rsidRPr="00722DE6">
        <w:rPr>
          <w:sz w:val="22"/>
          <w:szCs w:val="22"/>
        </w:rPr>
        <w:t>scenske</w:t>
      </w:r>
      <w:r w:rsidRPr="00722DE6">
        <w:rPr>
          <w:sz w:val="22"/>
          <w:szCs w:val="22"/>
        </w:rPr>
        <w:t xml:space="preserve"> djelatnosti</w:t>
      </w:r>
      <w:r w:rsidR="002123FA" w:rsidRPr="00722DE6">
        <w:rPr>
          <w:sz w:val="22"/>
          <w:szCs w:val="22"/>
        </w:rPr>
        <w:t xml:space="preserve"> u</w:t>
      </w:r>
      <w:r w:rsidRPr="00722DE6">
        <w:rPr>
          <w:sz w:val="22"/>
          <w:szCs w:val="22"/>
        </w:rPr>
        <w:t xml:space="preserve"> </w:t>
      </w:r>
      <w:r w:rsidR="005E35A9" w:rsidRPr="00722DE6">
        <w:rPr>
          <w:sz w:val="22"/>
          <w:szCs w:val="22"/>
        </w:rPr>
        <w:t>Učilištu</w:t>
      </w:r>
      <w:r w:rsidR="00504D20" w:rsidRPr="00722DE6">
        <w:rPr>
          <w:sz w:val="22"/>
          <w:szCs w:val="22"/>
        </w:rPr>
        <w:t xml:space="preserve"> planiran je iznos od </w:t>
      </w:r>
      <w:r w:rsidR="00B93D46" w:rsidRPr="00803E66">
        <w:rPr>
          <w:sz w:val="22"/>
          <w:szCs w:val="22"/>
        </w:rPr>
        <w:t>364.652</w:t>
      </w:r>
      <w:r w:rsidR="00D54715" w:rsidRPr="00722DE6">
        <w:rPr>
          <w:sz w:val="22"/>
          <w:szCs w:val="22"/>
        </w:rPr>
        <w:t>,00 €</w:t>
      </w:r>
      <w:r w:rsidRPr="00722DE6">
        <w:rPr>
          <w:sz w:val="22"/>
          <w:szCs w:val="22"/>
        </w:rPr>
        <w:t>, a</w:t>
      </w:r>
      <w:r w:rsidR="00B356E1" w:rsidRPr="00722DE6">
        <w:rPr>
          <w:sz w:val="22"/>
          <w:szCs w:val="22"/>
        </w:rPr>
        <w:t xml:space="preserve"> realiziran</w:t>
      </w:r>
      <w:r w:rsidR="000A28E1">
        <w:rPr>
          <w:sz w:val="22"/>
          <w:szCs w:val="22"/>
        </w:rPr>
        <w:t>o</w:t>
      </w:r>
      <w:r w:rsidR="00B356E1" w:rsidRPr="00722DE6">
        <w:rPr>
          <w:sz w:val="22"/>
          <w:szCs w:val="22"/>
        </w:rPr>
        <w:t xml:space="preserve"> je </w:t>
      </w:r>
      <w:r w:rsidR="00B93D46" w:rsidRPr="00803E66">
        <w:rPr>
          <w:sz w:val="22"/>
          <w:szCs w:val="22"/>
        </w:rPr>
        <w:t>364.214,75</w:t>
      </w:r>
      <w:r w:rsidR="004E5338" w:rsidRPr="00722DE6">
        <w:rPr>
          <w:sz w:val="22"/>
          <w:szCs w:val="22"/>
        </w:rPr>
        <w:t xml:space="preserve"> €</w:t>
      </w:r>
      <w:r w:rsidR="009855A1" w:rsidRPr="00722DE6">
        <w:rPr>
          <w:sz w:val="22"/>
          <w:szCs w:val="22"/>
        </w:rPr>
        <w:t>,</w:t>
      </w:r>
      <w:r w:rsidR="00C96EE5" w:rsidRPr="00722DE6">
        <w:rPr>
          <w:sz w:val="22"/>
          <w:szCs w:val="22"/>
        </w:rPr>
        <w:t xml:space="preserve"> što je </w:t>
      </w:r>
      <w:r w:rsidR="00B93D46" w:rsidRPr="00803E66">
        <w:rPr>
          <w:sz w:val="22"/>
          <w:szCs w:val="22"/>
        </w:rPr>
        <w:t>100</w:t>
      </w:r>
      <w:r w:rsidR="00C96EE5" w:rsidRPr="00722DE6">
        <w:rPr>
          <w:sz w:val="22"/>
          <w:szCs w:val="22"/>
        </w:rPr>
        <w:t>% od ukupno planiranog.</w:t>
      </w:r>
      <w:r w:rsidRPr="00722DE6">
        <w:rPr>
          <w:sz w:val="22"/>
          <w:szCs w:val="22"/>
        </w:rPr>
        <w:t xml:space="preserve"> </w:t>
      </w:r>
      <w:r w:rsidR="003E5521" w:rsidRPr="00722DE6">
        <w:rPr>
          <w:sz w:val="22"/>
          <w:szCs w:val="22"/>
        </w:rPr>
        <w:t>I</w:t>
      </w:r>
      <w:r w:rsidRPr="00722DE6">
        <w:rPr>
          <w:sz w:val="22"/>
          <w:szCs w:val="22"/>
        </w:rPr>
        <w:t xml:space="preserve">sti se odnosi na osiguranje sredstava za </w:t>
      </w:r>
      <w:r w:rsidR="00D9237B" w:rsidRPr="00803E66">
        <w:rPr>
          <w:sz w:val="22"/>
          <w:szCs w:val="22"/>
        </w:rPr>
        <w:t>rashode zaposleni</w:t>
      </w:r>
      <w:r w:rsidR="005129E0" w:rsidRPr="00803E66">
        <w:rPr>
          <w:sz w:val="22"/>
          <w:szCs w:val="22"/>
        </w:rPr>
        <w:t>h</w:t>
      </w:r>
      <w:r w:rsidRPr="00722DE6">
        <w:rPr>
          <w:sz w:val="22"/>
          <w:szCs w:val="22"/>
        </w:rPr>
        <w:t xml:space="preserve"> temeljem Kolektivnog ugovora za zaposlene u </w:t>
      </w:r>
      <w:r w:rsidR="001538B4" w:rsidRPr="00722DE6">
        <w:rPr>
          <w:sz w:val="22"/>
          <w:szCs w:val="22"/>
        </w:rPr>
        <w:t>ustanovama kulture</w:t>
      </w:r>
      <w:r w:rsidRPr="00722DE6">
        <w:rPr>
          <w:sz w:val="22"/>
          <w:szCs w:val="22"/>
        </w:rPr>
        <w:t xml:space="preserve"> Grada Koprivnice</w:t>
      </w:r>
      <w:r w:rsidR="006C4D05" w:rsidRPr="00722DE6">
        <w:rPr>
          <w:sz w:val="22"/>
          <w:szCs w:val="22"/>
        </w:rPr>
        <w:t xml:space="preserve"> za </w:t>
      </w:r>
      <w:r w:rsidR="00AA114C" w:rsidRPr="00722DE6">
        <w:rPr>
          <w:sz w:val="22"/>
          <w:szCs w:val="22"/>
        </w:rPr>
        <w:t>1</w:t>
      </w:r>
      <w:r w:rsidR="0016072F" w:rsidRPr="00722DE6">
        <w:rPr>
          <w:sz w:val="22"/>
          <w:szCs w:val="22"/>
        </w:rPr>
        <w:t>6</w:t>
      </w:r>
      <w:r w:rsidRPr="00722DE6">
        <w:rPr>
          <w:sz w:val="22"/>
          <w:szCs w:val="22"/>
        </w:rPr>
        <w:t xml:space="preserve"> radnika</w:t>
      </w:r>
      <w:r w:rsidR="006C4D05" w:rsidRPr="00722DE6">
        <w:rPr>
          <w:sz w:val="22"/>
          <w:szCs w:val="22"/>
        </w:rPr>
        <w:t xml:space="preserve"> </w:t>
      </w:r>
      <w:r w:rsidR="005B13AD" w:rsidRPr="00803E66">
        <w:rPr>
          <w:sz w:val="22"/>
          <w:szCs w:val="22"/>
        </w:rPr>
        <w:t xml:space="preserve">iz </w:t>
      </w:r>
      <w:bookmarkStart w:id="15" w:name="_Hlk192673724"/>
      <w:r w:rsidR="005B13AD" w:rsidRPr="00803E66">
        <w:rPr>
          <w:sz w:val="22"/>
          <w:szCs w:val="22"/>
        </w:rPr>
        <w:t>općih prihoda i primitaka</w:t>
      </w:r>
      <w:r w:rsidR="006C4D05" w:rsidRPr="00803E66">
        <w:rPr>
          <w:sz w:val="22"/>
          <w:szCs w:val="22"/>
        </w:rPr>
        <w:t xml:space="preserve"> </w:t>
      </w:r>
      <w:bookmarkEnd w:id="15"/>
      <w:r w:rsidR="00E91A4F" w:rsidRPr="00722DE6">
        <w:rPr>
          <w:sz w:val="22"/>
          <w:szCs w:val="22"/>
        </w:rPr>
        <w:t xml:space="preserve">gdje je realizirano </w:t>
      </w:r>
      <w:r w:rsidR="00995DE7" w:rsidRPr="00803E66">
        <w:rPr>
          <w:sz w:val="22"/>
          <w:szCs w:val="22"/>
        </w:rPr>
        <w:t>100</w:t>
      </w:r>
      <w:r w:rsidR="00E91A4F" w:rsidRPr="00722DE6">
        <w:rPr>
          <w:sz w:val="22"/>
          <w:szCs w:val="22"/>
        </w:rPr>
        <w:t xml:space="preserve">% </w:t>
      </w:r>
      <w:r w:rsidR="005E24C2" w:rsidRPr="00722DE6">
        <w:rPr>
          <w:sz w:val="22"/>
          <w:szCs w:val="22"/>
        </w:rPr>
        <w:t>u odnosu na planirano</w:t>
      </w:r>
      <w:r w:rsidR="005E4E8E" w:rsidRPr="00722DE6">
        <w:rPr>
          <w:sz w:val="22"/>
          <w:szCs w:val="22"/>
        </w:rPr>
        <w:t xml:space="preserve">. </w:t>
      </w:r>
      <w:r w:rsidRPr="00722DE6">
        <w:rPr>
          <w:sz w:val="22"/>
          <w:szCs w:val="22"/>
        </w:rPr>
        <w:t>Temeljem ovogodišnjeg utroška planiran</w:t>
      </w:r>
      <w:r w:rsidR="00FF5D89" w:rsidRPr="00722DE6">
        <w:rPr>
          <w:sz w:val="22"/>
          <w:szCs w:val="22"/>
        </w:rPr>
        <w:t>i su</w:t>
      </w:r>
      <w:r w:rsidRPr="00722DE6">
        <w:rPr>
          <w:sz w:val="22"/>
          <w:szCs w:val="22"/>
        </w:rPr>
        <w:t xml:space="preserve"> i </w:t>
      </w:r>
      <w:r w:rsidR="00FF5D89" w:rsidRPr="00722DE6">
        <w:rPr>
          <w:sz w:val="22"/>
          <w:szCs w:val="22"/>
        </w:rPr>
        <w:t>materijalni rashodi koji se odnose</w:t>
      </w:r>
      <w:r w:rsidR="00040704" w:rsidRPr="00722DE6">
        <w:rPr>
          <w:sz w:val="22"/>
          <w:szCs w:val="22"/>
        </w:rPr>
        <w:t xml:space="preserve"> na</w:t>
      </w:r>
      <w:r w:rsidR="00FF5D89" w:rsidRPr="00722DE6">
        <w:rPr>
          <w:sz w:val="22"/>
          <w:szCs w:val="22"/>
        </w:rPr>
        <w:t xml:space="preserve"> rashode za materijal i energiju</w:t>
      </w:r>
      <w:r w:rsidR="009855A1" w:rsidRPr="00722DE6">
        <w:rPr>
          <w:sz w:val="22"/>
          <w:szCs w:val="22"/>
        </w:rPr>
        <w:t xml:space="preserve"> </w:t>
      </w:r>
      <w:r w:rsidR="0012489A">
        <w:rPr>
          <w:sz w:val="22"/>
          <w:szCs w:val="22"/>
        </w:rPr>
        <w:t>te</w:t>
      </w:r>
      <w:r w:rsidR="000E0309" w:rsidRPr="00722DE6">
        <w:rPr>
          <w:sz w:val="22"/>
          <w:szCs w:val="22"/>
        </w:rPr>
        <w:t xml:space="preserve"> </w:t>
      </w:r>
      <w:r w:rsidR="00FF5D89" w:rsidRPr="00722DE6">
        <w:rPr>
          <w:sz w:val="22"/>
          <w:szCs w:val="22"/>
        </w:rPr>
        <w:t>rashod</w:t>
      </w:r>
      <w:r w:rsidR="00B01C54" w:rsidRPr="00722DE6">
        <w:rPr>
          <w:sz w:val="22"/>
          <w:szCs w:val="22"/>
        </w:rPr>
        <w:t>i</w:t>
      </w:r>
      <w:r w:rsidR="00FF5D89" w:rsidRPr="00722DE6">
        <w:rPr>
          <w:sz w:val="22"/>
          <w:szCs w:val="22"/>
        </w:rPr>
        <w:t xml:space="preserve"> za</w:t>
      </w:r>
      <w:r w:rsidR="00040704" w:rsidRPr="00722DE6">
        <w:rPr>
          <w:sz w:val="22"/>
          <w:szCs w:val="22"/>
        </w:rPr>
        <w:t xml:space="preserve"> </w:t>
      </w:r>
      <w:r w:rsidR="001538B4" w:rsidRPr="00722DE6">
        <w:rPr>
          <w:sz w:val="22"/>
          <w:szCs w:val="22"/>
        </w:rPr>
        <w:t>usluge</w:t>
      </w:r>
      <w:r w:rsidR="00C405C7">
        <w:rPr>
          <w:sz w:val="22"/>
          <w:szCs w:val="22"/>
        </w:rPr>
        <w:t xml:space="preserve">, a </w:t>
      </w:r>
      <w:r w:rsidR="000E0309" w:rsidRPr="00722DE6">
        <w:rPr>
          <w:sz w:val="22"/>
          <w:szCs w:val="22"/>
        </w:rPr>
        <w:t>realizirani</w:t>
      </w:r>
      <w:r w:rsidR="00C405C7">
        <w:rPr>
          <w:sz w:val="22"/>
          <w:szCs w:val="22"/>
        </w:rPr>
        <w:t xml:space="preserve"> su</w:t>
      </w:r>
      <w:r w:rsidR="000E0309" w:rsidRPr="00722DE6">
        <w:rPr>
          <w:sz w:val="22"/>
          <w:szCs w:val="22"/>
        </w:rPr>
        <w:t xml:space="preserve"> </w:t>
      </w:r>
      <w:r w:rsidR="00EF4EAE">
        <w:rPr>
          <w:sz w:val="22"/>
          <w:szCs w:val="22"/>
        </w:rPr>
        <w:t xml:space="preserve">u iznosu od </w:t>
      </w:r>
      <w:r w:rsidR="000B4482" w:rsidRPr="00803E66">
        <w:rPr>
          <w:sz w:val="22"/>
          <w:szCs w:val="22"/>
        </w:rPr>
        <w:t>100</w:t>
      </w:r>
      <w:r w:rsidR="009C51F1" w:rsidRPr="00722DE6">
        <w:rPr>
          <w:sz w:val="22"/>
          <w:szCs w:val="22"/>
        </w:rPr>
        <w:t>% od planiranog</w:t>
      </w:r>
      <w:r w:rsidR="004D13E1" w:rsidRPr="004D13E1">
        <w:rPr>
          <w:sz w:val="22"/>
          <w:szCs w:val="22"/>
        </w:rPr>
        <w:t xml:space="preserve"> iz općih prihoda i primitaka</w:t>
      </w:r>
      <w:r w:rsidR="009C51F1" w:rsidRPr="00803E66">
        <w:rPr>
          <w:sz w:val="22"/>
          <w:szCs w:val="22"/>
        </w:rPr>
        <w:t>.</w:t>
      </w:r>
      <w:r w:rsidR="00341B17" w:rsidRPr="00803E66">
        <w:rPr>
          <w:sz w:val="22"/>
          <w:szCs w:val="22"/>
        </w:rPr>
        <w:t xml:space="preserve"> </w:t>
      </w:r>
      <w:r w:rsidR="003C133F" w:rsidRPr="00803E66">
        <w:rPr>
          <w:sz w:val="22"/>
          <w:szCs w:val="22"/>
        </w:rPr>
        <w:t xml:space="preserve">Iz izvora komunalne naknade planirani su </w:t>
      </w:r>
      <w:r w:rsidR="008B1697" w:rsidRPr="00803E66">
        <w:rPr>
          <w:sz w:val="22"/>
          <w:szCs w:val="22"/>
        </w:rPr>
        <w:t>troškovi za investicijsko održavanje zgrade Domoljub te su iskorišteni u 100% iznosu.</w:t>
      </w:r>
      <w:r w:rsidR="00724F74" w:rsidRPr="00803E66">
        <w:rPr>
          <w:sz w:val="22"/>
          <w:szCs w:val="22"/>
        </w:rPr>
        <w:t xml:space="preserve"> Planirali smo i rashod </w:t>
      </w:r>
      <w:r w:rsidR="00F029C1" w:rsidRPr="00803E66">
        <w:rPr>
          <w:sz w:val="22"/>
          <w:szCs w:val="22"/>
        </w:rPr>
        <w:t>od pomoći iz  općeg proračuna od strane Ministarstva kulture za održavanje glazbeno scenskog programa</w:t>
      </w:r>
      <w:r w:rsidR="00127EB6">
        <w:rPr>
          <w:sz w:val="22"/>
          <w:szCs w:val="22"/>
        </w:rPr>
        <w:t xml:space="preserve"> koji se izvršio u</w:t>
      </w:r>
      <w:r w:rsidR="00AC1289">
        <w:rPr>
          <w:sz w:val="22"/>
          <w:szCs w:val="22"/>
        </w:rPr>
        <w:t xml:space="preserve"> iznosu od 7.099,99</w:t>
      </w:r>
      <w:r w:rsidR="00B14C82">
        <w:rPr>
          <w:sz w:val="22"/>
          <w:szCs w:val="22"/>
        </w:rPr>
        <w:t xml:space="preserve"> € što je 95% od planiranog.</w:t>
      </w:r>
      <w:r w:rsidR="00F029C1" w:rsidRPr="00803E66">
        <w:rPr>
          <w:sz w:val="22"/>
          <w:szCs w:val="22"/>
        </w:rPr>
        <w:t xml:space="preserve"> </w:t>
      </w:r>
    </w:p>
    <w:p w14:paraId="6065B391" w14:textId="77777777" w:rsidR="00C646DA" w:rsidRPr="00AF7D9A" w:rsidRDefault="00C646DA" w:rsidP="00BB067B">
      <w:pPr>
        <w:tabs>
          <w:tab w:val="left" w:pos="4080"/>
        </w:tabs>
        <w:spacing w:line="276" w:lineRule="auto"/>
        <w:jc w:val="both"/>
        <w:rPr>
          <w:sz w:val="22"/>
          <w:szCs w:val="22"/>
          <w:lang w:eastAsia="hr-HR"/>
        </w:rPr>
      </w:pPr>
    </w:p>
    <w:p w14:paraId="11C4402F" w14:textId="27A3D7CB" w:rsidR="00AB655B" w:rsidRPr="00AF7D9A" w:rsidRDefault="00AB655B" w:rsidP="00BB067B">
      <w:pPr>
        <w:spacing w:line="276" w:lineRule="auto"/>
        <w:jc w:val="both"/>
        <w:rPr>
          <w:b/>
          <w:sz w:val="22"/>
          <w:szCs w:val="22"/>
        </w:rPr>
      </w:pPr>
      <w:r w:rsidRPr="00AF7D9A">
        <w:rPr>
          <w:b/>
          <w:sz w:val="22"/>
          <w:szCs w:val="22"/>
        </w:rPr>
        <w:t>A300802 Filmska djelatnost</w:t>
      </w:r>
      <w:r w:rsidR="001538B4" w:rsidRPr="00AF7D9A">
        <w:rPr>
          <w:b/>
          <w:sz w:val="22"/>
          <w:szCs w:val="22"/>
        </w:rPr>
        <w:t xml:space="preserve"> </w:t>
      </w:r>
      <w:r w:rsidRPr="00AF7D9A">
        <w:rPr>
          <w:b/>
          <w:sz w:val="22"/>
          <w:szCs w:val="22"/>
        </w:rPr>
        <w:t>-</w:t>
      </w:r>
      <w:r w:rsidR="001538B4" w:rsidRPr="00AF7D9A">
        <w:rPr>
          <w:b/>
          <w:sz w:val="22"/>
          <w:szCs w:val="22"/>
        </w:rPr>
        <w:t xml:space="preserve"> </w:t>
      </w:r>
      <w:r w:rsidRPr="00AF7D9A">
        <w:rPr>
          <w:b/>
          <w:sz w:val="22"/>
          <w:szCs w:val="22"/>
        </w:rPr>
        <w:t>izvor</w:t>
      </w:r>
      <w:r w:rsidR="001538B4" w:rsidRPr="00AF7D9A">
        <w:rPr>
          <w:b/>
          <w:sz w:val="22"/>
          <w:szCs w:val="22"/>
        </w:rPr>
        <w:t xml:space="preserve"> financiranja: vlastiti prihodi</w:t>
      </w:r>
      <w:r w:rsidR="002D6B12" w:rsidRPr="00AF7D9A">
        <w:rPr>
          <w:b/>
          <w:sz w:val="22"/>
          <w:szCs w:val="22"/>
        </w:rPr>
        <w:t>/29</w:t>
      </w:r>
      <w:r w:rsidR="00291693" w:rsidRPr="00AF7D9A">
        <w:rPr>
          <w:b/>
          <w:sz w:val="22"/>
          <w:szCs w:val="22"/>
        </w:rPr>
        <w:t>, opći prihodi i primic</w:t>
      </w:r>
      <w:r w:rsidR="00CC55C9" w:rsidRPr="00AF7D9A">
        <w:rPr>
          <w:b/>
          <w:sz w:val="22"/>
          <w:szCs w:val="22"/>
        </w:rPr>
        <w:t>i/1,</w:t>
      </w:r>
      <w:r w:rsidR="0005228E" w:rsidRPr="00AF7D9A">
        <w:rPr>
          <w:b/>
          <w:sz w:val="22"/>
          <w:szCs w:val="22"/>
        </w:rPr>
        <w:t xml:space="preserve"> pomoći unutar proračuna</w:t>
      </w:r>
      <w:r w:rsidR="00CC55C9" w:rsidRPr="00AF7D9A">
        <w:rPr>
          <w:b/>
          <w:sz w:val="22"/>
          <w:szCs w:val="22"/>
        </w:rPr>
        <w:t>42</w:t>
      </w:r>
      <w:r w:rsidR="002A3FE6" w:rsidRPr="00AF7D9A">
        <w:rPr>
          <w:b/>
          <w:sz w:val="22"/>
          <w:szCs w:val="22"/>
        </w:rPr>
        <w:t xml:space="preserve">, </w:t>
      </w:r>
      <w:r w:rsidR="00CC55C9" w:rsidRPr="00AF7D9A">
        <w:rPr>
          <w:b/>
          <w:sz w:val="22"/>
          <w:szCs w:val="22"/>
        </w:rPr>
        <w:t xml:space="preserve">i </w:t>
      </w:r>
      <w:r w:rsidR="000C5867" w:rsidRPr="00AF7D9A">
        <w:rPr>
          <w:b/>
          <w:sz w:val="22"/>
          <w:szCs w:val="22"/>
        </w:rPr>
        <w:t>pomoći iz EU</w:t>
      </w:r>
    </w:p>
    <w:p w14:paraId="473D5A02" w14:textId="7FEC0DCE" w:rsidR="0002315D" w:rsidRPr="00803E66" w:rsidRDefault="004C50CB" w:rsidP="007E11AA">
      <w:pPr>
        <w:tabs>
          <w:tab w:val="left" w:pos="4080"/>
        </w:tabs>
        <w:spacing w:line="276" w:lineRule="auto"/>
        <w:jc w:val="both"/>
        <w:rPr>
          <w:sz w:val="22"/>
          <w:szCs w:val="22"/>
        </w:rPr>
      </w:pPr>
      <w:r w:rsidRPr="00803E66">
        <w:rPr>
          <w:sz w:val="22"/>
          <w:szCs w:val="22"/>
        </w:rPr>
        <w:t>Za financiranje filmske djelatnosti planiran</w:t>
      </w:r>
      <w:r w:rsidR="00BE36D3" w:rsidRPr="00803E66">
        <w:rPr>
          <w:sz w:val="22"/>
          <w:szCs w:val="22"/>
        </w:rPr>
        <w:t xml:space="preserve"> je iznos od </w:t>
      </w:r>
      <w:r w:rsidR="00BD591B" w:rsidRPr="00803E66">
        <w:rPr>
          <w:sz w:val="22"/>
          <w:szCs w:val="22"/>
        </w:rPr>
        <w:t>140.742,00</w:t>
      </w:r>
      <w:r w:rsidR="00223D79" w:rsidRPr="00803E66">
        <w:rPr>
          <w:sz w:val="22"/>
          <w:szCs w:val="22"/>
        </w:rPr>
        <w:t xml:space="preserve"> €</w:t>
      </w:r>
      <w:r w:rsidR="00EB30E3" w:rsidRPr="00803E66">
        <w:rPr>
          <w:sz w:val="22"/>
          <w:szCs w:val="22"/>
        </w:rPr>
        <w:t xml:space="preserve"> za zg</w:t>
      </w:r>
      <w:r w:rsidRPr="00803E66">
        <w:rPr>
          <w:sz w:val="22"/>
          <w:szCs w:val="22"/>
        </w:rPr>
        <w:t>r</w:t>
      </w:r>
      <w:r w:rsidR="00EB30E3" w:rsidRPr="00803E66">
        <w:rPr>
          <w:sz w:val="22"/>
          <w:szCs w:val="22"/>
        </w:rPr>
        <w:t>a</w:t>
      </w:r>
      <w:r w:rsidRPr="00803E66">
        <w:rPr>
          <w:sz w:val="22"/>
          <w:szCs w:val="22"/>
        </w:rPr>
        <w:t>du Kina „Velebit”</w:t>
      </w:r>
      <w:r w:rsidR="00A61C04" w:rsidRPr="00803E66">
        <w:rPr>
          <w:sz w:val="22"/>
          <w:szCs w:val="22"/>
        </w:rPr>
        <w:t xml:space="preserve">, a ostvareno je </w:t>
      </w:r>
      <w:r w:rsidR="00BD591B" w:rsidRPr="00803E66">
        <w:rPr>
          <w:sz w:val="22"/>
          <w:szCs w:val="22"/>
        </w:rPr>
        <w:t>130.470,34</w:t>
      </w:r>
      <w:r w:rsidR="006678D4" w:rsidRPr="00803E66">
        <w:rPr>
          <w:sz w:val="22"/>
          <w:szCs w:val="22"/>
        </w:rPr>
        <w:t xml:space="preserve"> €</w:t>
      </w:r>
      <w:r w:rsidR="009855A1" w:rsidRPr="00803E66">
        <w:rPr>
          <w:sz w:val="22"/>
          <w:szCs w:val="22"/>
        </w:rPr>
        <w:t>,</w:t>
      </w:r>
      <w:r w:rsidR="00A61C04" w:rsidRPr="00803E66">
        <w:rPr>
          <w:sz w:val="22"/>
          <w:szCs w:val="22"/>
        </w:rPr>
        <w:t xml:space="preserve"> </w:t>
      </w:r>
      <w:r w:rsidR="00655208" w:rsidRPr="00803E66">
        <w:rPr>
          <w:sz w:val="22"/>
          <w:szCs w:val="22"/>
        </w:rPr>
        <w:t>što</w:t>
      </w:r>
      <w:r w:rsidR="00AC428C" w:rsidRPr="00803E66">
        <w:rPr>
          <w:sz w:val="22"/>
          <w:szCs w:val="22"/>
        </w:rPr>
        <w:t xml:space="preserve"> </w:t>
      </w:r>
      <w:r w:rsidR="00A61C04" w:rsidRPr="00803E66">
        <w:rPr>
          <w:sz w:val="22"/>
          <w:szCs w:val="22"/>
        </w:rPr>
        <w:t xml:space="preserve">je </w:t>
      </w:r>
      <w:r w:rsidR="006678D4" w:rsidRPr="00803E66">
        <w:rPr>
          <w:sz w:val="22"/>
          <w:szCs w:val="22"/>
        </w:rPr>
        <w:t>93</w:t>
      </w:r>
      <w:r w:rsidR="00A61C04" w:rsidRPr="00803E66">
        <w:rPr>
          <w:sz w:val="22"/>
          <w:szCs w:val="22"/>
        </w:rPr>
        <w:t xml:space="preserve">% od planiranog. </w:t>
      </w:r>
      <w:r w:rsidRPr="00803E66">
        <w:rPr>
          <w:sz w:val="22"/>
          <w:szCs w:val="22"/>
        </w:rPr>
        <w:t xml:space="preserve">Planirana su sredstva </w:t>
      </w:r>
      <w:r w:rsidR="007E0644" w:rsidRPr="00803E66">
        <w:rPr>
          <w:sz w:val="22"/>
          <w:szCs w:val="22"/>
        </w:rPr>
        <w:t xml:space="preserve">iz općih prihoda i primitaka za </w:t>
      </w:r>
      <w:r w:rsidR="00411F84" w:rsidRPr="00803E66">
        <w:rPr>
          <w:sz w:val="22"/>
          <w:szCs w:val="22"/>
        </w:rPr>
        <w:t>najam filmova i promidžbu filmskih naslova</w:t>
      </w:r>
      <w:r w:rsidR="00FA441B">
        <w:rPr>
          <w:sz w:val="22"/>
          <w:szCs w:val="22"/>
        </w:rPr>
        <w:t>, a indeks izvršenja je 99%</w:t>
      </w:r>
      <w:r w:rsidR="00411F84" w:rsidRPr="00803E66">
        <w:rPr>
          <w:sz w:val="22"/>
          <w:szCs w:val="22"/>
        </w:rPr>
        <w:t xml:space="preserve">. </w:t>
      </w:r>
      <w:r w:rsidR="006C5035" w:rsidRPr="00803E66">
        <w:rPr>
          <w:sz w:val="22"/>
          <w:szCs w:val="22"/>
        </w:rPr>
        <w:t>U 202</w:t>
      </w:r>
      <w:r w:rsidR="00411F84" w:rsidRPr="00803E66">
        <w:rPr>
          <w:sz w:val="22"/>
          <w:szCs w:val="22"/>
        </w:rPr>
        <w:t>4</w:t>
      </w:r>
      <w:r w:rsidR="006C5035" w:rsidRPr="00803E66">
        <w:rPr>
          <w:sz w:val="22"/>
          <w:szCs w:val="22"/>
        </w:rPr>
        <w:t xml:space="preserve">. godini </w:t>
      </w:r>
      <w:r w:rsidR="00C52298" w:rsidRPr="00803E66">
        <w:rPr>
          <w:sz w:val="22"/>
          <w:szCs w:val="22"/>
        </w:rPr>
        <w:t xml:space="preserve">iz vlastitih prihoda </w:t>
      </w:r>
      <w:r w:rsidR="006C5035" w:rsidRPr="00803E66">
        <w:rPr>
          <w:sz w:val="22"/>
          <w:szCs w:val="22"/>
        </w:rPr>
        <w:t>planiran</w:t>
      </w:r>
      <w:r w:rsidR="00991627" w:rsidRPr="00803E66">
        <w:rPr>
          <w:sz w:val="22"/>
          <w:szCs w:val="22"/>
        </w:rPr>
        <w:t xml:space="preserve">i su </w:t>
      </w:r>
      <w:r w:rsidR="00411F84" w:rsidRPr="00803E66">
        <w:rPr>
          <w:sz w:val="22"/>
          <w:szCs w:val="22"/>
        </w:rPr>
        <w:t xml:space="preserve">materijalni rashodi </w:t>
      </w:r>
      <w:r w:rsidR="00D938FD" w:rsidRPr="00803E66">
        <w:rPr>
          <w:sz w:val="22"/>
          <w:szCs w:val="22"/>
        </w:rPr>
        <w:t xml:space="preserve">u iznosu od </w:t>
      </w:r>
      <w:r w:rsidR="00692200" w:rsidRPr="00803E66">
        <w:rPr>
          <w:sz w:val="22"/>
          <w:szCs w:val="22"/>
        </w:rPr>
        <w:t>64.270,00</w:t>
      </w:r>
      <w:r w:rsidR="009E7C5E" w:rsidRPr="00803E66">
        <w:rPr>
          <w:sz w:val="22"/>
          <w:szCs w:val="22"/>
        </w:rPr>
        <w:t>€</w:t>
      </w:r>
      <w:r w:rsidR="00692200" w:rsidRPr="00803E66">
        <w:rPr>
          <w:sz w:val="22"/>
          <w:szCs w:val="22"/>
        </w:rPr>
        <w:t>, a ostvareno je 50.871,58</w:t>
      </w:r>
      <w:r w:rsidR="009E7C5E" w:rsidRPr="00803E66">
        <w:rPr>
          <w:sz w:val="22"/>
          <w:szCs w:val="22"/>
        </w:rPr>
        <w:t>€</w:t>
      </w:r>
      <w:r w:rsidR="00AD6E6B" w:rsidRPr="00803E66">
        <w:rPr>
          <w:sz w:val="22"/>
          <w:szCs w:val="22"/>
        </w:rPr>
        <w:t>, a izvršenje je</w:t>
      </w:r>
      <w:r w:rsidR="00692200" w:rsidRPr="00803E66">
        <w:rPr>
          <w:sz w:val="22"/>
          <w:szCs w:val="22"/>
        </w:rPr>
        <w:t xml:space="preserve"> </w:t>
      </w:r>
      <w:r w:rsidR="00AD6E6B" w:rsidRPr="00803E66">
        <w:rPr>
          <w:sz w:val="22"/>
          <w:szCs w:val="22"/>
        </w:rPr>
        <w:t>79%</w:t>
      </w:r>
      <w:r w:rsidR="004D65DE" w:rsidRPr="00803E66">
        <w:rPr>
          <w:sz w:val="22"/>
          <w:szCs w:val="22"/>
        </w:rPr>
        <w:t>.</w:t>
      </w:r>
      <w:r w:rsidR="006C5035" w:rsidRPr="00803E66">
        <w:rPr>
          <w:sz w:val="22"/>
          <w:szCs w:val="22"/>
        </w:rPr>
        <w:t xml:space="preserve"> </w:t>
      </w:r>
      <w:r w:rsidR="004D65DE" w:rsidRPr="00803E66">
        <w:rPr>
          <w:sz w:val="22"/>
          <w:szCs w:val="22"/>
        </w:rPr>
        <w:t xml:space="preserve">Realizirana je </w:t>
      </w:r>
      <w:r w:rsidR="006C5035" w:rsidRPr="00803E66">
        <w:rPr>
          <w:sz w:val="22"/>
          <w:szCs w:val="22"/>
        </w:rPr>
        <w:t>nabav</w:t>
      </w:r>
      <w:r w:rsidR="006A448D" w:rsidRPr="00803E66">
        <w:rPr>
          <w:sz w:val="22"/>
          <w:szCs w:val="22"/>
        </w:rPr>
        <w:t>a</w:t>
      </w:r>
      <w:r w:rsidR="002B582D" w:rsidRPr="00803E66">
        <w:rPr>
          <w:sz w:val="22"/>
          <w:szCs w:val="22"/>
        </w:rPr>
        <w:t xml:space="preserve"> projektora za vanjsko kino u iznosu od 67.190,30 €</w:t>
      </w:r>
      <w:r w:rsidR="00945197" w:rsidRPr="00803E66">
        <w:rPr>
          <w:sz w:val="22"/>
          <w:szCs w:val="22"/>
        </w:rPr>
        <w:t xml:space="preserve">, </w:t>
      </w:r>
      <w:r w:rsidR="00BD3120" w:rsidRPr="00803E66">
        <w:rPr>
          <w:sz w:val="22"/>
          <w:szCs w:val="22"/>
        </w:rPr>
        <w:t>od navedenih sredstava 20.000,00</w:t>
      </w:r>
      <w:r w:rsidR="009E7C5E" w:rsidRPr="00803E66">
        <w:rPr>
          <w:sz w:val="22"/>
          <w:szCs w:val="22"/>
        </w:rPr>
        <w:t xml:space="preserve"> </w:t>
      </w:r>
      <w:r w:rsidR="00BD3120" w:rsidRPr="00803E66">
        <w:rPr>
          <w:sz w:val="22"/>
          <w:szCs w:val="22"/>
        </w:rPr>
        <w:t xml:space="preserve">€ je realizirano </w:t>
      </w:r>
      <w:r w:rsidR="009F1FE6" w:rsidRPr="00803E66">
        <w:rPr>
          <w:sz w:val="22"/>
          <w:szCs w:val="22"/>
        </w:rPr>
        <w:t>od pomoći iz općeg proračuna, 20.000,00</w:t>
      </w:r>
      <w:r w:rsidR="00557479" w:rsidRPr="00803E66">
        <w:rPr>
          <w:sz w:val="22"/>
          <w:szCs w:val="22"/>
        </w:rPr>
        <w:t xml:space="preserve"> €</w:t>
      </w:r>
      <w:r w:rsidR="009F1FE6" w:rsidRPr="00803E66">
        <w:rPr>
          <w:sz w:val="22"/>
          <w:szCs w:val="22"/>
        </w:rPr>
        <w:t xml:space="preserve"> </w:t>
      </w:r>
      <w:r w:rsidR="00114781" w:rsidRPr="00803E66">
        <w:rPr>
          <w:sz w:val="22"/>
          <w:szCs w:val="22"/>
        </w:rPr>
        <w:t>od prihoda nefinancijske imovine, 17.706,24</w:t>
      </w:r>
      <w:r w:rsidR="009E7C5E" w:rsidRPr="00803E66">
        <w:rPr>
          <w:sz w:val="22"/>
          <w:szCs w:val="22"/>
        </w:rPr>
        <w:t xml:space="preserve"> €</w:t>
      </w:r>
      <w:r w:rsidR="00114781" w:rsidRPr="00803E66">
        <w:rPr>
          <w:sz w:val="22"/>
          <w:szCs w:val="22"/>
        </w:rPr>
        <w:t xml:space="preserve"> iz vlastitih </w:t>
      </w:r>
      <w:r w:rsidR="00162DB0" w:rsidRPr="00803E66">
        <w:rPr>
          <w:sz w:val="22"/>
          <w:szCs w:val="22"/>
        </w:rPr>
        <w:t>p</w:t>
      </w:r>
      <w:r w:rsidR="00114781" w:rsidRPr="00803E66">
        <w:rPr>
          <w:sz w:val="22"/>
          <w:szCs w:val="22"/>
        </w:rPr>
        <w:t>rihoda.</w:t>
      </w:r>
      <w:r w:rsidR="00C52298" w:rsidRPr="00803E66">
        <w:rPr>
          <w:sz w:val="22"/>
          <w:szCs w:val="22"/>
        </w:rPr>
        <w:t xml:space="preserve"> </w:t>
      </w:r>
      <w:r w:rsidR="001B7ED0" w:rsidRPr="00803E66">
        <w:rPr>
          <w:sz w:val="22"/>
          <w:szCs w:val="22"/>
        </w:rPr>
        <w:t xml:space="preserve">Rashodi za nabavu dugotrajne imovine iz vlastitih prihoda su realizirani u </w:t>
      </w:r>
      <w:r w:rsidR="00E912B3" w:rsidRPr="00803E66">
        <w:rPr>
          <w:sz w:val="22"/>
          <w:szCs w:val="22"/>
        </w:rPr>
        <w:t xml:space="preserve">iznosu od 117% dok su iz ostalih prihoda realizirani u 100% iznosu što se vidi u </w:t>
      </w:r>
      <w:r w:rsidR="00561AAB" w:rsidRPr="00803E66">
        <w:rPr>
          <w:sz w:val="22"/>
          <w:szCs w:val="22"/>
        </w:rPr>
        <w:t>tablici koja je prilog ovom izvještaju. Pomoći iz EU planirani su za troškove u sklopu</w:t>
      </w:r>
      <w:r w:rsidR="001D139C" w:rsidRPr="00803E66">
        <w:rPr>
          <w:sz w:val="22"/>
          <w:szCs w:val="22"/>
        </w:rPr>
        <w:t xml:space="preserve"> prijave</w:t>
      </w:r>
      <w:r w:rsidR="00561AAB" w:rsidRPr="00803E66">
        <w:rPr>
          <w:sz w:val="22"/>
          <w:szCs w:val="22"/>
        </w:rPr>
        <w:t xml:space="preserve"> Europa Cinemas </w:t>
      </w:r>
      <w:r w:rsidR="001D139C" w:rsidRPr="00803E66">
        <w:rPr>
          <w:sz w:val="22"/>
          <w:szCs w:val="22"/>
        </w:rPr>
        <w:t>organizacij</w:t>
      </w:r>
      <w:r w:rsidR="009136F3" w:rsidRPr="00803E66">
        <w:rPr>
          <w:sz w:val="22"/>
          <w:szCs w:val="22"/>
        </w:rPr>
        <w:t xml:space="preserve">i. Realizacija je izvršena u iznosu od 103% za </w:t>
      </w:r>
      <w:r w:rsidR="009659B1" w:rsidRPr="00803E66">
        <w:rPr>
          <w:sz w:val="22"/>
          <w:szCs w:val="22"/>
        </w:rPr>
        <w:t>materijalne rashode i nabavu videonadzora za zgradu kina Velebit.</w:t>
      </w:r>
      <w:r w:rsidR="007E11AA" w:rsidRPr="00803E66">
        <w:rPr>
          <w:sz w:val="22"/>
          <w:szCs w:val="22"/>
        </w:rPr>
        <w:t xml:space="preserve"> </w:t>
      </w:r>
    </w:p>
    <w:p w14:paraId="783F50B5" w14:textId="77777777" w:rsidR="00F1611F" w:rsidRPr="00803E66" w:rsidRDefault="00F1611F" w:rsidP="007E11AA">
      <w:pPr>
        <w:tabs>
          <w:tab w:val="left" w:pos="4080"/>
        </w:tabs>
        <w:spacing w:line="276" w:lineRule="auto"/>
        <w:jc w:val="both"/>
        <w:rPr>
          <w:sz w:val="22"/>
          <w:szCs w:val="22"/>
        </w:rPr>
      </w:pPr>
    </w:p>
    <w:p w14:paraId="2162F589" w14:textId="357F0808" w:rsidR="00DD2186" w:rsidRPr="00874CA7" w:rsidRDefault="0086333F" w:rsidP="00BB067B">
      <w:pPr>
        <w:spacing w:line="276" w:lineRule="auto"/>
        <w:jc w:val="both"/>
        <w:rPr>
          <w:b/>
          <w:sz w:val="22"/>
          <w:szCs w:val="22"/>
        </w:rPr>
      </w:pPr>
      <w:r w:rsidRPr="00874CA7">
        <w:rPr>
          <w:b/>
          <w:sz w:val="22"/>
          <w:szCs w:val="22"/>
        </w:rPr>
        <w:t>A300803 Glazbeno–scenska djelatnost</w:t>
      </w:r>
      <w:r w:rsidR="001538B4" w:rsidRPr="00874CA7">
        <w:rPr>
          <w:b/>
          <w:sz w:val="22"/>
          <w:szCs w:val="22"/>
        </w:rPr>
        <w:t xml:space="preserve"> </w:t>
      </w:r>
      <w:r w:rsidRPr="00874CA7">
        <w:rPr>
          <w:b/>
          <w:sz w:val="22"/>
          <w:szCs w:val="22"/>
        </w:rPr>
        <w:t>-</w:t>
      </w:r>
      <w:r w:rsidR="001538B4" w:rsidRPr="00874CA7">
        <w:rPr>
          <w:b/>
          <w:sz w:val="22"/>
          <w:szCs w:val="22"/>
        </w:rPr>
        <w:t xml:space="preserve"> </w:t>
      </w:r>
      <w:r w:rsidRPr="00874CA7">
        <w:rPr>
          <w:b/>
          <w:sz w:val="22"/>
          <w:szCs w:val="22"/>
        </w:rPr>
        <w:t xml:space="preserve">izvor financiranja: vlastiti </w:t>
      </w:r>
      <w:r w:rsidR="00AB655B" w:rsidRPr="00874CA7">
        <w:rPr>
          <w:b/>
          <w:sz w:val="22"/>
          <w:szCs w:val="22"/>
        </w:rPr>
        <w:t>prihodi</w:t>
      </w:r>
      <w:r w:rsidR="002D6B12" w:rsidRPr="00874CA7">
        <w:rPr>
          <w:b/>
          <w:sz w:val="22"/>
          <w:szCs w:val="22"/>
        </w:rPr>
        <w:t>/29</w:t>
      </w:r>
      <w:r w:rsidR="00BF7B96" w:rsidRPr="00803E66">
        <w:rPr>
          <w:b/>
          <w:sz w:val="22"/>
          <w:szCs w:val="22"/>
        </w:rPr>
        <w:t>, pomoći unutar općeg proračuna/42</w:t>
      </w:r>
      <w:r w:rsidR="009643F5" w:rsidRPr="00803E66">
        <w:rPr>
          <w:b/>
          <w:sz w:val="22"/>
          <w:szCs w:val="22"/>
        </w:rPr>
        <w:t>, donacije/52</w:t>
      </w:r>
    </w:p>
    <w:p w14:paraId="4F72598D" w14:textId="136ECD2E" w:rsidR="00F1611F" w:rsidRPr="00803E66" w:rsidRDefault="00AB655B" w:rsidP="00F1611F">
      <w:pPr>
        <w:tabs>
          <w:tab w:val="left" w:pos="4080"/>
        </w:tabs>
        <w:spacing w:line="276" w:lineRule="auto"/>
        <w:jc w:val="both"/>
        <w:rPr>
          <w:sz w:val="22"/>
          <w:szCs w:val="22"/>
        </w:rPr>
      </w:pPr>
      <w:r w:rsidRPr="00874CA7">
        <w:rPr>
          <w:sz w:val="22"/>
          <w:szCs w:val="22"/>
        </w:rPr>
        <w:t>Za financiranje glazbeno</w:t>
      </w:r>
      <w:r w:rsidR="001538B4" w:rsidRPr="00874CA7">
        <w:rPr>
          <w:sz w:val="22"/>
          <w:szCs w:val="22"/>
        </w:rPr>
        <w:t>-</w:t>
      </w:r>
      <w:r w:rsidRPr="00874CA7">
        <w:rPr>
          <w:sz w:val="22"/>
          <w:szCs w:val="22"/>
        </w:rPr>
        <w:t xml:space="preserve">scenske djelatnosti </w:t>
      </w:r>
      <w:r w:rsidR="00DF1559" w:rsidRPr="00874CA7">
        <w:rPr>
          <w:sz w:val="22"/>
          <w:szCs w:val="22"/>
        </w:rPr>
        <w:t>iz vlastitih sredstava</w:t>
      </w:r>
      <w:r w:rsidRPr="00874CA7">
        <w:rPr>
          <w:sz w:val="22"/>
          <w:szCs w:val="22"/>
        </w:rPr>
        <w:t xml:space="preserve"> planiran je iznos od</w:t>
      </w:r>
      <w:r w:rsidR="00FF2F7D" w:rsidRPr="00874CA7">
        <w:rPr>
          <w:sz w:val="22"/>
          <w:szCs w:val="22"/>
        </w:rPr>
        <w:t xml:space="preserve"> </w:t>
      </w:r>
      <w:r w:rsidR="00342AF7" w:rsidRPr="00803E66">
        <w:rPr>
          <w:sz w:val="22"/>
          <w:szCs w:val="22"/>
        </w:rPr>
        <w:t>66.080</w:t>
      </w:r>
      <w:r w:rsidR="004F2211" w:rsidRPr="00874CA7">
        <w:rPr>
          <w:sz w:val="22"/>
          <w:szCs w:val="22"/>
        </w:rPr>
        <w:t>,00 €</w:t>
      </w:r>
      <w:r w:rsidRPr="00874CA7">
        <w:rPr>
          <w:sz w:val="22"/>
          <w:szCs w:val="22"/>
        </w:rPr>
        <w:t>,</w:t>
      </w:r>
      <w:r w:rsidR="001538B4" w:rsidRPr="00874CA7">
        <w:rPr>
          <w:sz w:val="22"/>
          <w:szCs w:val="22"/>
        </w:rPr>
        <w:t xml:space="preserve"> </w:t>
      </w:r>
      <w:r w:rsidR="0061693B" w:rsidRPr="00874CA7">
        <w:rPr>
          <w:sz w:val="22"/>
          <w:szCs w:val="22"/>
        </w:rPr>
        <w:t xml:space="preserve">od kojeg se </w:t>
      </w:r>
      <w:r w:rsidR="004F0B37" w:rsidRPr="00874CA7">
        <w:rPr>
          <w:sz w:val="22"/>
          <w:szCs w:val="22"/>
        </w:rPr>
        <w:t>naj</w:t>
      </w:r>
      <w:r w:rsidR="0061693B" w:rsidRPr="00874CA7">
        <w:rPr>
          <w:sz w:val="22"/>
          <w:szCs w:val="22"/>
        </w:rPr>
        <w:t>veći dio</w:t>
      </w:r>
      <w:r w:rsidRPr="00874CA7">
        <w:rPr>
          <w:sz w:val="22"/>
          <w:szCs w:val="22"/>
        </w:rPr>
        <w:t xml:space="preserve"> odnosi na</w:t>
      </w:r>
      <w:r w:rsidR="00C62EAA" w:rsidRPr="00874CA7">
        <w:rPr>
          <w:sz w:val="22"/>
          <w:szCs w:val="22"/>
        </w:rPr>
        <w:t xml:space="preserve"> rashode</w:t>
      </w:r>
      <w:r w:rsidRPr="00874CA7">
        <w:rPr>
          <w:sz w:val="22"/>
          <w:szCs w:val="22"/>
        </w:rPr>
        <w:t xml:space="preserve"> </w:t>
      </w:r>
      <w:r w:rsidR="001538B4" w:rsidRPr="00874CA7">
        <w:rPr>
          <w:sz w:val="22"/>
          <w:szCs w:val="22"/>
        </w:rPr>
        <w:t>za zaposlene</w:t>
      </w:r>
      <w:r w:rsidRPr="00874CA7">
        <w:rPr>
          <w:sz w:val="22"/>
          <w:szCs w:val="22"/>
        </w:rPr>
        <w:t xml:space="preserve">, </w:t>
      </w:r>
      <w:r w:rsidR="00220C21" w:rsidRPr="00874CA7">
        <w:rPr>
          <w:sz w:val="22"/>
          <w:szCs w:val="22"/>
        </w:rPr>
        <w:t>a</w:t>
      </w:r>
      <w:r w:rsidR="00BF0E9C" w:rsidRPr="00874CA7">
        <w:rPr>
          <w:sz w:val="22"/>
          <w:szCs w:val="22"/>
        </w:rPr>
        <w:t xml:space="preserve"> </w:t>
      </w:r>
      <w:r w:rsidR="008610B1" w:rsidRPr="00803E66">
        <w:rPr>
          <w:sz w:val="22"/>
          <w:szCs w:val="22"/>
        </w:rPr>
        <w:t xml:space="preserve">izvršili su se </w:t>
      </w:r>
      <w:r w:rsidR="001538B4" w:rsidRPr="00874CA7">
        <w:rPr>
          <w:sz w:val="22"/>
          <w:szCs w:val="22"/>
        </w:rPr>
        <w:t xml:space="preserve">u iznosu </w:t>
      </w:r>
      <w:r w:rsidR="00790343">
        <w:rPr>
          <w:sz w:val="22"/>
          <w:szCs w:val="22"/>
        </w:rPr>
        <w:t xml:space="preserve">od </w:t>
      </w:r>
      <w:r w:rsidR="008610B1" w:rsidRPr="00803E66">
        <w:rPr>
          <w:sz w:val="22"/>
          <w:szCs w:val="22"/>
        </w:rPr>
        <w:t>99%.</w:t>
      </w:r>
      <w:r w:rsidR="00BF0E9C" w:rsidRPr="00803E66">
        <w:rPr>
          <w:sz w:val="22"/>
          <w:szCs w:val="22"/>
        </w:rPr>
        <w:t xml:space="preserve"> </w:t>
      </w:r>
      <w:r w:rsidR="002444D9" w:rsidRPr="00803E66">
        <w:rPr>
          <w:sz w:val="22"/>
          <w:szCs w:val="22"/>
        </w:rPr>
        <w:t xml:space="preserve">Također su planirani  i </w:t>
      </w:r>
      <w:r w:rsidR="00A91FB5" w:rsidRPr="00803E66">
        <w:rPr>
          <w:sz w:val="22"/>
          <w:szCs w:val="22"/>
        </w:rPr>
        <w:t>materijalni</w:t>
      </w:r>
      <w:r w:rsidR="002444D9" w:rsidRPr="00803E66">
        <w:rPr>
          <w:sz w:val="22"/>
          <w:szCs w:val="22"/>
        </w:rPr>
        <w:t xml:space="preserve"> rashodi</w:t>
      </w:r>
      <w:r w:rsidR="00A91FB5" w:rsidRPr="00803E66">
        <w:rPr>
          <w:sz w:val="22"/>
          <w:szCs w:val="22"/>
        </w:rPr>
        <w:t xml:space="preserve"> </w:t>
      </w:r>
      <w:r w:rsidR="00D068AE" w:rsidRPr="00803E66">
        <w:rPr>
          <w:sz w:val="22"/>
          <w:szCs w:val="22"/>
        </w:rPr>
        <w:t xml:space="preserve"> za troškove dvorane Domoljub </w:t>
      </w:r>
      <w:r w:rsidR="008C6C6E" w:rsidRPr="00803E66">
        <w:rPr>
          <w:sz w:val="22"/>
          <w:szCs w:val="22"/>
        </w:rPr>
        <w:t xml:space="preserve">u </w:t>
      </w:r>
      <w:r w:rsidR="009E7C5E" w:rsidRPr="00803E66">
        <w:rPr>
          <w:sz w:val="22"/>
          <w:szCs w:val="22"/>
        </w:rPr>
        <w:t>iznosu od 22.400,00 € te izvršenje iznosi 19.051,67 €</w:t>
      </w:r>
      <w:r w:rsidR="000958FE" w:rsidRPr="00803E66">
        <w:rPr>
          <w:sz w:val="22"/>
          <w:szCs w:val="22"/>
        </w:rPr>
        <w:t xml:space="preserve">. Nabava </w:t>
      </w:r>
      <w:r w:rsidR="00B61182" w:rsidRPr="00803E66">
        <w:rPr>
          <w:sz w:val="22"/>
          <w:szCs w:val="22"/>
        </w:rPr>
        <w:t>dugotrajne imovine</w:t>
      </w:r>
      <w:r w:rsidR="002D023D" w:rsidRPr="00803E66">
        <w:rPr>
          <w:sz w:val="22"/>
          <w:szCs w:val="22"/>
        </w:rPr>
        <w:t xml:space="preserve"> za tepih</w:t>
      </w:r>
      <w:r w:rsidR="00B61182" w:rsidRPr="00803E66">
        <w:rPr>
          <w:sz w:val="22"/>
          <w:szCs w:val="22"/>
        </w:rPr>
        <w:t xml:space="preserve"> iznosila je 492,45 što je 82% od planiranog</w:t>
      </w:r>
      <w:r w:rsidR="002D023D" w:rsidRPr="00803E66">
        <w:rPr>
          <w:sz w:val="22"/>
          <w:szCs w:val="22"/>
        </w:rPr>
        <w:t xml:space="preserve">. </w:t>
      </w:r>
      <w:r w:rsidR="00B23D10" w:rsidRPr="00803E66">
        <w:rPr>
          <w:sz w:val="22"/>
          <w:szCs w:val="22"/>
        </w:rPr>
        <w:t xml:space="preserve">Pomoći iz općeg proračuna realizirale su za plaće </w:t>
      </w:r>
      <w:r w:rsidR="009D7694" w:rsidRPr="00803E66">
        <w:rPr>
          <w:sz w:val="22"/>
          <w:szCs w:val="22"/>
        </w:rPr>
        <w:t>u 100% iznosu, a planirane su u okviru Tjedna cjeloživotnog učenja.</w:t>
      </w:r>
      <w:r w:rsidR="00F1611F" w:rsidRPr="00803E66">
        <w:rPr>
          <w:sz w:val="22"/>
          <w:szCs w:val="22"/>
        </w:rPr>
        <w:t xml:space="preserve"> Za potrebe glazbeno scenske djelatnosti planirali smo i 700,00 € za koncert iz izvora donacija. Izvršenje navedenog izvora iznosilo je 100%.</w:t>
      </w:r>
    </w:p>
    <w:p w14:paraId="14FA12C0" w14:textId="77777777" w:rsidR="00874CA7" w:rsidRPr="00874CA7" w:rsidRDefault="00874CA7" w:rsidP="00BB067B">
      <w:pPr>
        <w:tabs>
          <w:tab w:val="left" w:pos="4080"/>
        </w:tabs>
        <w:spacing w:line="276" w:lineRule="auto"/>
        <w:jc w:val="both"/>
        <w:rPr>
          <w:sz w:val="22"/>
          <w:szCs w:val="22"/>
        </w:rPr>
      </w:pPr>
    </w:p>
    <w:p w14:paraId="618F1CF5" w14:textId="77F5F90C" w:rsidR="00EF1364" w:rsidRPr="00DA73F9" w:rsidRDefault="00EF1364" w:rsidP="00BB067B">
      <w:pPr>
        <w:tabs>
          <w:tab w:val="left" w:pos="4080"/>
        </w:tabs>
        <w:spacing w:line="276" w:lineRule="auto"/>
        <w:jc w:val="both"/>
        <w:rPr>
          <w:b/>
          <w:sz w:val="22"/>
          <w:szCs w:val="22"/>
        </w:rPr>
      </w:pPr>
      <w:r w:rsidRPr="00DA73F9">
        <w:rPr>
          <w:b/>
          <w:sz w:val="22"/>
          <w:szCs w:val="22"/>
        </w:rPr>
        <w:t>K300806 Rekonstrukcija dvorane Domoljub</w:t>
      </w:r>
      <w:r w:rsidR="001538B4" w:rsidRPr="00DA73F9">
        <w:rPr>
          <w:b/>
          <w:sz w:val="22"/>
          <w:szCs w:val="22"/>
        </w:rPr>
        <w:t xml:space="preserve"> </w:t>
      </w:r>
      <w:r w:rsidRPr="00DA73F9">
        <w:rPr>
          <w:b/>
          <w:sz w:val="22"/>
          <w:szCs w:val="22"/>
        </w:rPr>
        <w:t>- izvor financiranja:</w:t>
      </w:r>
      <w:r w:rsidR="001538B4" w:rsidRPr="00DA73F9">
        <w:rPr>
          <w:b/>
          <w:sz w:val="22"/>
          <w:szCs w:val="22"/>
        </w:rPr>
        <w:t xml:space="preserve"> </w:t>
      </w:r>
      <w:r w:rsidR="007C41CE" w:rsidRPr="00DA73F9">
        <w:rPr>
          <w:b/>
          <w:sz w:val="22"/>
          <w:szCs w:val="22"/>
        </w:rPr>
        <w:t>prihod za posebne namjene</w:t>
      </w:r>
      <w:r w:rsidRPr="00DA73F9">
        <w:rPr>
          <w:b/>
          <w:sz w:val="22"/>
          <w:szCs w:val="22"/>
        </w:rPr>
        <w:t>/</w:t>
      </w:r>
      <w:r w:rsidR="007C41CE" w:rsidRPr="00DA73F9">
        <w:rPr>
          <w:b/>
          <w:sz w:val="22"/>
          <w:szCs w:val="22"/>
        </w:rPr>
        <w:t>35</w:t>
      </w:r>
      <w:r w:rsidR="00051055" w:rsidRPr="00DA73F9">
        <w:rPr>
          <w:b/>
          <w:sz w:val="22"/>
          <w:szCs w:val="22"/>
        </w:rPr>
        <w:t xml:space="preserve">, </w:t>
      </w:r>
      <w:r w:rsidR="001538B4" w:rsidRPr="00DA73F9">
        <w:rPr>
          <w:b/>
          <w:sz w:val="22"/>
          <w:szCs w:val="22"/>
        </w:rPr>
        <w:t>vlastiti prihodi</w:t>
      </w:r>
      <w:r w:rsidRPr="00DA73F9">
        <w:rPr>
          <w:b/>
          <w:sz w:val="22"/>
          <w:szCs w:val="22"/>
        </w:rPr>
        <w:t>/29</w:t>
      </w:r>
      <w:r w:rsidR="00051055" w:rsidRPr="00DA73F9">
        <w:rPr>
          <w:b/>
          <w:sz w:val="22"/>
          <w:szCs w:val="22"/>
        </w:rPr>
        <w:t xml:space="preserve"> i </w:t>
      </w:r>
      <w:r w:rsidR="00304B31" w:rsidRPr="00DA73F9">
        <w:rPr>
          <w:b/>
          <w:sz w:val="22"/>
          <w:szCs w:val="22"/>
        </w:rPr>
        <w:t>pomoći unutar općeg proračuna/42</w:t>
      </w:r>
    </w:p>
    <w:p w14:paraId="60EADC2B" w14:textId="626853A7" w:rsidR="00374C98" w:rsidRPr="00DA73F9" w:rsidRDefault="00FE7A13" w:rsidP="00BB067B">
      <w:pPr>
        <w:tabs>
          <w:tab w:val="left" w:pos="4080"/>
        </w:tabs>
        <w:spacing w:line="276" w:lineRule="auto"/>
        <w:jc w:val="both"/>
        <w:rPr>
          <w:sz w:val="22"/>
          <w:szCs w:val="22"/>
        </w:rPr>
      </w:pPr>
      <w:r w:rsidRPr="00DA73F9">
        <w:rPr>
          <w:sz w:val="22"/>
          <w:szCs w:val="22"/>
        </w:rPr>
        <w:t>Financiranje ove aktivnosti planirano je z</w:t>
      </w:r>
      <w:r w:rsidR="00374C98" w:rsidRPr="00DA73F9">
        <w:rPr>
          <w:sz w:val="22"/>
          <w:szCs w:val="22"/>
        </w:rPr>
        <w:t xml:space="preserve">a </w:t>
      </w:r>
      <w:r w:rsidR="003C0DB2" w:rsidRPr="00DA73F9">
        <w:rPr>
          <w:sz w:val="22"/>
          <w:szCs w:val="22"/>
        </w:rPr>
        <w:t xml:space="preserve">nastavak </w:t>
      </w:r>
      <w:r w:rsidR="00374C98" w:rsidRPr="00DA73F9">
        <w:rPr>
          <w:sz w:val="22"/>
          <w:szCs w:val="22"/>
        </w:rPr>
        <w:t xml:space="preserve">rekonstrukcije dvorane Domoljub iz nenadležnog proračuna temeljem prijave na natječaj Ministarstva kulture za </w:t>
      </w:r>
      <w:r w:rsidR="00374C98" w:rsidRPr="00803E66">
        <w:rPr>
          <w:sz w:val="22"/>
          <w:szCs w:val="22"/>
        </w:rPr>
        <w:t>202</w:t>
      </w:r>
      <w:r w:rsidR="00D068AE" w:rsidRPr="00803E66">
        <w:rPr>
          <w:sz w:val="22"/>
          <w:szCs w:val="22"/>
        </w:rPr>
        <w:t>4</w:t>
      </w:r>
      <w:r w:rsidR="00374C98" w:rsidRPr="00803E66">
        <w:rPr>
          <w:sz w:val="22"/>
          <w:szCs w:val="22"/>
        </w:rPr>
        <w:t>.</w:t>
      </w:r>
      <w:r w:rsidR="00220C21" w:rsidRPr="00DA73F9">
        <w:rPr>
          <w:sz w:val="22"/>
          <w:szCs w:val="22"/>
        </w:rPr>
        <w:t xml:space="preserve"> </w:t>
      </w:r>
      <w:r w:rsidR="00374C98" w:rsidRPr="00DA73F9">
        <w:rPr>
          <w:sz w:val="22"/>
          <w:szCs w:val="22"/>
        </w:rPr>
        <w:t>godinu</w:t>
      </w:r>
      <w:r w:rsidR="00C22FCB">
        <w:rPr>
          <w:sz w:val="22"/>
          <w:szCs w:val="22"/>
        </w:rPr>
        <w:t xml:space="preserve"> p</w:t>
      </w:r>
      <w:r w:rsidR="00374C98" w:rsidRPr="00803E66">
        <w:rPr>
          <w:sz w:val="22"/>
          <w:szCs w:val="22"/>
        </w:rPr>
        <w:t xml:space="preserve">lanirano je </w:t>
      </w:r>
      <w:r w:rsidR="00080462" w:rsidRPr="00803E66">
        <w:rPr>
          <w:sz w:val="22"/>
          <w:szCs w:val="22"/>
        </w:rPr>
        <w:t xml:space="preserve">20.000,00 </w:t>
      </w:r>
      <w:r w:rsidR="004F7493" w:rsidRPr="00803E66">
        <w:rPr>
          <w:sz w:val="22"/>
          <w:szCs w:val="22"/>
        </w:rPr>
        <w:t>€</w:t>
      </w:r>
      <w:r w:rsidR="00080462" w:rsidRPr="00803E66">
        <w:rPr>
          <w:sz w:val="22"/>
          <w:szCs w:val="22"/>
        </w:rPr>
        <w:t xml:space="preserve"> što je i izvršeno</w:t>
      </w:r>
      <w:r w:rsidR="007C41CE" w:rsidRPr="00803E66">
        <w:rPr>
          <w:sz w:val="22"/>
          <w:szCs w:val="22"/>
        </w:rPr>
        <w:t>.</w:t>
      </w:r>
    </w:p>
    <w:p w14:paraId="0B93120D" w14:textId="3A97E756" w:rsidR="00AA36B0" w:rsidRDefault="00374C98" w:rsidP="00BB067B">
      <w:pPr>
        <w:tabs>
          <w:tab w:val="left" w:pos="4080"/>
        </w:tabs>
        <w:spacing w:line="276" w:lineRule="auto"/>
        <w:jc w:val="both"/>
        <w:rPr>
          <w:sz w:val="22"/>
          <w:szCs w:val="22"/>
        </w:rPr>
      </w:pPr>
      <w:r w:rsidRPr="006A51E0">
        <w:rPr>
          <w:sz w:val="22"/>
          <w:szCs w:val="22"/>
        </w:rPr>
        <w:t xml:space="preserve">Za isti program iz </w:t>
      </w:r>
      <w:r w:rsidR="00DD0D53" w:rsidRPr="00803E66">
        <w:rPr>
          <w:sz w:val="22"/>
          <w:szCs w:val="22"/>
        </w:rPr>
        <w:t>na</w:t>
      </w:r>
      <w:r w:rsidRPr="00803E66">
        <w:rPr>
          <w:sz w:val="22"/>
          <w:szCs w:val="22"/>
        </w:rPr>
        <w:t>dležnog</w:t>
      </w:r>
      <w:r w:rsidRPr="006A51E0">
        <w:rPr>
          <w:sz w:val="22"/>
          <w:szCs w:val="22"/>
        </w:rPr>
        <w:t xml:space="preserve"> proračuna u </w:t>
      </w:r>
      <w:r w:rsidRPr="00803E66">
        <w:rPr>
          <w:sz w:val="22"/>
          <w:szCs w:val="22"/>
        </w:rPr>
        <w:t>202</w:t>
      </w:r>
      <w:r w:rsidR="0012760A" w:rsidRPr="00803E66">
        <w:rPr>
          <w:sz w:val="22"/>
          <w:szCs w:val="22"/>
        </w:rPr>
        <w:t>4</w:t>
      </w:r>
      <w:r w:rsidR="00220C21" w:rsidRPr="00803E66">
        <w:rPr>
          <w:sz w:val="22"/>
          <w:szCs w:val="22"/>
        </w:rPr>
        <w:t>.</w:t>
      </w:r>
      <w:r w:rsidRPr="006A51E0">
        <w:rPr>
          <w:sz w:val="22"/>
          <w:szCs w:val="22"/>
        </w:rPr>
        <w:t xml:space="preserve"> godini </w:t>
      </w:r>
      <w:r w:rsidR="002B6994" w:rsidRPr="006A51E0">
        <w:rPr>
          <w:sz w:val="22"/>
          <w:szCs w:val="22"/>
        </w:rPr>
        <w:t>realizirano</w:t>
      </w:r>
      <w:r w:rsidRPr="006A51E0">
        <w:rPr>
          <w:sz w:val="22"/>
          <w:szCs w:val="22"/>
        </w:rPr>
        <w:t xml:space="preserve"> </w:t>
      </w:r>
      <w:r w:rsidR="00AD1CEE">
        <w:rPr>
          <w:sz w:val="22"/>
          <w:szCs w:val="22"/>
        </w:rPr>
        <w:t>5</w:t>
      </w:r>
      <w:r w:rsidR="0012760A" w:rsidRPr="00803E66">
        <w:rPr>
          <w:sz w:val="22"/>
          <w:szCs w:val="22"/>
        </w:rPr>
        <w:t>.000,00</w:t>
      </w:r>
      <w:r w:rsidR="004F7493" w:rsidRPr="00803E66">
        <w:rPr>
          <w:sz w:val="22"/>
          <w:szCs w:val="22"/>
        </w:rPr>
        <w:t xml:space="preserve"> €</w:t>
      </w:r>
      <w:r w:rsidR="00115601">
        <w:rPr>
          <w:sz w:val="22"/>
          <w:szCs w:val="22"/>
        </w:rPr>
        <w:t xml:space="preserve"> za opremu i 15.000,00 € za sanaciju dvorane Domoljub</w:t>
      </w:r>
      <w:r w:rsidR="005B1535" w:rsidRPr="00803E66">
        <w:rPr>
          <w:sz w:val="22"/>
          <w:szCs w:val="22"/>
        </w:rPr>
        <w:t xml:space="preserve"> te su također u istom iznosu izvršeni.</w:t>
      </w:r>
      <w:r w:rsidR="00705D29" w:rsidRPr="00803E66">
        <w:rPr>
          <w:sz w:val="22"/>
          <w:szCs w:val="22"/>
        </w:rPr>
        <w:t xml:space="preserve"> </w:t>
      </w:r>
      <w:r w:rsidR="005B1535" w:rsidRPr="00803E66">
        <w:rPr>
          <w:sz w:val="22"/>
          <w:szCs w:val="22"/>
        </w:rPr>
        <w:t>I</w:t>
      </w:r>
      <w:r w:rsidR="00705D29" w:rsidRPr="00803E66">
        <w:rPr>
          <w:sz w:val="22"/>
          <w:szCs w:val="22"/>
        </w:rPr>
        <w:t>z</w:t>
      </w:r>
      <w:r w:rsidR="00F42DED" w:rsidRPr="006A51E0">
        <w:rPr>
          <w:sz w:val="22"/>
          <w:szCs w:val="22"/>
        </w:rPr>
        <w:t xml:space="preserve"> </w:t>
      </w:r>
      <w:r w:rsidR="00705D29" w:rsidRPr="006A51E0">
        <w:rPr>
          <w:sz w:val="22"/>
          <w:szCs w:val="22"/>
        </w:rPr>
        <w:t xml:space="preserve">vlastitih sredstava </w:t>
      </w:r>
      <w:r w:rsidR="002B6994" w:rsidRPr="006A51E0">
        <w:rPr>
          <w:sz w:val="22"/>
          <w:szCs w:val="22"/>
        </w:rPr>
        <w:t>se</w:t>
      </w:r>
      <w:r w:rsidR="00705D29" w:rsidRPr="006A51E0">
        <w:rPr>
          <w:sz w:val="22"/>
          <w:szCs w:val="22"/>
        </w:rPr>
        <w:t xml:space="preserve"> </w:t>
      </w:r>
      <w:r w:rsidR="00A127DD" w:rsidRPr="006A51E0">
        <w:rPr>
          <w:sz w:val="22"/>
          <w:szCs w:val="22"/>
        </w:rPr>
        <w:t>knjižio</w:t>
      </w:r>
      <w:r w:rsidR="0082789B" w:rsidRPr="006A51E0">
        <w:rPr>
          <w:sz w:val="22"/>
          <w:szCs w:val="22"/>
        </w:rPr>
        <w:t xml:space="preserve"> </w:t>
      </w:r>
      <w:r w:rsidR="00682163" w:rsidRPr="006A51E0">
        <w:rPr>
          <w:sz w:val="22"/>
          <w:szCs w:val="22"/>
        </w:rPr>
        <w:t xml:space="preserve">iznos od </w:t>
      </w:r>
      <w:r w:rsidR="005B1535" w:rsidRPr="00803E66">
        <w:rPr>
          <w:sz w:val="22"/>
          <w:szCs w:val="22"/>
        </w:rPr>
        <w:t>32.551,43</w:t>
      </w:r>
      <w:r w:rsidR="002B6994" w:rsidRPr="00803E66">
        <w:rPr>
          <w:sz w:val="22"/>
          <w:szCs w:val="22"/>
        </w:rPr>
        <w:t xml:space="preserve"> €</w:t>
      </w:r>
      <w:r w:rsidR="00B62CAC" w:rsidRPr="00803E66">
        <w:rPr>
          <w:sz w:val="22"/>
          <w:szCs w:val="22"/>
        </w:rPr>
        <w:t xml:space="preserve"> za nabavu </w:t>
      </w:r>
      <w:r w:rsidR="00943B60" w:rsidRPr="00803E66">
        <w:rPr>
          <w:sz w:val="22"/>
          <w:szCs w:val="22"/>
        </w:rPr>
        <w:t>nabave rasvjete i razglasa za dvoranu Domoljub, te sanacije i uređenja ulaznog prostora dvorane Domoljub.</w:t>
      </w:r>
      <w:r w:rsidR="00705D29" w:rsidRPr="006A51E0">
        <w:rPr>
          <w:sz w:val="22"/>
          <w:szCs w:val="22"/>
        </w:rPr>
        <w:t xml:space="preserve"> </w:t>
      </w:r>
      <w:r w:rsidR="009E1AB5" w:rsidRPr="006A51E0">
        <w:rPr>
          <w:sz w:val="22"/>
          <w:szCs w:val="22"/>
        </w:rPr>
        <w:t xml:space="preserve">Za navedenu nabavu </w:t>
      </w:r>
      <w:r w:rsidR="005E24C2" w:rsidRPr="006A51E0">
        <w:rPr>
          <w:sz w:val="22"/>
          <w:szCs w:val="22"/>
        </w:rPr>
        <w:t>indeks izvršen</w:t>
      </w:r>
      <w:r w:rsidR="00790343">
        <w:rPr>
          <w:sz w:val="22"/>
          <w:szCs w:val="22"/>
        </w:rPr>
        <w:t>j</w:t>
      </w:r>
      <w:r w:rsidR="005E24C2" w:rsidRPr="006A51E0">
        <w:rPr>
          <w:sz w:val="22"/>
          <w:szCs w:val="22"/>
        </w:rPr>
        <w:t xml:space="preserve">a iznosi </w:t>
      </w:r>
      <w:r w:rsidR="00B62CAC" w:rsidRPr="00803E66">
        <w:rPr>
          <w:sz w:val="22"/>
          <w:szCs w:val="22"/>
        </w:rPr>
        <w:t>100</w:t>
      </w:r>
      <w:r w:rsidR="009E1AB5" w:rsidRPr="00803E66">
        <w:rPr>
          <w:sz w:val="22"/>
          <w:szCs w:val="22"/>
        </w:rPr>
        <w:t>%</w:t>
      </w:r>
      <w:r w:rsidR="005E24C2" w:rsidRPr="00803E66">
        <w:rPr>
          <w:sz w:val="22"/>
          <w:szCs w:val="22"/>
        </w:rPr>
        <w:t>.</w:t>
      </w:r>
    </w:p>
    <w:p w14:paraId="67C759B9" w14:textId="77777777" w:rsidR="00F21DCC" w:rsidRDefault="00F21DCC" w:rsidP="00BB067B">
      <w:pPr>
        <w:tabs>
          <w:tab w:val="left" w:pos="4080"/>
        </w:tabs>
        <w:spacing w:line="276" w:lineRule="auto"/>
        <w:jc w:val="both"/>
        <w:rPr>
          <w:sz w:val="22"/>
          <w:szCs w:val="22"/>
        </w:rPr>
      </w:pPr>
    </w:p>
    <w:p w14:paraId="1108414E" w14:textId="77777777" w:rsidR="00F21DCC" w:rsidRDefault="00F21DCC" w:rsidP="00BB067B">
      <w:pPr>
        <w:tabs>
          <w:tab w:val="left" w:pos="4080"/>
        </w:tabs>
        <w:spacing w:line="276" w:lineRule="auto"/>
        <w:jc w:val="both"/>
        <w:rPr>
          <w:sz w:val="22"/>
          <w:szCs w:val="22"/>
        </w:rPr>
      </w:pPr>
    </w:p>
    <w:p w14:paraId="0AF51D6C" w14:textId="77777777" w:rsidR="00F21DCC" w:rsidRDefault="00F21DCC" w:rsidP="00BB067B">
      <w:pPr>
        <w:tabs>
          <w:tab w:val="left" w:pos="4080"/>
        </w:tabs>
        <w:spacing w:line="276" w:lineRule="auto"/>
        <w:jc w:val="both"/>
        <w:rPr>
          <w:sz w:val="22"/>
          <w:szCs w:val="22"/>
        </w:rPr>
      </w:pPr>
    </w:p>
    <w:p w14:paraId="754AD18A" w14:textId="77777777" w:rsidR="00F21DCC" w:rsidRDefault="00F21DCC" w:rsidP="00BB067B">
      <w:pPr>
        <w:tabs>
          <w:tab w:val="left" w:pos="4080"/>
        </w:tabs>
        <w:spacing w:line="276" w:lineRule="auto"/>
        <w:jc w:val="both"/>
        <w:rPr>
          <w:sz w:val="22"/>
          <w:szCs w:val="22"/>
        </w:rPr>
      </w:pPr>
    </w:p>
    <w:p w14:paraId="57574BAA" w14:textId="77777777" w:rsidR="00903C5E" w:rsidRPr="00803E66" w:rsidRDefault="00903C5E" w:rsidP="00BB067B">
      <w:pPr>
        <w:tabs>
          <w:tab w:val="left" w:pos="4080"/>
        </w:tabs>
        <w:spacing w:line="276" w:lineRule="auto"/>
        <w:jc w:val="both"/>
        <w:rPr>
          <w:sz w:val="22"/>
          <w:szCs w:val="22"/>
        </w:rPr>
      </w:pPr>
    </w:p>
    <w:p w14:paraId="27AA4467" w14:textId="77777777" w:rsidR="009534A1" w:rsidRPr="00803E66" w:rsidRDefault="009534A1" w:rsidP="00BB067B">
      <w:pPr>
        <w:tabs>
          <w:tab w:val="left" w:pos="4080"/>
        </w:tabs>
        <w:spacing w:line="276" w:lineRule="auto"/>
        <w:jc w:val="both"/>
        <w:rPr>
          <w:sz w:val="22"/>
          <w:szCs w:val="22"/>
        </w:rPr>
      </w:pPr>
    </w:p>
    <w:p w14:paraId="00641D24" w14:textId="77777777" w:rsidR="00AF74CE" w:rsidRPr="00270FC5" w:rsidRDefault="00AF74CE" w:rsidP="00AF74CE">
      <w:pPr>
        <w:jc w:val="both"/>
        <w:rPr>
          <w:b/>
          <w:sz w:val="22"/>
          <w:szCs w:val="22"/>
        </w:rPr>
      </w:pPr>
      <w:r w:rsidRPr="00270FC5">
        <w:rPr>
          <w:b/>
          <w:sz w:val="22"/>
          <w:szCs w:val="22"/>
        </w:rPr>
        <w:lastRenderedPageBreak/>
        <w:t>A300807</w:t>
      </w:r>
      <w:r w:rsidRPr="00270FC5">
        <w:rPr>
          <w:sz w:val="22"/>
          <w:szCs w:val="22"/>
        </w:rPr>
        <w:t xml:space="preserve"> </w:t>
      </w:r>
      <w:r w:rsidRPr="00270FC5">
        <w:rPr>
          <w:b/>
          <w:sz w:val="22"/>
          <w:szCs w:val="22"/>
        </w:rPr>
        <w:t>- COLLABORATE TO INNOVATE- izvor financiranja: EU</w:t>
      </w:r>
    </w:p>
    <w:p w14:paraId="41BD0E48" w14:textId="502FED52" w:rsidR="004068C9" w:rsidRDefault="00AF74CE" w:rsidP="006832AA">
      <w:pPr>
        <w:jc w:val="both"/>
        <w:rPr>
          <w:sz w:val="22"/>
          <w:szCs w:val="22"/>
        </w:rPr>
      </w:pPr>
      <w:r w:rsidRPr="00270FC5">
        <w:rPr>
          <w:sz w:val="22"/>
          <w:szCs w:val="22"/>
        </w:rPr>
        <w:t xml:space="preserve">U </w:t>
      </w:r>
      <w:r w:rsidRPr="00803E66">
        <w:rPr>
          <w:sz w:val="22"/>
          <w:szCs w:val="22"/>
        </w:rPr>
        <w:t>202</w:t>
      </w:r>
      <w:r w:rsidR="001121AC">
        <w:rPr>
          <w:sz w:val="22"/>
          <w:szCs w:val="22"/>
        </w:rPr>
        <w:t>4</w:t>
      </w:r>
      <w:r w:rsidRPr="00803E66">
        <w:rPr>
          <w:sz w:val="22"/>
          <w:szCs w:val="22"/>
        </w:rPr>
        <w:t>.</w:t>
      </w:r>
      <w:r w:rsidRPr="00270FC5">
        <w:rPr>
          <w:sz w:val="22"/>
          <w:szCs w:val="22"/>
        </w:rPr>
        <w:t xml:space="preserve"> plan</w:t>
      </w:r>
      <w:r w:rsidR="0038276B" w:rsidRPr="00270FC5">
        <w:rPr>
          <w:sz w:val="22"/>
          <w:szCs w:val="22"/>
        </w:rPr>
        <w:t>irali smo</w:t>
      </w:r>
      <w:r w:rsidRPr="00270FC5">
        <w:rPr>
          <w:sz w:val="22"/>
          <w:szCs w:val="22"/>
        </w:rPr>
        <w:t xml:space="preserve"> projekt </w:t>
      </w:r>
      <w:r w:rsidRPr="00803E66">
        <w:rPr>
          <w:sz w:val="22"/>
          <w:szCs w:val="22"/>
        </w:rPr>
        <w:t>REGIONAL SYNERGY FOR NEW CINEMA GOING EXPERIENCE </w:t>
      </w:r>
      <w:r w:rsidRPr="00270FC5">
        <w:rPr>
          <w:sz w:val="22"/>
          <w:szCs w:val="22"/>
        </w:rPr>
        <w:t xml:space="preserve">iz programa </w:t>
      </w:r>
      <w:r w:rsidRPr="00270FC5">
        <w:rPr>
          <w:b/>
          <w:bCs/>
          <w:sz w:val="22"/>
          <w:szCs w:val="22"/>
        </w:rPr>
        <w:t xml:space="preserve">COLLABORATE TO INNOVATE </w:t>
      </w:r>
      <w:r w:rsidRPr="00270FC5">
        <w:rPr>
          <w:sz w:val="22"/>
          <w:szCs w:val="22"/>
        </w:rPr>
        <w:t xml:space="preserve">u kojem je POU Koprivnica partner nositelju </w:t>
      </w:r>
      <w:r w:rsidRPr="00270FC5">
        <w:rPr>
          <w:b/>
          <w:bCs/>
          <w:sz w:val="22"/>
          <w:szCs w:val="22"/>
        </w:rPr>
        <w:t>Otvorenom univerzitetu Subotica, Srbija</w:t>
      </w:r>
      <w:r w:rsidRPr="00270FC5">
        <w:rPr>
          <w:sz w:val="22"/>
          <w:szCs w:val="22"/>
        </w:rPr>
        <w:t xml:space="preserve">. Ukupni </w:t>
      </w:r>
      <w:r w:rsidR="00157370" w:rsidRPr="00803E66">
        <w:rPr>
          <w:sz w:val="22"/>
          <w:szCs w:val="22"/>
        </w:rPr>
        <w:t>realizirani</w:t>
      </w:r>
      <w:r w:rsidRPr="00270FC5">
        <w:rPr>
          <w:sz w:val="22"/>
          <w:szCs w:val="22"/>
        </w:rPr>
        <w:t xml:space="preserve"> iznos</w:t>
      </w:r>
      <w:r w:rsidR="00DE71AC">
        <w:rPr>
          <w:sz w:val="22"/>
          <w:szCs w:val="22"/>
        </w:rPr>
        <w:t xml:space="preserve"> za </w:t>
      </w:r>
      <w:r w:rsidR="00DE71AC" w:rsidRPr="00803E66">
        <w:rPr>
          <w:sz w:val="22"/>
          <w:szCs w:val="22"/>
        </w:rPr>
        <w:t>202</w:t>
      </w:r>
      <w:r w:rsidR="00F56A5C" w:rsidRPr="00803E66">
        <w:rPr>
          <w:sz w:val="22"/>
          <w:szCs w:val="22"/>
        </w:rPr>
        <w:t>4</w:t>
      </w:r>
      <w:r w:rsidR="00DE71AC" w:rsidRPr="00803E66">
        <w:rPr>
          <w:sz w:val="22"/>
          <w:szCs w:val="22"/>
        </w:rPr>
        <w:t>.</w:t>
      </w:r>
      <w:r w:rsidR="00DE71AC">
        <w:rPr>
          <w:sz w:val="22"/>
          <w:szCs w:val="22"/>
        </w:rPr>
        <w:t xml:space="preserve"> </w:t>
      </w:r>
      <w:r w:rsidR="00FA71C7">
        <w:rPr>
          <w:sz w:val="22"/>
          <w:szCs w:val="22"/>
        </w:rPr>
        <w:t>bio je</w:t>
      </w:r>
      <w:r w:rsidRPr="00270FC5">
        <w:rPr>
          <w:sz w:val="22"/>
          <w:szCs w:val="22"/>
        </w:rPr>
        <w:t xml:space="preserve"> </w:t>
      </w:r>
      <w:r w:rsidR="00157370" w:rsidRPr="00803E66">
        <w:rPr>
          <w:sz w:val="22"/>
          <w:szCs w:val="22"/>
        </w:rPr>
        <w:t>16.</w:t>
      </w:r>
      <w:r w:rsidR="001C05B9" w:rsidRPr="00803E66">
        <w:rPr>
          <w:sz w:val="22"/>
          <w:szCs w:val="22"/>
        </w:rPr>
        <w:t>238,17</w:t>
      </w:r>
      <w:r w:rsidRPr="00270FC5">
        <w:rPr>
          <w:sz w:val="22"/>
          <w:szCs w:val="22"/>
        </w:rPr>
        <w:t xml:space="preserve"> € </w:t>
      </w:r>
      <w:r w:rsidR="00FA71C7">
        <w:rPr>
          <w:sz w:val="22"/>
          <w:szCs w:val="22"/>
        </w:rPr>
        <w:t xml:space="preserve">, a utrošio se </w:t>
      </w:r>
      <w:r w:rsidRPr="00270FC5">
        <w:rPr>
          <w:sz w:val="22"/>
          <w:szCs w:val="22"/>
        </w:rPr>
        <w:t xml:space="preserve">na </w:t>
      </w:r>
      <w:r w:rsidR="00E63067" w:rsidRPr="00270FC5">
        <w:rPr>
          <w:sz w:val="22"/>
          <w:szCs w:val="22"/>
        </w:rPr>
        <w:t xml:space="preserve">plaće, </w:t>
      </w:r>
      <w:r w:rsidR="00DB21BD" w:rsidRPr="00803E66">
        <w:rPr>
          <w:sz w:val="22"/>
          <w:szCs w:val="22"/>
        </w:rPr>
        <w:t>uredski materijal</w:t>
      </w:r>
      <w:r w:rsidRPr="00270FC5">
        <w:rPr>
          <w:sz w:val="22"/>
          <w:szCs w:val="22"/>
        </w:rPr>
        <w:t xml:space="preserve">, računalne usluge, zakupnine za filmove te intelektualne usluge. </w:t>
      </w:r>
      <w:r w:rsidR="004B3969" w:rsidRPr="00270FC5">
        <w:rPr>
          <w:sz w:val="22"/>
          <w:szCs w:val="22"/>
        </w:rPr>
        <w:t xml:space="preserve">Za navedenu aktivnost </w:t>
      </w:r>
      <w:r w:rsidR="00790343">
        <w:rPr>
          <w:sz w:val="22"/>
          <w:szCs w:val="22"/>
        </w:rPr>
        <w:t xml:space="preserve">izvršenje je </w:t>
      </w:r>
      <w:r w:rsidR="00DB21BD" w:rsidRPr="00803E66">
        <w:rPr>
          <w:sz w:val="22"/>
          <w:szCs w:val="22"/>
        </w:rPr>
        <w:t>10</w:t>
      </w:r>
      <w:r w:rsidR="008A7A21" w:rsidRPr="00803E66">
        <w:rPr>
          <w:sz w:val="22"/>
          <w:szCs w:val="22"/>
        </w:rPr>
        <w:t>5</w:t>
      </w:r>
      <w:r w:rsidR="00990004" w:rsidRPr="00270FC5">
        <w:rPr>
          <w:sz w:val="22"/>
          <w:szCs w:val="22"/>
        </w:rPr>
        <w:t>%</w:t>
      </w:r>
      <w:r w:rsidR="00270FC5" w:rsidRPr="00270FC5">
        <w:rPr>
          <w:sz w:val="22"/>
          <w:szCs w:val="22"/>
        </w:rPr>
        <w:t xml:space="preserve">. </w:t>
      </w:r>
    </w:p>
    <w:p w14:paraId="4386E8F2" w14:textId="77777777" w:rsidR="00364964" w:rsidRPr="006832AA" w:rsidRDefault="00364964" w:rsidP="006832AA">
      <w:pPr>
        <w:jc w:val="both"/>
        <w:rPr>
          <w:b/>
          <w:bCs/>
          <w:sz w:val="22"/>
          <w:szCs w:val="22"/>
        </w:rPr>
      </w:pPr>
    </w:p>
    <w:p w14:paraId="2D0E0764" w14:textId="77777777" w:rsidR="00DB56FC" w:rsidRPr="0043265E" w:rsidRDefault="00DB56FC" w:rsidP="00DB56FC">
      <w:pPr>
        <w:spacing w:line="276" w:lineRule="auto"/>
        <w:jc w:val="both"/>
        <w:rPr>
          <w:rFonts w:eastAsia="Calibri"/>
          <w:b/>
          <w:sz w:val="22"/>
          <w:szCs w:val="22"/>
        </w:rPr>
      </w:pPr>
      <w:r w:rsidRPr="0043265E">
        <w:rPr>
          <w:rFonts w:eastAsia="Calibri"/>
          <w:b/>
          <w:sz w:val="22"/>
          <w:szCs w:val="22"/>
        </w:rPr>
        <w:t>A600210 ERASMUS+ KA1 GO DIGITAL - izvor financiranja: EU</w:t>
      </w:r>
    </w:p>
    <w:p w14:paraId="0E3E6345" w14:textId="0F663276" w:rsidR="00DB56FC" w:rsidRPr="0043265E" w:rsidRDefault="00DB56FC" w:rsidP="00DB56FC">
      <w:pPr>
        <w:spacing w:line="276" w:lineRule="auto"/>
        <w:jc w:val="both"/>
        <w:rPr>
          <w:rFonts w:eastAsia="Calibri"/>
          <w:sz w:val="22"/>
          <w:szCs w:val="22"/>
        </w:rPr>
      </w:pPr>
      <w:r w:rsidRPr="0043265E">
        <w:rPr>
          <w:rFonts w:eastAsia="Calibri"/>
          <w:bCs/>
          <w:sz w:val="22"/>
          <w:szCs w:val="22"/>
        </w:rPr>
        <w:t>U 202</w:t>
      </w:r>
      <w:r w:rsidR="001121AC">
        <w:rPr>
          <w:rFonts w:eastAsia="Calibri"/>
          <w:bCs/>
          <w:sz w:val="22"/>
          <w:szCs w:val="22"/>
        </w:rPr>
        <w:t>4</w:t>
      </w:r>
      <w:r w:rsidRPr="0043265E">
        <w:rPr>
          <w:rFonts w:eastAsia="Calibri"/>
          <w:bCs/>
          <w:sz w:val="22"/>
          <w:szCs w:val="22"/>
        </w:rPr>
        <w:t>. godini planiran je projekt</w:t>
      </w:r>
      <w:r w:rsidRPr="0043265E">
        <w:rPr>
          <w:rFonts w:eastAsia="Calibri"/>
          <w:sz w:val="22"/>
          <w:szCs w:val="22"/>
        </w:rPr>
        <w:t xml:space="preserve"> </w:t>
      </w:r>
      <w:r w:rsidRPr="0043265E">
        <w:rPr>
          <w:rFonts w:eastAsia="Calibri"/>
          <w:b/>
          <w:sz w:val="22"/>
          <w:szCs w:val="22"/>
        </w:rPr>
        <w:t xml:space="preserve"> </w:t>
      </w:r>
      <w:r w:rsidRPr="0043265E">
        <w:rPr>
          <w:rFonts w:eastAsia="Calibri"/>
          <w:bCs/>
          <w:sz w:val="22"/>
          <w:szCs w:val="22"/>
        </w:rPr>
        <w:t>koji je</w:t>
      </w:r>
      <w:r w:rsidRPr="0043265E">
        <w:rPr>
          <w:rFonts w:eastAsia="Calibri"/>
          <w:b/>
          <w:sz w:val="22"/>
          <w:szCs w:val="22"/>
        </w:rPr>
        <w:t xml:space="preserve"> </w:t>
      </w:r>
      <w:r w:rsidRPr="0043265E">
        <w:rPr>
          <w:rFonts w:eastAsia="Calibri"/>
          <w:sz w:val="22"/>
          <w:szCs w:val="22"/>
        </w:rPr>
        <w:t>Učilištu odobren iz Erasmus+ KA1</w:t>
      </w:r>
      <w:r w:rsidR="002E2614">
        <w:rPr>
          <w:rFonts w:eastAsia="Calibri"/>
          <w:sz w:val="22"/>
          <w:szCs w:val="22"/>
        </w:rPr>
        <w:t xml:space="preserve"> programa</w:t>
      </w:r>
      <w:r w:rsidRPr="0043265E">
        <w:rPr>
          <w:rFonts w:eastAsia="Calibri"/>
          <w:sz w:val="22"/>
          <w:szCs w:val="22"/>
        </w:rPr>
        <w:t xml:space="preserve">, Go Digital! </w:t>
      </w:r>
      <w:r w:rsidR="002E2614">
        <w:rPr>
          <w:rFonts w:eastAsia="Calibri"/>
          <w:sz w:val="22"/>
          <w:szCs w:val="22"/>
        </w:rPr>
        <w:t xml:space="preserve">Projekt </w:t>
      </w:r>
      <w:r w:rsidRPr="0043265E">
        <w:rPr>
          <w:rFonts w:eastAsia="Calibri"/>
          <w:sz w:val="22"/>
          <w:szCs w:val="22"/>
        </w:rPr>
        <w:t>za jačanje digitalnih vještina osoblja</w:t>
      </w:r>
      <w:r w:rsidR="002E2614">
        <w:rPr>
          <w:rFonts w:eastAsia="Calibri"/>
          <w:sz w:val="22"/>
          <w:szCs w:val="22"/>
        </w:rPr>
        <w:t xml:space="preserve"> </w:t>
      </w:r>
      <w:r w:rsidRPr="0043265E">
        <w:rPr>
          <w:rFonts w:eastAsia="Calibri"/>
          <w:sz w:val="22"/>
          <w:szCs w:val="22"/>
        </w:rPr>
        <w:t xml:space="preserve"> počeo je 1. rujna 2023. i tra</w:t>
      </w:r>
      <w:r w:rsidR="00866F6A">
        <w:rPr>
          <w:rFonts w:eastAsia="Calibri"/>
          <w:sz w:val="22"/>
          <w:szCs w:val="22"/>
        </w:rPr>
        <w:t>jao je</w:t>
      </w:r>
      <w:r w:rsidRPr="0043265E">
        <w:rPr>
          <w:rFonts w:eastAsia="Calibri"/>
          <w:sz w:val="22"/>
          <w:szCs w:val="22"/>
        </w:rPr>
        <w:t xml:space="preserve"> do 31. kolovoza 2024. Planiran</w:t>
      </w:r>
      <w:r w:rsidR="007E39B0" w:rsidRPr="0043265E">
        <w:rPr>
          <w:rFonts w:eastAsia="Calibri"/>
          <w:sz w:val="22"/>
          <w:szCs w:val="22"/>
        </w:rPr>
        <w:t>i</w:t>
      </w:r>
      <w:r w:rsidRPr="0043265E">
        <w:rPr>
          <w:rFonts w:eastAsia="Calibri"/>
          <w:sz w:val="22"/>
          <w:szCs w:val="22"/>
        </w:rPr>
        <w:t xml:space="preserve"> iznos </w:t>
      </w:r>
      <w:r w:rsidR="007E39B0" w:rsidRPr="0043265E">
        <w:rPr>
          <w:rFonts w:eastAsia="Calibri"/>
          <w:sz w:val="22"/>
          <w:szCs w:val="22"/>
        </w:rPr>
        <w:t xml:space="preserve">od </w:t>
      </w:r>
      <w:r w:rsidR="00794267">
        <w:rPr>
          <w:rFonts w:eastAsia="Calibri"/>
          <w:sz w:val="22"/>
          <w:szCs w:val="22"/>
        </w:rPr>
        <w:t>6</w:t>
      </w:r>
      <w:r w:rsidR="005B02A1">
        <w:rPr>
          <w:rFonts w:eastAsia="Calibri"/>
          <w:sz w:val="22"/>
          <w:szCs w:val="22"/>
        </w:rPr>
        <w:t>.</w:t>
      </w:r>
      <w:r w:rsidR="00794267">
        <w:rPr>
          <w:rFonts w:eastAsia="Calibri"/>
          <w:sz w:val="22"/>
          <w:szCs w:val="22"/>
        </w:rPr>
        <w:t>590</w:t>
      </w:r>
      <w:r w:rsidRPr="0043265E">
        <w:rPr>
          <w:rFonts w:eastAsia="Calibri"/>
          <w:sz w:val="22"/>
          <w:szCs w:val="22"/>
        </w:rPr>
        <w:t xml:space="preserve">,00 </w:t>
      </w:r>
      <w:r w:rsidR="004A0483">
        <w:rPr>
          <w:rFonts w:eastAsia="Calibri"/>
          <w:sz w:val="22"/>
          <w:szCs w:val="22"/>
        </w:rPr>
        <w:t>€</w:t>
      </w:r>
      <w:r w:rsidR="007E39B0" w:rsidRPr="0043265E">
        <w:rPr>
          <w:rFonts w:eastAsia="Calibri"/>
          <w:sz w:val="22"/>
          <w:szCs w:val="22"/>
        </w:rPr>
        <w:t xml:space="preserve"> </w:t>
      </w:r>
      <w:r w:rsidR="005108FB">
        <w:rPr>
          <w:rFonts w:eastAsia="Calibri"/>
          <w:sz w:val="22"/>
          <w:szCs w:val="22"/>
        </w:rPr>
        <w:t>dok je realizacije bila</w:t>
      </w:r>
      <w:r w:rsidR="007E39B0" w:rsidRPr="0043265E">
        <w:rPr>
          <w:rFonts w:eastAsia="Calibri"/>
          <w:sz w:val="22"/>
          <w:szCs w:val="22"/>
        </w:rPr>
        <w:t xml:space="preserve"> </w:t>
      </w:r>
      <w:r w:rsidR="005108FB">
        <w:rPr>
          <w:rFonts w:eastAsia="Calibri"/>
          <w:sz w:val="22"/>
          <w:szCs w:val="22"/>
        </w:rPr>
        <w:t>97</w:t>
      </w:r>
      <w:r w:rsidR="007E39B0" w:rsidRPr="0043265E">
        <w:rPr>
          <w:rFonts w:eastAsia="Calibri"/>
          <w:sz w:val="22"/>
          <w:szCs w:val="22"/>
        </w:rPr>
        <w:t>%</w:t>
      </w:r>
      <w:r w:rsidR="005B02A1">
        <w:rPr>
          <w:rFonts w:eastAsia="Calibri"/>
          <w:sz w:val="22"/>
          <w:szCs w:val="22"/>
        </w:rPr>
        <w:t xml:space="preserve">. Navedeni </w:t>
      </w:r>
      <w:r w:rsidR="0010105D">
        <w:rPr>
          <w:rFonts w:eastAsia="Calibri"/>
          <w:sz w:val="22"/>
          <w:szCs w:val="22"/>
        </w:rPr>
        <w:t>i</w:t>
      </w:r>
      <w:r w:rsidR="007E39B0" w:rsidRPr="0043265E">
        <w:rPr>
          <w:rFonts w:eastAsia="Calibri"/>
          <w:sz w:val="22"/>
          <w:szCs w:val="22"/>
        </w:rPr>
        <w:t>znos</w:t>
      </w:r>
      <w:r w:rsidR="0010105D">
        <w:rPr>
          <w:rFonts w:eastAsia="Calibri"/>
          <w:sz w:val="22"/>
          <w:szCs w:val="22"/>
        </w:rPr>
        <w:t xml:space="preserve"> utrošen je za</w:t>
      </w:r>
      <w:r w:rsidR="007E39B0" w:rsidRPr="0043265E">
        <w:rPr>
          <w:rFonts w:eastAsia="Calibri"/>
          <w:sz w:val="22"/>
          <w:szCs w:val="22"/>
        </w:rPr>
        <w:t xml:space="preserve"> potrebe</w:t>
      </w:r>
      <w:r w:rsidRPr="0043265E">
        <w:rPr>
          <w:rFonts w:eastAsia="Calibri"/>
          <w:sz w:val="22"/>
          <w:szCs w:val="22"/>
        </w:rPr>
        <w:t xml:space="preserve"> stručno</w:t>
      </w:r>
      <w:r w:rsidR="007E39B0" w:rsidRPr="0043265E">
        <w:rPr>
          <w:rFonts w:eastAsia="Calibri"/>
          <w:sz w:val="22"/>
          <w:szCs w:val="22"/>
        </w:rPr>
        <w:t>g</w:t>
      </w:r>
      <w:r w:rsidRPr="0043265E">
        <w:rPr>
          <w:rFonts w:eastAsia="Calibri"/>
          <w:sz w:val="22"/>
          <w:szCs w:val="22"/>
        </w:rPr>
        <w:t xml:space="preserve"> osposobljavanj</w:t>
      </w:r>
      <w:r w:rsidR="007E39B0" w:rsidRPr="0043265E">
        <w:rPr>
          <w:rFonts w:eastAsia="Calibri"/>
          <w:sz w:val="22"/>
          <w:szCs w:val="22"/>
        </w:rPr>
        <w:t>a</w:t>
      </w:r>
      <w:r w:rsidRPr="0043265E">
        <w:rPr>
          <w:rFonts w:eastAsia="Calibri"/>
          <w:sz w:val="22"/>
          <w:szCs w:val="22"/>
        </w:rPr>
        <w:t xml:space="preserve"> zaposlenika</w:t>
      </w:r>
      <w:r w:rsidR="005108FB">
        <w:rPr>
          <w:rFonts w:eastAsia="Calibri"/>
          <w:sz w:val="22"/>
          <w:szCs w:val="22"/>
        </w:rPr>
        <w:t>, naknada za vanjske suradnike</w:t>
      </w:r>
      <w:r w:rsidRPr="0043265E">
        <w:rPr>
          <w:rFonts w:eastAsia="Calibri"/>
          <w:sz w:val="22"/>
          <w:szCs w:val="22"/>
        </w:rPr>
        <w:t xml:space="preserve"> i službena putovanja. </w:t>
      </w:r>
    </w:p>
    <w:p w14:paraId="3454C753" w14:textId="77777777" w:rsidR="00506F6A" w:rsidRPr="0043265E" w:rsidRDefault="00506F6A" w:rsidP="00506F6A">
      <w:pPr>
        <w:jc w:val="both"/>
        <w:rPr>
          <w:color w:val="FF0000"/>
          <w:sz w:val="22"/>
          <w:szCs w:val="22"/>
        </w:rPr>
      </w:pPr>
    </w:p>
    <w:p w14:paraId="4DCFE0DB" w14:textId="77777777" w:rsidR="001104C0" w:rsidRPr="001104C0" w:rsidRDefault="001104C0" w:rsidP="001104C0">
      <w:pPr>
        <w:tabs>
          <w:tab w:val="left" w:pos="4080"/>
        </w:tabs>
        <w:spacing w:line="276" w:lineRule="auto"/>
        <w:jc w:val="both"/>
        <w:rPr>
          <w:b/>
          <w:sz w:val="22"/>
          <w:szCs w:val="22"/>
        </w:rPr>
      </w:pPr>
      <w:r w:rsidRPr="001104C0">
        <w:rPr>
          <w:b/>
          <w:sz w:val="22"/>
          <w:szCs w:val="22"/>
        </w:rPr>
        <w:t>A600211 ERASMUS+ KA2 BU.BI - izvor financiranja: EU</w:t>
      </w:r>
    </w:p>
    <w:p w14:paraId="3AF22386" w14:textId="1A4577A8" w:rsidR="001104C0" w:rsidRDefault="001104C0" w:rsidP="001104C0">
      <w:pPr>
        <w:tabs>
          <w:tab w:val="left" w:pos="4080"/>
        </w:tabs>
        <w:spacing w:line="276" w:lineRule="auto"/>
        <w:jc w:val="both"/>
        <w:rPr>
          <w:bCs/>
          <w:sz w:val="22"/>
          <w:szCs w:val="22"/>
        </w:rPr>
      </w:pPr>
      <w:r w:rsidRPr="001104C0">
        <w:rPr>
          <w:bCs/>
          <w:sz w:val="22"/>
          <w:szCs w:val="22"/>
        </w:rPr>
        <w:t xml:space="preserve">U trećem projektu POU Koprivnice planirali smo iznos od </w:t>
      </w:r>
      <w:r w:rsidR="00FB3EE5">
        <w:rPr>
          <w:bCs/>
          <w:sz w:val="22"/>
          <w:szCs w:val="22"/>
        </w:rPr>
        <w:t>12.854,00</w:t>
      </w:r>
      <w:r w:rsidRPr="001104C0">
        <w:rPr>
          <w:bCs/>
          <w:sz w:val="22"/>
          <w:szCs w:val="22"/>
        </w:rPr>
        <w:t xml:space="preserve"> €, koji je odobren iz programa Erasmus+ KA2. Projekt je započeo 1. studenoga 2023., a traje do 31. listopada 2025. godine. Planirani rashodi odnose se na rashode za zaposlene i materijalne troškove, a </w:t>
      </w:r>
      <w:r w:rsidR="006F1012">
        <w:rPr>
          <w:bCs/>
          <w:sz w:val="22"/>
          <w:szCs w:val="22"/>
        </w:rPr>
        <w:t>realizirani su u iznosu od 9</w:t>
      </w:r>
      <w:r w:rsidR="00BA5E31">
        <w:rPr>
          <w:bCs/>
          <w:sz w:val="22"/>
          <w:szCs w:val="22"/>
        </w:rPr>
        <w:t>.</w:t>
      </w:r>
      <w:r w:rsidR="006F1012">
        <w:rPr>
          <w:bCs/>
          <w:sz w:val="22"/>
          <w:szCs w:val="22"/>
        </w:rPr>
        <w:t>852</w:t>
      </w:r>
      <w:r w:rsidR="00BA5E31">
        <w:rPr>
          <w:bCs/>
          <w:sz w:val="22"/>
          <w:szCs w:val="22"/>
        </w:rPr>
        <w:t>,</w:t>
      </w:r>
      <w:r w:rsidR="006F1012">
        <w:rPr>
          <w:bCs/>
          <w:sz w:val="22"/>
          <w:szCs w:val="22"/>
        </w:rPr>
        <w:t>59</w:t>
      </w:r>
      <w:r w:rsidRPr="001104C0">
        <w:rPr>
          <w:bCs/>
          <w:sz w:val="22"/>
          <w:szCs w:val="22"/>
        </w:rPr>
        <w:t xml:space="preserve"> €</w:t>
      </w:r>
      <w:r w:rsidR="00065134">
        <w:rPr>
          <w:bCs/>
          <w:sz w:val="22"/>
          <w:szCs w:val="22"/>
        </w:rPr>
        <w:t xml:space="preserve">. </w:t>
      </w:r>
    </w:p>
    <w:p w14:paraId="3D3E968D" w14:textId="77777777" w:rsidR="007A78A2" w:rsidRDefault="007A78A2" w:rsidP="001104C0">
      <w:pPr>
        <w:tabs>
          <w:tab w:val="left" w:pos="4080"/>
        </w:tabs>
        <w:spacing w:line="276" w:lineRule="auto"/>
        <w:jc w:val="both"/>
        <w:rPr>
          <w:bCs/>
          <w:sz w:val="22"/>
          <w:szCs w:val="22"/>
        </w:rPr>
      </w:pPr>
    </w:p>
    <w:p w14:paraId="37CFFDDF" w14:textId="1B557913" w:rsidR="007A78A2" w:rsidRPr="007A78A2" w:rsidRDefault="007A78A2" w:rsidP="001104C0">
      <w:pPr>
        <w:tabs>
          <w:tab w:val="left" w:pos="4080"/>
        </w:tabs>
        <w:spacing w:line="276" w:lineRule="auto"/>
        <w:jc w:val="both"/>
        <w:rPr>
          <w:b/>
          <w:bCs/>
          <w:sz w:val="22"/>
          <w:szCs w:val="22"/>
        </w:rPr>
      </w:pPr>
      <w:r w:rsidRPr="007A78A2">
        <w:rPr>
          <w:b/>
          <w:bCs/>
          <w:sz w:val="22"/>
          <w:szCs w:val="22"/>
        </w:rPr>
        <w:t>A6002</w:t>
      </w:r>
      <w:r w:rsidR="006A78E7">
        <w:rPr>
          <w:b/>
          <w:bCs/>
          <w:sz w:val="22"/>
          <w:szCs w:val="22"/>
        </w:rPr>
        <w:t>13</w:t>
      </w:r>
      <w:r w:rsidRPr="007A78A2">
        <w:rPr>
          <w:b/>
          <w:bCs/>
          <w:sz w:val="22"/>
          <w:szCs w:val="22"/>
        </w:rPr>
        <w:t xml:space="preserve"> ERASMUS+ </w:t>
      </w:r>
      <w:r w:rsidR="006A78E7">
        <w:rPr>
          <w:b/>
          <w:bCs/>
          <w:sz w:val="22"/>
          <w:szCs w:val="22"/>
        </w:rPr>
        <w:t>AKREDITACIJA</w:t>
      </w:r>
      <w:r w:rsidRPr="007A78A2">
        <w:rPr>
          <w:b/>
          <w:bCs/>
          <w:sz w:val="22"/>
          <w:szCs w:val="22"/>
        </w:rPr>
        <w:t xml:space="preserve"> - izvor financiranja: EU</w:t>
      </w:r>
    </w:p>
    <w:p w14:paraId="672DA574" w14:textId="59568EA3" w:rsidR="007A78A2" w:rsidRPr="007A78A2" w:rsidRDefault="007A78A2" w:rsidP="007A78A2">
      <w:pPr>
        <w:tabs>
          <w:tab w:val="left" w:pos="4080"/>
        </w:tabs>
        <w:spacing w:line="276" w:lineRule="auto"/>
        <w:jc w:val="both"/>
        <w:rPr>
          <w:bCs/>
          <w:sz w:val="22"/>
          <w:szCs w:val="22"/>
        </w:rPr>
      </w:pPr>
      <w:r w:rsidRPr="007A78A2">
        <w:rPr>
          <w:bCs/>
          <w:sz w:val="22"/>
          <w:szCs w:val="22"/>
        </w:rPr>
        <w:t>Pučkom otvorenom učilištu Koprivnica je u siječnju 2025. godine odobrena Erasmus akreditacija za područje obrazovanja odraslih za razdoblje od 4 godine. U okviru prve godine akreditacije odobrena su sredstva za prvi akreditirani projekt, koji traje od 1.6.2024. U prosincu 2024. godine održana je prva aktivnost, pozvani stručnjak Ana Mirković iz Srbije je održala trodnevni interni trening svih djelatnika POU Koprivnica na temu komunikacije i timskog rada. Ukupno odobrena sredstva za prvu godinu akreditacije iznose 8.545,00 EUR</w:t>
      </w:r>
      <w:r w:rsidR="004335C0">
        <w:rPr>
          <w:bCs/>
          <w:sz w:val="22"/>
          <w:szCs w:val="22"/>
        </w:rPr>
        <w:t xml:space="preserve">, </w:t>
      </w:r>
      <w:r w:rsidR="004131D1">
        <w:rPr>
          <w:bCs/>
          <w:sz w:val="22"/>
          <w:szCs w:val="22"/>
        </w:rPr>
        <w:t xml:space="preserve">no </w:t>
      </w:r>
      <w:r w:rsidR="009C2F1A">
        <w:rPr>
          <w:bCs/>
          <w:sz w:val="22"/>
          <w:szCs w:val="22"/>
        </w:rPr>
        <w:t>izvršenje</w:t>
      </w:r>
      <w:r w:rsidR="004131D1">
        <w:rPr>
          <w:bCs/>
          <w:sz w:val="22"/>
          <w:szCs w:val="22"/>
        </w:rPr>
        <w:t xml:space="preserve"> </w:t>
      </w:r>
      <w:r w:rsidR="009C2F1A">
        <w:rPr>
          <w:bCs/>
          <w:sz w:val="22"/>
          <w:szCs w:val="22"/>
        </w:rPr>
        <w:t>za</w:t>
      </w:r>
      <w:r w:rsidR="004131D1">
        <w:rPr>
          <w:bCs/>
          <w:sz w:val="22"/>
          <w:szCs w:val="22"/>
        </w:rPr>
        <w:t xml:space="preserve"> 2024</w:t>
      </w:r>
      <w:r w:rsidR="009C2F1A">
        <w:rPr>
          <w:bCs/>
          <w:sz w:val="22"/>
          <w:szCs w:val="22"/>
        </w:rPr>
        <w:t>.</w:t>
      </w:r>
      <w:r w:rsidR="004131D1">
        <w:rPr>
          <w:bCs/>
          <w:sz w:val="22"/>
          <w:szCs w:val="22"/>
        </w:rPr>
        <w:t xml:space="preserve"> iznosi </w:t>
      </w:r>
      <w:r w:rsidR="004335C0">
        <w:rPr>
          <w:bCs/>
          <w:sz w:val="22"/>
          <w:szCs w:val="22"/>
        </w:rPr>
        <w:t>755,00 €</w:t>
      </w:r>
      <w:r w:rsidRPr="007A78A2">
        <w:rPr>
          <w:bCs/>
          <w:sz w:val="22"/>
          <w:szCs w:val="22"/>
        </w:rPr>
        <w:t>.</w:t>
      </w:r>
    </w:p>
    <w:p w14:paraId="363E8B86" w14:textId="77777777" w:rsidR="003C56D0" w:rsidRPr="0043265E" w:rsidRDefault="003C56D0" w:rsidP="00BB067B">
      <w:pPr>
        <w:tabs>
          <w:tab w:val="left" w:pos="4080"/>
        </w:tabs>
        <w:spacing w:line="276" w:lineRule="auto"/>
        <w:jc w:val="both"/>
        <w:rPr>
          <w:sz w:val="22"/>
          <w:szCs w:val="22"/>
        </w:rPr>
      </w:pPr>
    </w:p>
    <w:p w14:paraId="187B60EF" w14:textId="513356CF" w:rsidR="004C50CB" w:rsidRDefault="004C7057" w:rsidP="00BB067B">
      <w:pPr>
        <w:spacing w:line="276" w:lineRule="auto"/>
        <w:jc w:val="both"/>
        <w:rPr>
          <w:b/>
          <w:sz w:val="22"/>
          <w:szCs w:val="22"/>
        </w:rPr>
      </w:pPr>
      <w:r w:rsidRPr="0043265E">
        <w:rPr>
          <w:b/>
          <w:sz w:val="22"/>
          <w:szCs w:val="22"/>
        </w:rPr>
        <w:t>Zakonske i druge podloge na kojima se zasnivaju programi</w:t>
      </w:r>
    </w:p>
    <w:p w14:paraId="585496AD" w14:textId="77777777" w:rsidR="006064F2" w:rsidRPr="0043265E" w:rsidRDefault="006064F2" w:rsidP="00BB067B">
      <w:pPr>
        <w:spacing w:line="276" w:lineRule="auto"/>
        <w:jc w:val="both"/>
        <w:rPr>
          <w:b/>
          <w:sz w:val="22"/>
          <w:szCs w:val="22"/>
        </w:rPr>
      </w:pPr>
    </w:p>
    <w:p w14:paraId="31F4F97D" w14:textId="6CA5D28A" w:rsidR="006F792A" w:rsidRPr="0043265E" w:rsidRDefault="00641203" w:rsidP="00BB067B">
      <w:pPr>
        <w:spacing w:line="276" w:lineRule="auto"/>
        <w:jc w:val="both"/>
        <w:rPr>
          <w:sz w:val="22"/>
          <w:szCs w:val="22"/>
        </w:rPr>
      </w:pPr>
      <w:r w:rsidRPr="00641203">
        <w:rPr>
          <w:bCs/>
          <w:sz w:val="22"/>
          <w:szCs w:val="22"/>
        </w:rPr>
        <w:t xml:space="preserve">Pučko otvoreno učilište Koprivnica je javna ustanova u kulturi koja obavlja svoju djelatnost u skladu sa Statutom Učilišta Koprivnica (KLASA: 002-03/24-01/1; URBROJ: 2137-80-24-1, od 26.06.2024.) te u skladu sa Zakonom o pučkim otvorenim učilištima (NN 54/97, 5/98, 109/99, 139/10), Zakonom o ustanovama (NN 76/93, 29/97, 47/99, 35/08, 127/19, 151/22), Zakonom o kulturnim vijećima i financiranju javnih potreba u kulturi (NN 83/22), Zakonom o proračunu (NN 87/08, 13/12, 15/15, 144/21), Zakonom o fiskalnoj odgovornosti (NN 111/18, 83/23), Pravilnikom o proračunskom računovodstvu i računskom planu (NN 124/14, 115/15, 87/16, 3/18, 126/19, 108/20, 158/23), Pravilnikom o financijskom izvještavanju u proračunskom računovodstvu (NN 3/15, 135/15, 2/17, 112/18, 126/19, 145/20, 32/21, 37/22)  Zakonom o porezu na dodanu vrijednost (NN 73/13, 99/13, 148/13, 153/13, 143/14, 115/16, 106/18, 121/19, 138/20, 39/22, 33/23, 114/23, 35/24), Pravilnikom o planiranju u sustavu proračuna (NN1/24), Pravilnik o polugodišnjem i godišnjem izvještaju o izvršenju proračuna (NN 24/13, 102/17, 1/20 i 147/20, 85/23) kao i Pravilnicima te Procedurama propisanim od strane Učilišta. Redovna djelatnost Učilišta ostvaruje se u skladu sa Zakonom o radu (NN 93/14, 127/17, 98/19, 151/22, 64/23), Kolektivnim ugovorom za zaposlene u ustanovama kulture Grada Koprivnice od 30.siječnja 2023. g. i I. Dodatkom Kolektivnom ugovoru za zaposlene u ustanovama kulture Grada Koprivnice od 29. rujna 2023. g., II. Dodatkom Kolektivnom ugovoru za zaposlene u ustanovama kulture Grada Koprivnice od 22. ožujka 2024. g. </w:t>
      </w:r>
      <w:r w:rsidR="009B5B1A" w:rsidRPr="009B5B1A">
        <w:rPr>
          <w:bCs/>
          <w:sz w:val="22"/>
          <w:szCs w:val="22"/>
        </w:rPr>
        <w:t>., I</w:t>
      </w:r>
      <w:r w:rsidR="009B5B1A">
        <w:rPr>
          <w:bCs/>
          <w:sz w:val="22"/>
          <w:szCs w:val="22"/>
        </w:rPr>
        <w:t>I</w:t>
      </w:r>
      <w:r w:rsidR="009B5B1A" w:rsidRPr="009B5B1A">
        <w:rPr>
          <w:bCs/>
          <w:sz w:val="22"/>
          <w:szCs w:val="22"/>
        </w:rPr>
        <w:t xml:space="preserve">I. Dodatkom Kolektivnom ugovoru za zaposlene u ustanovama kulture Grada Koprivnice od </w:t>
      </w:r>
      <w:r w:rsidR="00783485">
        <w:rPr>
          <w:bCs/>
          <w:sz w:val="22"/>
          <w:szCs w:val="22"/>
        </w:rPr>
        <w:t>5</w:t>
      </w:r>
      <w:r w:rsidR="009B5B1A" w:rsidRPr="009B5B1A">
        <w:rPr>
          <w:bCs/>
          <w:sz w:val="22"/>
          <w:szCs w:val="22"/>
        </w:rPr>
        <w:t xml:space="preserve">. </w:t>
      </w:r>
      <w:r w:rsidR="00783485">
        <w:rPr>
          <w:bCs/>
          <w:sz w:val="22"/>
          <w:szCs w:val="22"/>
        </w:rPr>
        <w:t>prosinca</w:t>
      </w:r>
      <w:r w:rsidR="009B5B1A" w:rsidRPr="009B5B1A">
        <w:rPr>
          <w:bCs/>
          <w:sz w:val="22"/>
          <w:szCs w:val="22"/>
        </w:rPr>
        <w:t xml:space="preserve"> 2024. g.</w:t>
      </w:r>
      <w:r w:rsidR="00783485">
        <w:rPr>
          <w:bCs/>
          <w:sz w:val="22"/>
          <w:szCs w:val="22"/>
        </w:rPr>
        <w:t xml:space="preserve"> </w:t>
      </w:r>
      <w:r w:rsidRPr="00641203">
        <w:rPr>
          <w:bCs/>
          <w:sz w:val="22"/>
          <w:szCs w:val="22"/>
        </w:rPr>
        <w:t xml:space="preserve">te drugim općim aktima donijeti od Upravnog vijeća Učilišta koji su u skladu s važećim zakonskim propisima. </w:t>
      </w:r>
    </w:p>
    <w:p w14:paraId="2F351F5A" w14:textId="77777777" w:rsidR="00D01324" w:rsidRPr="0043265E" w:rsidRDefault="00D01324" w:rsidP="00D01324">
      <w:pPr>
        <w:tabs>
          <w:tab w:val="left" w:pos="4080"/>
        </w:tabs>
        <w:spacing w:line="276" w:lineRule="auto"/>
        <w:jc w:val="both"/>
        <w:rPr>
          <w:sz w:val="22"/>
          <w:szCs w:val="22"/>
        </w:rPr>
      </w:pPr>
    </w:p>
    <w:p w14:paraId="24007DE3" w14:textId="77777777" w:rsidR="00D01324" w:rsidRPr="0043265E" w:rsidRDefault="00D01324" w:rsidP="00D01324">
      <w:pPr>
        <w:pStyle w:val="Naslov8"/>
        <w:spacing w:before="0" w:after="0" w:line="276" w:lineRule="auto"/>
        <w:jc w:val="both"/>
        <w:rPr>
          <w:b/>
          <w:i w:val="0"/>
          <w:color w:val="000000"/>
          <w:sz w:val="22"/>
          <w:szCs w:val="22"/>
        </w:rPr>
      </w:pPr>
      <w:r w:rsidRPr="0043265E">
        <w:rPr>
          <w:b/>
          <w:i w:val="0"/>
          <w:color w:val="000000"/>
          <w:sz w:val="22"/>
          <w:szCs w:val="22"/>
        </w:rPr>
        <w:t>Usklađenost ciljeva, strategije i programa s dokumentima dugoročnog razvoja</w:t>
      </w:r>
    </w:p>
    <w:p w14:paraId="41EA3E2A" w14:textId="77777777" w:rsidR="00D01324" w:rsidRPr="0043265E" w:rsidRDefault="00D01324" w:rsidP="00D01324">
      <w:pPr>
        <w:pStyle w:val="Naslov8"/>
        <w:spacing w:before="0" w:after="0" w:line="276" w:lineRule="auto"/>
        <w:jc w:val="both"/>
        <w:rPr>
          <w:i w:val="0"/>
          <w:color w:val="000000"/>
          <w:sz w:val="22"/>
          <w:szCs w:val="22"/>
        </w:rPr>
      </w:pPr>
      <w:r w:rsidRPr="0043265E">
        <w:rPr>
          <w:i w:val="0"/>
          <w:color w:val="000000"/>
          <w:sz w:val="22"/>
          <w:szCs w:val="22"/>
        </w:rPr>
        <w:t>Svi programi, strategija i planski ciljevi donose se u skladu s planom i programom djelatnosti za narednu godinu i strateškim odrednicama Grada kao osnivača ustanove.</w:t>
      </w:r>
    </w:p>
    <w:p w14:paraId="2D6B4574" w14:textId="77777777" w:rsidR="006832AA" w:rsidRDefault="006832AA" w:rsidP="00D01324">
      <w:pPr>
        <w:spacing w:line="276" w:lineRule="auto"/>
        <w:jc w:val="both"/>
        <w:rPr>
          <w:color w:val="000000"/>
        </w:rPr>
      </w:pPr>
    </w:p>
    <w:p w14:paraId="43DB7BBE" w14:textId="77777777" w:rsidR="006832AA" w:rsidRPr="00BE4EA7" w:rsidRDefault="006832AA" w:rsidP="00D01324">
      <w:pPr>
        <w:spacing w:line="276" w:lineRule="auto"/>
        <w:jc w:val="both"/>
        <w:rPr>
          <w:color w:val="000000"/>
        </w:rPr>
      </w:pPr>
    </w:p>
    <w:p w14:paraId="735665AD" w14:textId="77777777" w:rsidR="00803E66" w:rsidRDefault="00803E66" w:rsidP="00D01324">
      <w:pPr>
        <w:spacing w:line="276" w:lineRule="auto"/>
        <w:jc w:val="both"/>
        <w:rPr>
          <w:color w:val="000000"/>
        </w:rPr>
      </w:pPr>
    </w:p>
    <w:p w14:paraId="6F8B2421" w14:textId="77777777" w:rsidR="00803E66" w:rsidRDefault="00803E66" w:rsidP="00D01324">
      <w:pPr>
        <w:spacing w:line="276" w:lineRule="auto"/>
        <w:jc w:val="both"/>
        <w:rPr>
          <w:color w:val="000000"/>
        </w:rPr>
      </w:pPr>
    </w:p>
    <w:p w14:paraId="530961C8" w14:textId="77777777" w:rsidR="00803E66" w:rsidRPr="00BE4EA7" w:rsidRDefault="00803E66" w:rsidP="00D01324">
      <w:pPr>
        <w:spacing w:line="276" w:lineRule="auto"/>
        <w:jc w:val="both"/>
        <w:rPr>
          <w:color w:val="000000"/>
        </w:rPr>
      </w:pPr>
    </w:p>
    <w:p w14:paraId="2674A2E3" w14:textId="3077F90E" w:rsidR="006832AA" w:rsidRPr="002146E3" w:rsidRDefault="00D01324" w:rsidP="006832AA">
      <w:pPr>
        <w:spacing w:line="276" w:lineRule="auto"/>
        <w:jc w:val="both"/>
        <w:rPr>
          <w:b/>
          <w:sz w:val="22"/>
          <w:szCs w:val="22"/>
        </w:rPr>
      </w:pPr>
      <w:r w:rsidRPr="002146E3">
        <w:rPr>
          <w:b/>
          <w:sz w:val="22"/>
          <w:szCs w:val="22"/>
        </w:rPr>
        <w:lastRenderedPageBreak/>
        <w:t>Ciljevi provedbe programa  i pokazatelji uspješnosti kojima će se mjeri ostvarivanje tih ciljeva</w:t>
      </w:r>
      <w:r w:rsidR="00803E66">
        <w:rPr>
          <w:b/>
          <w:sz w:val="22"/>
          <w:szCs w:val="22"/>
        </w:rPr>
        <w:t>.</w:t>
      </w:r>
    </w:p>
    <w:p w14:paraId="72DFBCAE" w14:textId="77777777" w:rsidR="00803E66" w:rsidRDefault="00803E66" w:rsidP="00D01324">
      <w:pPr>
        <w:spacing w:line="276" w:lineRule="auto"/>
        <w:rPr>
          <w:b/>
          <w:i/>
          <w:lang w:eastAsia="hr-HR"/>
        </w:rPr>
      </w:pPr>
    </w:p>
    <w:p w14:paraId="0145E31A" w14:textId="6947644D" w:rsidR="00D01324" w:rsidRPr="00803E66" w:rsidRDefault="00D01324" w:rsidP="00D01324">
      <w:pPr>
        <w:spacing w:line="276" w:lineRule="auto"/>
        <w:rPr>
          <w:b/>
          <w:i/>
          <w:lang w:eastAsia="hr-HR"/>
        </w:rPr>
      </w:pPr>
      <w:r w:rsidRPr="00803E66">
        <w:rPr>
          <w:b/>
          <w:i/>
          <w:lang w:eastAsia="hr-HR"/>
        </w:rPr>
        <w:t xml:space="preserve">Pokazatelji uspješnosti </w:t>
      </w:r>
    </w:p>
    <w:p w14:paraId="0561915D" w14:textId="77777777" w:rsidR="00391B89" w:rsidRPr="00803E66" w:rsidRDefault="00391B89" w:rsidP="00D01324">
      <w:pPr>
        <w:spacing w:line="276" w:lineRule="auto"/>
        <w:rPr>
          <w:b/>
          <w:i/>
          <w:lang w:eastAsia="hr-HR"/>
        </w:rPr>
      </w:pPr>
    </w:p>
    <w:p w14:paraId="5F5A9FA5" w14:textId="44A7E2FC" w:rsidR="00D01324" w:rsidRPr="00803E66" w:rsidRDefault="00D01324" w:rsidP="00803E66">
      <w:pPr>
        <w:numPr>
          <w:ilvl w:val="0"/>
          <w:numId w:val="1"/>
        </w:numPr>
        <w:spacing w:line="276" w:lineRule="auto"/>
        <w:rPr>
          <w:b/>
          <w:lang w:eastAsia="hr-HR"/>
        </w:rPr>
      </w:pPr>
      <w:r w:rsidRPr="00803E66">
        <w:rPr>
          <w:b/>
          <w:lang w:eastAsia="hr-HR"/>
        </w:rPr>
        <w:t>Glazbeno scenska djelatnost</w:t>
      </w:r>
    </w:p>
    <w:tbl>
      <w:tblPr>
        <w:tblpPr w:leftFromText="180" w:rightFromText="180" w:vertAnchor="text" w:horzAnchor="margin" w:tblpXSpec="center" w:tblpY="405"/>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0"/>
        <w:gridCol w:w="1884"/>
        <w:gridCol w:w="928"/>
        <w:gridCol w:w="1078"/>
        <w:gridCol w:w="1171"/>
        <w:gridCol w:w="1166"/>
        <w:gridCol w:w="1216"/>
      </w:tblGrid>
      <w:tr w:rsidR="00A84813" w:rsidRPr="00E2600D" w14:paraId="18F0E4B1" w14:textId="77777777" w:rsidTr="00A84813">
        <w:trPr>
          <w:trHeight w:val="470"/>
        </w:trPr>
        <w:tc>
          <w:tcPr>
            <w:tcW w:w="0" w:type="auto"/>
            <w:shd w:val="clear" w:color="auto" w:fill="99CCFF"/>
            <w:vAlign w:val="center"/>
          </w:tcPr>
          <w:p w14:paraId="12595B1E" w14:textId="77777777" w:rsidR="00A84813" w:rsidRPr="00E2600D" w:rsidRDefault="00A84813" w:rsidP="00EF4EAE">
            <w:pPr>
              <w:spacing w:line="276" w:lineRule="auto"/>
              <w:rPr>
                <w:b/>
                <w:color w:val="000000"/>
                <w:sz w:val="20"/>
                <w:szCs w:val="20"/>
                <w:lang w:eastAsia="hr-HR"/>
              </w:rPr>
            </w:pPr>
            <w:r w:rsidRPr="00E2600D">
              <w:rPr>
                <w:b/>
                <w:color w:val="000000"/>
                <w:sz w:val="20"/>
                <w:szCs w:val="20"/>
                <w:lang w:eastAsia="hr-HR"/>
              </w:rPr>
              <w:t>Pokazatelj rezultata</w:t>
            </w:r>
          </w:p>
        </w:tc>
        <w:tc>
          <w:tcPr>
            <w:tcW w:w="0" w:type="auto"/>
            <w:shd w:val="clear" w:color="auto" w:fill="99CCFF"/>
            <w:vAlign w:val="center"/>
          </w:tcPr>
          <w:p w14:paraId="090946EC" w14:textId="77777777" w:rsidR="00A84813" w:rsidRPr="00E2600D" w:rsidRDefault="00A84813" w:rsidP="00EF4EAE">
            <w:pPr>
              <w:spacing w:line="276" w:lineRule="auto"/>
              <w:rPr>
                <w:b/>
                <w:color w:val="000000"/>
                <w:sz w:val="20"/>
                <w:szCs w:val="20"/>
                <w:lang w:eastAsia="hr-HR"/>
              </w:rPr>
            </w:pPr>
            <w:r w:rsidRPr="00E2600D">
              <w:rPr>
                <w:b/>
                <w:color w:val="000000"/>
                <w:sz w:val="20"/>
                <w:szCs w:val="20"/>
                <w:lang w:eastAsia="hr-HR"/>
              </w:rPr>
              <w:t>Definicija</w:t>
            </w:r>
          </w:p>
        </w:tc>
        <w:tc>
          <w:tcPr>
            <w:tcW w:w="0" w:type="auto"/>
            <w:shd w:val="clear" w:color="auto" w:fill="99CCFF"/>
            <w:vAlign w:val="center"/>
          </w:tcPr>
          <w:p w14:paraId="43F287FA" w14:textId="77777777" w:rsidR="00A84813" w:rsidRPr="00E2600D" w:rsidRDefault="00A84813" w:rsidP="00EF4EAE">
            <w:pPr>
              <w:spacing w:line="276" w:lineRule="auto"/>
              <w:rPr>
                <w:b/>
                <w:color w:val="000000"/>
                <w:sz w:val="20"/>
                <w:szCs w:val="20"/>
                <w:lang w:eastAsia="hr-HR"/>
              </w:rPr>
            </w:pPr>
            <w:r w:rsidRPr="00E2600D">
              <w:rPr>
                <w:b/>
                <w:color w:val="000000"/>
                <w:sz w:val="20"/>
                <w:szCs w:val="20"/>
                <w:lang w:eastAsia="hr-HR"/>
              </w:rPr>
              <w:t>Jedinica</w:t>
            </w:r>
          </w:p>
        </w:tc>
        <w:tc>
          <w:tcPr>
            <w:tcW w:w="0" w:type="auto"/>
            <w:shd w:val="clear" w:color="auto" w:fill="99CCFF"/>
            <w:vAlign w:val="center"/>
          </w:tcPr>
          <w:p w14:paraId="149DB17C" w14:textId="77777777" w:rsidR="00A84813" w:rsidRPr="00E2600D" w:rsidRDefault="00A84813" w:rsidP="00EF4EAE">
            <w:pPr>
              <w:spacing w:line="276" w:lineRule="auto"/>
              <w:rPr>
                <w:b/>
                <w:color w:val="000000"/>
                <w:sz w:val="20"/>
                <w:szCs w:val="20"/>
                <w:lang w:eastAsia="hr-HR"/>
              </w:rPr>
            </w:pPr>
            <w:r w:rsidRPr="00E2600D">
              <w:rPr>
                <w:b/>
                <w:color w:val="000000"/>
                <w:sz w:val="20"/>
                <w:szCs w:val="20"/>
                <w:lang w:eastAsia="hr-HR"/>
              </w:rPr>
              <w:t>Izvor podataka</w:t>
            </w:r>
          </w:p>
        </w:tc>
        <w:tc>
          <w:tcPr>
            <w:tcW w:w="0" w:type="auto"/>
            <w:shd w:val="clear" w:color="auto" w:fill="99CCFF"/>
            <w:vAlign w:val="center"/>
          </w:tcPr>
          <w:p w14:paraId="00AE8F62" w14:textId="20C3BD30" w:rsidR="00A84813" w:rsidRPr="00E2600D" w:rsidRDefault="00A84813" w:rsidP="00EF4EAE">
            <w:pPr>
              <w:spacing w:line="276" w:lineRule="auto"/>
              <w:rPr>
                <w:b/>
                <w:color w:val="000000"/>
                <w:sz w:val="20"/>
                <w:szCs w:val="20"/>
                <w:lang w:eastAsia="hr-HR"/>
              </w:rPr>
            </w:pPr>
            <w:r>
              <w:rPr>
                <w:b/>
                <w:color w:val="000000"/>
                <w:sz w:val="20"/>
                <w:szCs w:val="20"/>
                <w:lang w:eastAsia="hr-HR"/>
              </w:rPr>
              <w:t>Polazna</w:t>
            </w:r>
            <w:r w:rsidRPr="00E2600D">
              <w:rPr>
                <w:b/>
                <w:color w:val="000000"/>
                <w:sz w:val="20"/>
                <w:szCs w:val="20"/>
                <w:lang w:eastAsia="hr-HR"/>
              </w:rPr>
              <w:t xml:space="preserve"> vrijednost</w:t>
            </w:r>
          </w:p>
          <w:p w14:paraId="43BF51F5" w14:textId="685CA82C" w:rsidR="00A84813" w:rsidRPr="00E2600D" w:rsidRDefault="00A84813" w:rsidP="00EF4EAE">
            <w:pPr>
              <w:spacing w:line="276" w:lineRule="auto"/>
              <w:rPr>
                <w:b/>
                <w:color w:val="000000"/>
                <w:sz w:val="20"/>
                <w:szCs w:val="20"/>
                <w:lang w:eastAsia="hr-HR"/>
              </w:rPr>
            </w:pPr>
            <w:r w:rsidRPr="00E2600D">
              <w:rPr>
                <w:b/>
                <w:color w:val="000000"/>
                <w:sz w:val="20"/>
                <w:szCs w:val="20"/>
                <w:lang w:eastAsia="hr-HR"/>
              </w:rPr>
              <w:t>(202</w:t>
            </w:r>
            <w:r>
              <w:rPr>
                <w:b/>
                <w:color w:val="000000"/>
                <w:sz w:val="20"/>
                <w:szCs w:val="20"/>
                <w:lang w:eastAsia="hr-HR"/>
              </w:rPr>
              <w:t>3</w:t>
            </w:r>
            <w:r w:rsidRPr="00E2600D">
              <w:rPr>
                <w:b/>
                <w:color w:val="000000"/>
                <w:sz w:val="20"/>
                <w:szCs w:val="20"/>
                <w:lang w:eastAsia="hr-HR"/>
              </w:rPr>
              <w:t>.)</w:t>
            </w:r>
          </w:p>
        </w:tc>
        <w:tc>
          <w:tcPr>
            <w:tcW w:w="0" w:type="auto"/>
            <w:shd w:val="clear" w:color="auto" w:fill="99CCFF"/>
            <w:vAlign w:val="center"/>
          </w:tcPr>
          <w:p w14:paraId="1DB7F60E" w14:textId="6A3B3A65" w:rsidR="00A84813" w:rsidRPr="00E2600D" w:rsidRDefault="00AF590C" w:rsidP="00EF4EAE">
            <w:pPr>
              <w:spacing w:line="276" w:lineRule="auto"/>
              <w:rPr>
                <w:b/>
                <w:color w:val="000000"/>
                <w:sz w:val="20"/>
                <w:szCs w:val="20"/>
                <w:lang w:eastAsia="hr-HR"/>
              </w:rPr>
            </w:pPr>
            <w:r>
              <w:rPr>
                <w:b/>
                <w:color w:val="000000"/>
                <w:sz w:val="20"/>
                <w:szCs w:val="20"/>
                <w:lang w:eastAsia="hr-HR"/>
              </w:rPr>
              <w:t>C</w:t>
            </w:r>
            <w:r w:rsidR="00A84813">
              <w:rPr>
                <w:b/>
                <w:color w:val="000000"/>
                <w:sz w:val="20"/>
                <w:szCs w:val="20"/>
                <w:lang w:eastAsia="hr-HR"/>
              </w:rPr>
              <w:t xml:space="preserve">iljana </w:t>
            </w:r>
            <w:r w:rsidR="00A84813" w:rsidRPr="00E2600D">
              <w:rPr>
                <w:b/>
                <w:color w:val="000000"/>
                <w:sz w:val="20"/>
                <w:szCs w:val="20"/>
                <w:lang w:eastAsia="hr-HR"/>
              </w:rPr>
              <w:t>vrijednost</w:t>
            </w:r>
          </w:p>
          <w:p w14:paraId="3567320E" w14:textId="272BFCA5" w:rsidR="00A84813" w:rsidRPr="00E2600D" w:rsidRDefault="00A84813" w:rsidP="00EF4EAE">
            <w:pPr>
              <w:spacing w:line="276" w:lineRule="auto"/>
              <w:rPr>
                <w:b/>
                <w:color w:val="000000"/>
                <w:sz w:val="20"/>
                <w:szCs w:val="20"/>
                <w:lang w:eastAsia="hr-HR"/>
              </w:rPr>
            </w:pPr>
            <w:r w:rsidRPr="00E2600D">
              <w:rPr>
                <w:b/>
                <w:color w:val="000000"/>
                <w:sz w:val="20"/>
                <w:szCs w:val="20"/>
                <w:lang w:eastAsia="hr-HR"/>
              </w:rPr>
              <w:t>(202</w:t>
            </w:r>
            <w:r>
              <w:rPr>
                <w:b/>
                <w:color w:val="000000"/>
                <w:sz w:val="20"/>
                <w:szCs w:val="20"/>
                <w:lang w:eastAsia="hr-HR"/>
              </w:rPr>
              <w:t>4</w:t>
            </w:r>
            <w:r w:rsidRPr="00E2600D">
              <w:rPr>
                <w:b/>
                <w:color w:val="000000"/>
                <w:sz w:val="20"/>
                <w:szCs w:val="20"/>
                <w:lang w:eastAsia="hr-HR"/>
              </w:rPr>
              <w:t>.)</w:t>
            </w:r>
          </w:p>
        </w:tc>
        <w:tc>
          <w:tcPr>
            <w:tcW w:w="0" w:type="auto"/>
            <w:shd w:val="clear" w:color="auto" w:fill="99CCFF"/>
            <w:vAlign w:val="center"/>
          </w:tcPr>
          <w:p w14:paraId="52F81B0D" w14:textId="774FD53A" w:rsidR="00A84813" w:rsidRPr="00E2600D" w:rsidRDefault="00A84813" w:rsidP="00EF4EAE">
            <w:pPr>
              <w:spacing w:line="276" w:lineRule="auto"/>
              <w:rPr>
                <w:b/>
                <w:color w:val="000000"/>
                <w:sz w:val="20"/>
                <w:szCs w:val="20"/>
                <w:lang w:eastAsia="hr-HR"/>
              </w:rPr>
            </w:pPr>
            <w:r>
              <w:rPr>
                <w:b/>
                <w:color w:val="000000"/>
                <w:sz w:val="20"/>
                <w:szCs w:val="20"/>
                <w:lang w:eastAsia="hr-HR"/>
              </w:rPr>
              <w:t>Ostvarena</w:t>
            </w:r>
            <w:r w:rsidRPr="00E2600D">
              <w:rPr>
                <w:b/>
                <w:color w:val="000000"/>
                <w:sz w:val="20"/>
                <w:szCs w:val="20"/>
                <w:lang w:eastAsia="hr-HR"/>
              </w:rPr>
              <w:t xml:space="preserve"> vrijednost</w:t>
            </w:r>
          </w:p>
          <w:p w14:paraId="1332A501" w14:textId="7A74179D" w:rsidR="00A84813" w:rsidRPr="00E2600D" w:rsidRDefault="00A84813" w:rsidP="00EF4EAE">
            <w:pPr>
              <w:spacing w:line="276" w:lineRule="auto"/>
              <w:rPr>
                <w:b/>
                <w:color w:val="000000"/>
                <w:sz w:val="20"/>
                <w:szCs w:val="20"/>
                <w:lang w:eastAsia="hr-HR"/>
              </w:rPr>
            </w:pPr>
            <w:r w:rsidRPr="00E2600D">
              <w:rPr>
                <w:b/>
                <w:color w:val="000000"/>
                <w:sz w:val="20"/>
                <w:szCs w:val="20"/>
                <w:lang w:eastAsia="hr-HR"/>
              </w:rPr>
              <w:t>(202</w:t>
            </w:r>
            <w:r>
              <w:rPr>
                <w:b/>
                <w:color w:val="000000"/>
                <w:sz w:val="20"/>
                <w:szCs w:val="20"/>
                <w:lang w:eastAsia="hr-HR"/>
              </w:rPr>
              <w:t>4</w:t>
            </w:r>
            <w:r w:rsidRPr="00E2600D">
              <w:rPr>
                <w:b/>
                <w:color w:val="000000"/>
                <w:sz w:val="20"/>
                <w:szCs w:val="20"/>
                <w:lang w:eastAsia="hr-HR"/>
              </w:rPr>
              <w:t>.)</w:t>
            </w:r>
          </w:p>
        </w:tc>
      </w:tr>
      <w:tr w:rsidR="00A84813" w:rsidRPr="00E2600D" w14:paraId="77794B7A" w14:textId="77777777" w:rsidTr="00A84813">
        <w:trPr>
          <w:trHeight w:val="513"/>
        </w:trPr>
        <w:tc>
          <w:tcPr>
            <w:tcW w:w="2769" w:type="dxa"/>
            <w:vAlign w:val="center"/>
          </w:tcPr>
          <w:p w14:paraId="6C821F28" w14:textId="097DC6A5" w:rsidR="00A84813" w:rsidRPr="00E2600D" w:rsidRDefault="00A84813" w:rsidP="00EF4EAE">
            <w:pPr>
              <w:spacing w:line="276" w:lineRule="auto"/>
              <w:rPr>
                <w:color w:val="000000"/>
                <w:sz w:val="20"/>
                <w:szCs w:val="20"/>
                <w:lang w:val="pl-PL" w:eastAsia="hr-HR"/>
              </w:rPr>
            </w:pPr>
          </w:p>
          <w:p w14:paraId="56F23EF6" w14:textId="77777777" w:rsidR="00A84813" w:rsidRPr="00E2600D" w:rsidRDefault="00A84813" w:rsidP="00EF4EAE">
            <w:pPr>
              <w:spacing w:line="276" w:lineRule="auto"/>
              <w:rPr>
                <w:color w:val="000000"/>
                <w:sz w:val="20"/>
                <w:szCs w:val="20"/>
                <w:lang w:val="pl-PL" w:eastAsia="hr-HR"/>
              </w:rPr>
            </w:pPr>
            <w:r w:rsidRPr="00E2600D">
              <w:rPr>
                <w:color w:val="000000"/>
                <w:sz w:val="20"/>
                <w:szCs w:val="20"/>
                <w:lang w:val="pl-PL" w:eastAsia="hr-HR"/>
              </w:rPr>
              <w:t>Povećanje broja posjetitelja kazališnih predstava</w:t>
            </w:r>
          </w:p>
          <w:p w14:paraId="26663FE8" w14:textId="77777777" w:rsidR="00A84813" w:rsidRPr="00E2600D" w:rsidRDefault="00A84813" w:rsidP="00EF4EAE">
            <w:pPr>
              <w:spacing w:line="276" w:lineRule="auto"/>
              <w:rPr>
                <w:color w:val="000000"/>
                <w:sz w:val="20"/>
                <w:szCs w:val="20"/>
                <w:lang w:val="pl-PL" w:eastAsia="hr-HR"/>
              </w:rPr>
            </w:pPr>
            <w:r w:rsidRPr="00E2600D">
              <w:rPr>
                <w:color w:val="000000"/>
                <w:sz w:val="20"/>
                <w:szCs w:val="20"/>
                <w:lang w:val="pl-PL" w:eastAsia="hr-HR"/>
              </w:rPr>
              <w:t xml:space="preserve">za odrasle </w:t>
            </w:r>
          </w:p>
        </w:tc>
        <w:tc>
          <w:tcPr>
            <w:tcW w:w="0" w:type="auto"/>
            <w:vAlign w:val="center"/>
          </w:tcPr>
          <w:p w14:paraId="3BAE6745" w14:textId="77777777" w:rsidR="00A84813" w:rsidRPr="00E2600D" w:rsidRDefault="00A84813" w:rsidP="00EF4EAE">
            <w:pPr>
              <w:spacing w:line="276" w:lineRule="auto"/>
              <w:rPr>
                <w:color w:val="000000"/>
                <w:sz w:val="20"/>
                <w:szCs w:val="20"/>
                <w:lang w:val="pl-PL" w:eastAsia="hr-HR"/>
              </w:rPr>
            </w:pPr>
            <w:r w:rsidRPr="00E2600D">
              <w:rPr>
                <w:color w:val="000000"/>
                <w:sz w:val="20"/>
                <w:szCs w:val="20"/>
                <w:lang w:val="pl-PL" w:eastAsia="hr-HR"/>
              </w:rPr>
              <w:t>Poticanje kazališne publike na češći dolazak u kazalište</w:t>
            </w:r>
          </w:p>
        </w:tc>
        <w:tc>
          <w:tcPr>
            <w:tcW w:w="0" w:type="auto"/>
            <w:vAlign w:val="center"/>
          </w:tcPr>
          <w:p w14:paraId="2CBCA08D" w14:textId="77777777" w:rsidR="00A84813" w:rsidRPr="00E2600D" w:rsidRDefault="00A84813" w:rsidP="00EF4EAE">
            <w:pPr>
              <w:spacing w:line="276" w:lineRule="auto"/>
              <w:rPr>
                <w:color w:val="000000"/>
                <w:sz w:val="20"/>
                <w:szCs w:val="20"/>
                <w:lang w:eastAsia="hr-HR"/>
              </w:rPr>
            </w:pPr>
            <w:r w:rsidRPr="00E2600D">
              <w:rPr>
                <w:color w:val="000000"/>
                <w:sz w:val="20"/>
                <w:szCs w:val="20"/>
                <w:lang w:eastAsia="hr-HR"/>
              </w:rPr>
              <w:t>broj</w:t>
            </w:r>
          </w:p>
        </w:tc>
        <w:tc>
          <w:tcPr>
            <w:tcW w:w="0" w:type="auto"/>
            <w:vAlign w:val="center"/>
          </w:tcPr>
          <w:p w14:paraId="442AE340" w14:textId="77777777" w:rsidR="00A84813" w:rsidRPr="00E2600D" w:rsidRDefault="00A84813" w:rsidP="00EF4EAE">
            <w:pPr>
              <w:spacing w:line="276" w:lineRule="auto"/>
              <w:rPr>
                <w:color w:val="000000"/>
                <w:sz w:val="20"/>
                <w:szCs w:val="20"/>
                <w:lang w:eastAsia="hr-HR"/>
              </w:rPr>
            </w:pPr>
            <w:r w:rsidRPr="00E2600D">
              <w:rPr>
                <w:color w:val="000000"/>
                <w:sz w:val="20"/>
                <w:szCs w:val="20"/>
                <w:lang w:eastAsia="hr-HR"/>
              </w:rPr>
              <w:t>Učilište</w:t>
            </w:r>
          </w:p>
        </w:tc>
        <w:tc>
          <w:tcPr>
            <w:tcW w:w="0" w:type="auto"/>
            <w:vAlign w:val="center"/>
          </w:tcPr>
          <w:p w14:paraId="3C5CF3B4" w14:textId="581300CD" w:rsidR="00A84813" w:rsidRPr="00E2600D" w:rsidRDefault="00E5391B" w:rsidP="00EF4EAE">
            <w:pPr>
              <w:spacing w:line="276" w:lineRule="auto"/>
              <w:rPr>
                <w:color w:val="000000"/>
                <w:sz w:val="20"/>
                <w:szCs w:val="20"/>
                <w:lang w:eastAsia="hr-HR"/>
              </w:rPr>
            </w:pPr>
            <w:r>
              <w:rPr>
                <w:color w:val="000000"/>
                <w:sz w:val="20"/>
                <w:szCs w:val="20"/>
                <w:lang w:eastAsia="hr-HR"/>
              </w:rPr>
              <w:t>1</w:t>
            </w:r>
            <w:r w:rsidR="00021535">
              <w:rPr>
                <w:color w:val="000000"/>
                <w:sz w:val="20"/>
                <w:szCs w:val="20"/>
                <w:lang w:eastAsia="hr-HR"/>
              </w:rPr>
              <w:t>.</w:t>
            </w:r>
            <w:r>
              <w:rPr>
                <w:color w:val="000000"/>
                <w:sz w:val="20"/>
                <w:szCs w:val="20"/>
                <w:lang w:eastAsia="hr-HR"/>
              </w:rPr>
              <w:t>358</w:t>
            </w:r>
          </w:p>
        </w:tc>
        <w:tc>
          <w:tcPr>
            <w:tcW w:w="0" w:type="auto"/>
            <w:vAlign w:val="center"/>
          </w:tcPr>
          <w:p w14:paraId="54FE17FB" w14:textId="6C12AEDB" w:rsidR="00A84813" w:rsidRPr="00E2600D" w:rsidRDefault="00E5391B" w:rsidP="00EF4EAE">
            <w:pPr>
              <w:spacing w:line="276" w:lineRule="auto"/>
              <w:rPr>
                <w:color w:val="000000"/>
                <w:sz w:val="20"/>
                <w:szCs w:val="20"/>
                <w:lang w:eastAsia="hr-HR"/>
              </w:rPr>
            </w:pPr>
            <w:r>
              <w:rPr>
                <w:color w:val="000000"/>
                <w:sz w:val="20"/>
                <w:szCs w:val="20"/>
                <w:lang w:eastAsia="hr-HR"/>
              </w:rPr>
              <w:t>2</w:t>
            </w:r>
            <w:r w:rsidR="00021535">
              <w:rPr>
                <w:color w:val="000000"/>
                <w:sz w:val="20"/>
                <w:szCs w:val="20"/>
                <w:lang w:eastAsia="hr-HR"/>
              </w:rPr>
              <w:t>.</w:t>
            </w:r>
            <w:r>
              <w:rPr>
                <w:color w:val="000000"/>
                <w:sz w:val="20"/>
                <w:szCs w:val="20"/>
                <w:lang w:eastAsia="hr-HR"/>
              </w:rPr>
              <w:t>270</w:t>
            </w:r>
          </w:p>
        </w:tc>
        <w:tc>
          <w:tcPr>
            <w:tcW w:w="0" w:type="auto"/>
            <w:vAlign w:val="center"/>
          </w:tcPr>
          <w:p w14:paraId="32EADEFD" w14:textId="23CB0777" w:rsidR="00A84813" w:rsidRPr="00E2600D" w:rsidRDefault="00E14895" w:rsidP="00EF4EAE">
            <w:pPr>
              <w:spacing w:line="276" w:lineRule="auto"/>
              <w:rPr>
                <w:color w:val="000000"/>
                <w:sz w:val="20"/>
                <w:szCs w:val="20"/>
                <w:lang w:eastAsia="hr-HR"/>
              </w:rPr>
            </w:pPr>
            <w:r>
              <w:rPr>
                <w:color w:val="000000"/>
                <w:sz w:val="20"/>
                <w:szCs w:val="20"/>
                <w:lang w:eastAsia="hr-HR"/>
              </w:rPr>
              <w:t>1</w:t>
            </w:r>
            <w:r w:rsidR="00021535">
              <w:rPr>
                <w:color w:val="000000"/>
                <w:sz w:val="20"/>
                <w:szCs w:val="20"/>
                <w:lang w:eastAsia="hr-HR"/>
              </w:rPr>
              <w:t>.</w:t>
            </w:r>
            <w:r>
              <w:rPr>
                <w:color w:val="000000"/>
                <w:sz w:val="20"/>
                <w:szCs w:val="20"/>
                <w:lang w:eastAsia="hr-HR"/>
              </w:rPr>
              <w:t>386</w:t>
            </w:r>
          </w:p>
        </w:tc>
      </w:tr>
      <w:tr w:rsidR="00A84813" w:rsidRPr="00E2600D" w14:paraId="3900B879" w14:textId="77777777" w:rsidTr="00A84813">
        <w:trPr>
          <w:trHeight w:val="513"/>
        </w:trPr>
        <w:tc>
          <w:tcPr>
            <w:tcW w:w="2769" w:type="dxa"/>
            <w:vAlign w:val="center"/>
          </w:tcPr>
          <w:p w14:paraId="035170AC" w14:textId="77777777" w:rsidR="00A84813" w:rsidRPr="00E2600D" w:rsidRDefault="00A84813" w:rsidP="00EF4EAE">
            <w:pPr>
              <w:spacing w:line="276" w:lineRule="auto"/>
              <w:rPr>
                <w:color w:val="000000"/>
                <w:sz w:val="20"/>
                <w:szCs w:val="20"/>
                <w:lang w:val="pl-PL" w:eastAsia="hr-HR"/>
              </w:rPr>
            </w:pPr>
            <w:r w:rsidRPr="00E2600D">
              <w:rPr>
                <w:color w:val="000000"/>
                <w:sz w:val="20"/>
                <w:szCs w:val="20"/>
                <w:lang w:val="pl-PL" w:eastAsia="hr-HR"/>
              </w:rPr>
              <w:t>Povećanje broja posjetitelja kazališnih predstava za djecu</w:t>
            </w:r>
          </w:p>
        </w:tc>
        <w:tc>
          <w:tcPr>
            <w:tcW w:w="0" w:type="auto"/>
            <w:vAlign w:val="center"/>
          </w:tcPr>
          <w:p w14:paraId="665C38F2" w14:textId="77777777" w:rsidR="00A84813" w:rsidRPr="00E2600D" w:rsidRDefault="00A84813" w:rsidP="00EF4EAE">
            <w:pPr>
              <w:spacing w:line="276" w:lineRule="auto"/>
              <w:rPr>
                <w:color w:val="000000"/>
                <w:sz w:val="20"/>
                <w:szCs w:val="20"/>
                <w:lang w:val="pl-PL" w:eastAsia="hr-HR"/>
              </w:rPr>
            </w:pPr>
            <w:r w:rsidRPr="00E2600D">
              <w:rPr>
                <w:color w:val="000000"/>
                <w:sz w:val="20"/>
                <w:szCs w:val="20"/>
                <w:lang w:val="pl-PL" w:eastAsia="hr-HR"/>
              </w:rPr>
              <w:t>Poticanje djece i njihovih roditelja na češći dolazak na predstave</w:t>
            </w:r>
          </w:p>
        </w:tc>
        <w:tc>
          <w:tcPr>
            <w:tcW w:w="0" w:type="auto"/>
            <w:vAlign w:val="center"/>
          </w:tcPr>
          <w:p w14:paraId="7B017A2C" w14:textId="77777777" w:rsidR="00A84813" w:rsidRPr="00E2600D" w:rsidRDefault="00A84813" w:rsidP="00EF4EAE">
            <w:pPr>
              <w:spacing w:line="276" w:lineRule="auto"/>
              <w:rPr>
                <w:color w:val="000000"/>
                <w:sz w:val="20"/>
                <w:szCs w:val="20"/>
                <w:lang w:eastAsia="hr-HR"/>
              </w:rPr>
            </w:pPr>
            <w:r>
              <w:rPr>
                <w:color w:val="000000"/>
                <w:sz w:val="20"/>
                <w:szCs w:val="20"/>
                <w:lang w:eastAsia="hr-HR"/>
              </w:rPr>
              <w:t>broj</w:t>
            </w:r>
          </w:p>
        </w:tc>
        <w:tc>
          <w:tcPr>
            <w:tcW w:w="0" w:type="auto"/>
            <w:vAlign w:val="center"/>
          </w:tcPr>
          <w:p w14:paraId="0B955E42" w14:textId="77777777" w:rsidR="00A84813" w:rsidRPr="00E2600D" w:rsidRDefault="00A84813" w:rsidP="00EF4EAE">
            <w:pPr>
              <w:spacing w:line="276" w:lineRule="auto"/>
              <w:rPr>
                <w:color w:val="000000"/>
                <w:sz w:val="20"/>
                <w:szCs w:val="20"/>
                <w:lang w:eastAsia="hr-HR"/>
              </w:rPr>
            </w:pPr>
            <w:r>
              <w:rPr>
                <w:color w:val="000000"/>
                <w:sz w:val="20"/>
                <w:szCs w:val="20"/>
                <w:lang w:eastAsia="hr-HR"/>
              </w:rPr>
              <w:t>Učilište</w:t>
            </w:r>
          </w:p>
        </w:tc>
        <w:tc>
          <w:tcPr>
            <w:tcW w:w="0" w:type="auto"/>
            <w:vAlign w:val="center"/>
          </w:tcPr>
          <w:p w14:paraId="7C4DC8C4" w14:textId="3EEA161B" w:rsidR="00A84813" w:rsidRPr="00E2600D" w:rsidRDefault="00E5391B" w:rsidP="00EF4EAE">
            <w:pPr>
              <w:spacing w:line="276" w:lineRule="auto"/>
              <w:rPr>
                <w:color w:val="000000"/>
                <w:sz w:val="20"/>
                <w:szCs w:val="20"/>
                <w:lang w:eastAsia="hr-HR"/>
              </w:rPr>
            </w:pPr>
            <w:r>
              <w:rPr>
                <w:color w:val="000000"/>
                <w:sz w:val="20"/>
                <w:szCs w:val="20"/>
                <w:lang w:eastAsia="hr-HR"/>
              </w:rPr>
              <w:t>3</w:t>
            </w:r>
            <w:r w:rsidR="00021535">
              <w:rPr>
                <w:color w:val="000000"/>
                <w:sz w:val="20"/>
                <w:szCs w:val="20"/>
                <w:lang w:eastAsia="hr-HR"/>
              </w:rPr>
              <w:t>.</w:t>
            </w:r>
            <w:r>
              <w:rPr>
                <w:color w:val="000000"/>
                <w:sz w:val="20"/>
                <w:szCs w:val="20"/>
                <w:lang w:eastAsia="hr-HR"/>
              </w:rPr>
              <w:t>766</w:t>
            </w:r>
          </w:p>
        </w:tc>
        <w:tc>
          <w:tcPr>
            <w:tcW w:w="0" w:type="auto"/>
            <w:vAlign w:val="center"/>
          </w:tcPr>
          <w:p w14:paraId="4F1C0047" w14:textId="355ED44A" w:rsidR="00A84813" w:rsidRPr="00E2600D" w:rsidRDefault="00E5391B" w:rsidP="00EF4EAE">
            <w:pPr>
              <w:spacing w:line="276" w:lineRule="auto"/>
              <w:rPr>
                <w:color w:val="000000"/>
                <w:sz w:val="20"/>
                <w:szCs w:val="20"/>
                <w:lang w:eastAsia="hr-HR"/>
              </w:rPr>
            </w:pPr>
            <w:r>
              <w:rPr>
                <w:color w:val="000000"/>
                <w:sz w:val="20"/>
                <w:szCs w:val="20"/>
                <w:lang w:eastAsia="hr-HR"/>
              </w:rPr>
              <w:t>2</w:t>
            </w:r>
            <w:r w:rsidR="00021535">
              <w:rPr>
                <w:color w:val="000000"/>
                <w:sz w:val="20"/>
                <w:szCs w:val="20"/>
                <w:lang w:eastAsia="hr-HR"/>
              </w:rPr>
              <w:t>.</w:t>
            </w:r>
            <w:r>
              <w:rPr>
                <w:color w:val="000000"/>
                <w:sz w:val="20"/>
                <w:szCs w:val="20"/>
                <w:lang w:eastAsia="hr-HR"/>
              </w:rPr>
              <w:t>000</w:t>
            </w:r>
          </w:p>
        </w:tc>
        <w:tc>
          <w:tcPr>
            <w:tcW w:w="0" w:type="auto"/>
            <w:vAlign w:val="center"/>
          </w:tcPr>
          <w:p w14:paraId="004382E2" w14:textId="1202E37E" w:rsidR="00A84813" w:rsidRPr="00E2600D" w:rsidRDefault="00E14895" w:rsidP="00EF4EAE">
            <w:pPr>
              <w:spacing w:line="276" w:lineRule="auto"/>
              <w:rPr>
                <w:color w:val="000000"/>
                <w:sz w:val="20"/>
                <w:szCs w:val="20"/>
                <w:lang w:eastAsia="hr-HR"/>
              </w:rPr>
            </w:pPr>
            <w:r>
              <w:rPr>
                <w:color w:val="000000"/>
                <w:sz w:val="20"/>
                <w:szCs w:val="20"/>
                <w:lang w:eastAsia="hr-HR"/>
              </w:rPr>
              <w:t>2</w:t>
            </w:r>
            <w:r w:rsidR="00021535">
              <w:rPr>
                <w:color w:val="000000"/>
                <w:sz w:val="20"/>
                <w:szCs w:val="20"/>
                <w:lang w:eastAsia="hr-HR"/>
              </w:rPr>
              <w:t>.</w:t>
            </w:r>
            <w:r>
              <w:rPr>
                <w:color w:val="000000"/>
                <w:sz w:val="20"/>
                <w:szCs w:val="20"/>
                <w:lang w:eastAsia="hr-HR"/>
              </w:rPr>
              <w:t>737</w:t>
            </w:r>
          </w:p>
        </w:tc>
      </w:tr>
      <w:tr w:rsidR="00A84813" w:rsidRPr="00E2600D" w14:paraId="5C0EB2EA" w14:textId="77777777" w:rsidTr="00A84813">
        <w:trPr>
          <w:trHeight w:val="513"/>
        </w:trPr>
        <w:tc>
          <w:tcPr>
            <w:tcW w:w="2769" w:type="dxa"/>
            <w:vAlign w:val="center"/>
          </w:tcPr>
          <w:p w14:paraId="6BB1BF6A" w14:textId="77777777" w:rsidR="00A84813" w:rsidRPr="00E2600D" w:rsidRDefault="00A84813" w:rsidP="00EF4EAE">
            <w:pPr>
              <w:spacing w:line="276" w:lineRule="auto"/>
              <w:rPr>
                <w:color w:val="000000"/>
                <w:sz w:val="20"/>
                <w:szCs w:val="20"/>
                <w:lang w:val="pl-PL" w:eastAsia="hr-HR"/>
              </w:rPr>
            </w:pPr>
            <w:r w:rsidRPr="00E2600D">
              <w:rPr>
                <w:color w:val="000000"/>
                <w:sz w:val="20"/>
                <w:szCs w:val="20"/>
                <w:lang w:val="pl-PL" w:eastAsia="hr-HR"/>
              </w:rPr>
              <w:t>Povećanje broja posjetitelja koncerata</w:t>
            </w:r>
          </w:p>
          <w:p w14:paraId="1D093C59" w14:textId="77777777" w:rsidR="00A84813" w:rsidRPr="00E2600D" w:rsidRDefault="00A84813" w:rsidP="00EF4EAE">
            <w:pPr>
              <w:spacing w:line="276" w:lineRule="auto"/>
              <w:rPr>
                <w:color w:val="000000"/>
                <w:sz w:val="20"/>
                <w:szCs w:val="20"/>
                <w:lang w:val="pl-PL" w:eastAsia="hr-HR"/>
              </w:rPr>
            </w:pPr>
          </w:p>
        </w:tc>
        <w:tc>
          <w:tcPr>
            <w:tcW w:w="0" w:type="auto"/>
            <w:vAlign w:val="center"/>
          </w:tcPr>
          <w:p w14:paraId="065CD91C" w14:textId="77777777" w:rsidR="00A84813" w:rsidRPr="00E2600D" w:rsidRDefault="00A84813" w:rsidP="00EF4EAE">
            <w:pPr>
              <w:spacing w:line="276" w:lineRule="auto"/>
              <w:rPr>
                <w:color w:val="000000"/>
                <w:sz w:val="20"/>
                <w:szCs w:val="20"/>
                <w:lang w:val="pl-PL" w:eastAsia="hr-HR"/>
              </w:rPr>
            </w:pPr>
            <w:r w:rsidRPr="00E2600D">
              <w:rPr>
                <w:color w:val="000000"/>
                <w:sz w:val="20"/>
                <w:szCs w:val="20"/>
                <w:lang w:val="pl-PL" w:eastAsia="hr-HR"/>
              </w:rPr>
              <w:t>Nuditi i poticati na raznovrsnije oblike koncertne djelatnosti</w:t>
            </w:r>
          </w:p>
          <w:p w14:paraId="3301B22F" w14:textId="77777777" w:rsidR="00A84813" w:rsidRPr="00E2600D" w:rsidRDefault="00A84813" w:rsidP="00EF4EAE">
            <w:pPr>
              <w:spacing w:line="276" w:lineRule="auto"/>
              <w:rPr>
                <w:color w:val="000000"/>
                <w:sz w:val="20"/>
                <w:szCs w:val="20"/>
                <w:lang w:val="pl-PL" w:eastAsia="hr-HR"/>
              </w:rPr>
            </w:pPr>
          </w:p>
        </w:tc>
        <w:tc>
          <w:tcPr>
            <w:tcW w:w="0" w:type="auto"/>
            <w:vAlign w:val="center"/>
          </w:tcPr>
          <w:p w14:paraId="631D7297" w14:textId="77777777" w:rsidR="00A84813" w:rsidRPr="00E2600D" w:rsidRDefault="00A84813" w:rsidP="00EF4EAE">
            <w:pPr>
              <w:spacing w:line="276" w:lineRule="auto"/>
              <w:rPr>
                <w:color w:val="000000"/>
                <w:sz w:val="20"/>
                <w:szCs w:val="20"/>
                <w:lang w:eastAsia="hr-HR"/>
              </w:rPr>
            </w:pPr>
            <w:r>
              <w:rPr>
                <w:color w:val="000000"/>
                <w:sz w:val="20"/>
                <w:szCs w:val="20"/>
                <w:lang w:eastAsia="hr-HR"/>
              </w:rPr>
              <w:t>broj</w:t>
            </w:r>
          </w:p>
        </w:tc>
        <w:tc>
          <w:tcPr>
            <w:tcW w:w="0" w:type="auto"/>
            <w:vAlign w:val="center"/>
          </w:tcPr>
          <w:p w14:paraId="592A29EE" w14:textId="77777777" w:rsidR="00A84813" w:rsidRPr="00E2600D" w:rsidRDefault="00A84813" w:rsidP="00EF4EAE">
            <w:pPr>
              <w:spacing w:line="276" w:lineRule="auto"/>
              <w:rPr>
                <w:color w:val="000000"/>
                <w:sz w:val="20"/>
                <w:szCs w:val="20"/>
                <w:lang w:eastAsia="hr-HR"/>
              </w:rPr>
            </w:pPr>
            <w:r>
              <w:rPr>
                <w:color w:val="000000"/>
                <w:sz w:val="20"/>
                <w:szCs w:val="20"/>
                <w:lang w:eastAsia="hr-HR"/>
              </w:rPr>
              <w:t>Učilište</w:t>
            </w:r>
          </w:p>
        </w:tc>
        <w:tc>
          <w:tcPr>
            <w:tcW w:w="0" w:type="auto"/>
            <w:vAlign w:val="center"/>
          </w:tcPr>
          <w:p w14:paraId="4197699A" w14:textId="12D066EA" w:rsidR="00A84813" w:rsidRPr="00E2600D" w:rsidRDefault="00E5391B" w:rsidP="00EF4EAE">
            <w:pPr>
              <w:spacing w:line="276" w:lineRule="auto"/>
              <w:rPr>
                <w:color w:val="000000"/>
                <w:sz w:val="20"/>
                <w:szCs w:val="20"/>
                <w:lang w:eastAsia="hr-HR"/>
              </w:rPr>
            </w:pPr>
            <w:r>
              <w:rPr>
                <w:color w:val="000000"/>
                <w:sz w:val="20"/>
                <w:szCs w:val="20"/>
                <w:lang w:eastAsia="hr-HR"/>
              </w:rPr>
              <w:t>756</w:t>
            </w:r>
          </w:p>
        </w:tc>
        <w:tc>
          <w:tcPr>
            <w:tcW w:w="0" w:type="auto"/>
            <w:vAlign w:val="center"/>
          </w:tcPr>
          <w:p w14:paraId="68BB0020" w14:textId="13DE0CA0" w:rsidR="00A84813" w:rsidRPr="00E2600D" w:rsidRDefault="00E5391B" w:rsidP="00EF4EAE">
            <w:pPr>
              <w:spacing w:line="276" w:lineRule="auto"/>
              <w:rPr>
                <w:color w:val="000000"/>
                <w:sz w:val="20"/>
                <w:szCs w:val="20"/>
                <w:lang w:eastAsia="hr-HR"/>
              </w:rPr>
            </w:pPr>
            <w:r>
              <w:rPr>
                <w:color w:val="000000"/>
                <w:sz w:val="20"/>
                <w:szCs w:val="20"/>
                <w:lang w:eastAsia="hr-HR"/>
              </w:rPr>
              <w:t>1</w:t>
            </w:r>
            <w:r w:rsidR="00021535">
              <w:rPr>
                <w:color w:val="000000"/>
                <w:sz w:val="20"/>
                <w:szCs w:val="20"/>
                <w:lang w:eastAsia="hr-HR"/>
              </w:rPr>
              <w:t>.</w:t>
            </w:r>
            <w:r>
              <w:rPr>
                <w:color w:val="000000"/>
                <w:sz w:val="20"/>
                <w:szCs w:val="20"/>
                <w:lang w:eastAsia="hr-HR"/>
              </w:rPr>
              <w:t>500</w:t>
            </w:r>
          </w:p>
        </w:tc>
        <w:tc>
          <w:tcPr>
            <w:tcW w:w="0" w:type="auto"/>
            <w:vAlign w:val="center"/>
          </w:tcPr>
          <w:p w14:paraId="6900BAE4" w14:textId="10C7895F" w:rsidR="00A84813" w:rsidRPr="00E2600D" w:rsidRDefault="00E14895" w:rsidP="00EF4EAE">
            <w:pPr>
              <w:spacing w:line="276" w:lineRule="auto"/>
              <w:rPr>
                <w:color w:val="000000"/>
                <w:sz w:val="20"/>
                <w:szCs w:val="20"/>
                <w:lang w:eastAsia="hr-HR"/>
              </w:rPr>
            </w:pPr>
            <w:r>
              <w:rPr>
                <w:color w:val="000000"/>
                <w:sz w:val="20"/>
                <w:szCs w:val="20"/>
                <w:lang w:eastAsia="hr-HR"/>
              </w:rPr>
              <w:t>837</w:t>
            </w:r>
          </w:p>
        </w:tc>
      </w:tr>
      <w:tr w:rsidR="00A84813" w:rsidRPr="00E2600D" w14:paraId="25FC8D67" w14:textId="77777777" w:rsidTr="00A84813">
        <w:trPr>
          <w:trHeight w:val="513"/>
        </w:trPr>
        <w:tc>
          <w:tcPr>
            <w:tcW w:w="2769" w:type="dxa"/>
            <w:vAlign w:val="center"/>
          </w:tcPr>
          <w:p w14:paraId="3AF29F0A" w14:textId="77777777" w:rsidR="00A84813" w:rsidRPr="00E2600D" w:rsidRDefault="00A84813" w:rsidP="00EF4EAE">
            <w:pPr>
              <w:spacing w:line="276" w:lineRule="auto"/>
              <w:rPr>
                <w:color w:val="000000"/>
                <w:sz w:val="20"/>
                <w:szCs w:val="20"/>
                <w:lang w:val="pl-PL" w:eastAsia="hr-HR"/>
              </w:rPr>
            </w:pPr>
            <w:r w:rsidRPr="00E2600D">
              <w:rPr>
                <w:color w:val="000000"/>
                <w:sz w:val="20"/>
                <w:szCs w:val="20"/>
                <w:lang w:val="pl-PL" w:eastAsia="hr-HR"/>
              </w:rPr>
              <w:t xml:space="preserve">Povećanje broja posjetitelja organiziranih kazališnih predstava za učenike  </w:t>
            </w:r>
          </w:p>
        </w:tc>
        <w:tc>
          <w:tcPr>
            <w:tcW w:w="0" w:type="auto"/>
            <w:vAlign w:val="center"/>
          </w:tcPr>
          <w:p w14:paraId="08CC08EB" w14:textId="77777777" w:rsidR="00A84813" w:rsidRPr="00E2600D" w:rsidRDefault="00A84813" w:rsidP="00EF4EAE">
            <w:pPr>
              <w:spacing w:line="276" w:lineRule="auto"/>
              <w:rPr>
                <w:color w:val="000000"/>
                <w:sz w:val="20"/>
                <w:szCs w:val="20"/>
                <w:lang w:val="pl-PL" w:eastAsia="hr-HR"/>
              </w:rPr>
            </w:pPr>
            <w:r w:rsidRPr="00E2600D">
              <w:rPr>
                <w:color w:val="000000"/>
                <w:sz w:val="20"/>
                <w:szCs w:val="20"/>
                <w:lang w:val="pl-PL" w:eastAsia="hr-HR"/>
              </w:rPr>
              <w:t>Poticati na konzumaciju kult.događanja od najranije dobi</w:t>
            </w:r>
          </w:p>
        </w:tc>
        <w:tc>
          <w:tcPr>
            <w:tcW w:w="0" w:type="auto"/>
            <w:vAlign w:val="center"/>
          </w:tcPr>
          <w:p w14:paraId="167EE163" w14:textId="77777777" w:rsidR="00A84813" w:rsidRPr="00E2600D" w:rsidRDefault="00A84813" w:rsidP="00EF4EAE">
            <w:pPr>
              <w:spacing w:line="276" w:lineRule="auto"/>
              <w:rPr>
                <w:color w:val="000000"/>
                <w:sz w:val="20"/>
                <w:szCs w:val="20"/>
                <w:lang w:eastAsia="hr-HR"/>
              </w:rPr>
            </w:pPr>
            <w:r>
              <w:rPr>
                <w:color w:val="000000"/>
                <w:sz w:val="20"/>
                <w:szCs w:val="20"/>
                <w:lang w:eastAsia="hr-HR"/>
              </w:rPr>
              <w:t>broj</w:t>
            </w:r>
          </w:p>
        </w:tc>
        <w:tc>
          <w:tcPr>
            <w:tcW w:w="0" w:type="auto"/>
            <w:vAlign w:val="center"/>
          </w:tcPr>
          <w:p w14:paraId="3F558D0B" w14:textId="77777777" w:rsidR="00A84813" w:rsidRPr="00E2600D" w:rsidRDefault="00A84813" w:rsidP="00EF4EAE">
            <w:pPr>
              <w:spacing w:line="276" w:lineRule="auto"/>
              <w:rPr>
                <w:color w:val="000000"/>
                <w:sz w:val="20"/>
                <w:szCs w:val="20"/>
                <w:lang w:eastAsia="hr-HR"/>
              </w:rPr>
            </w:pPr>
            <w:r>
              <w:rPr>
                <w:color w:val="000000"/>
                <w:sz w:val="20"/>
                <w:szCs w:val="20"/>
                <w:lang w:eastAsia="hr-HR"/>
              </w:rPr>
              <w:t>Učilište</w:t>
            </w:r>
          </w:p>
        </w:tc>
        <w:tc>
          <w:tcPr>
            <w:tcW w:w="0" w:type="auto"/>
            <w:vAlign w:val="center"/>
          </w:tcPr>
          <w:p w14:paraId="5010A92D" w14:textId="48972446" w:rsidR="00A84813" w:rsidRPr="00E2600D" w:rsidRDefault="00E5391B" w:rsidP="00EF4EAE">
            <w:pPr>
              <w:spacing w:line="276" w:lineRule="auto"/>
              <w:rPr>
                <w:color w:val="000000"/>
                <w:sz w:val="20"/>
                <w:szCs w:val="20"/>
                <w:lang w:eastAsia="hr-HR"/>
              </w:rPr>
            </w:pPr>
            <w:r>
              <w:rPr>
                <w:color w:val="000000"/>
                <w:sz w:val="20"/>
                <w:szCs w:val="20"/>
                <w:lang w:eastAsia="hr-HR"/>
              </w:rPr>
              <w:t>6</w:t>
            </w:r>
            <w:r w:rsidR="00021535">
              <w:rPr>
                <w:color w:val="000000"/>
                <w:sz w:val="20"/>
                <w:szCs w:val="20"/>
                <w:lang w:eastAsia="hr-HR"/>
              </w:rPr>
              <w:t>.</w:t>
            </w:r>
            <w:r>
              <w:rPr>
                <w:color w:val="000000"/>
                <w:sz w:val="20"/>
                <w:szCs w:val="20"/>
                <w:lang w:eastAsia="hr-HR"/>
              </w:rPr>
              <w:t>080</w:t>
            </w:r>
          </w:p>
        </w:tc>
        <w:tc>
          <w:tcPr>
            <w:tcW w:w="0" w:type="auto"/>
            <w:vAlign w:val="center"/>
          </w:tcPr>
          <w:p w14:paraId="2A36F672" w14:textId="69577C93" w:rsidR="00A84813" w:rsidRPr="00E2600D" w:rsidRDefault="00E5391B" w:rsidP="00EF4EAE">
            <w:pPr>
              <w:spacing w:line="276" w:lineRule="auto"/>
              <w:rPr>
                <w:color w:val="000000"/>
                <w:sz w:val="20"/>
                <w:szCs w:val="20"/>
                <w:lang w:eastAsia="hr-HR"/>
              </w:rPr>
            </w:pPr>
            <w:r>
              <w:rPr>
                <w:color w:val="000000"/>
                <w:sz w:val="20"/>
                <w:szCs w:val="20"/>
                <w:lang w:eastAsia="hr-HR"/>
              </w:rPr>
              <w:t>3</w:t>
            </w:r>
            <w:r w:rsidR="00021535">
              <w:rPr>
                <w:color w:val="000000"/>
                <w:sz w:val="20"/>
                <w:szCs w:val="20"/>
                <w:lang w:eastAsia="hr-HR"/>
              </w:rPr>
              <w:t>.</w:t>
            </w:r>
            <w:r>
              <w:rPr>
                <w:color w:val="000000"/>
                <w:sz w:val="20"/>
                <w:szCs w:val="20"/>
                <w:lang w:eastAsia="hr-HR"/>
              </w:rPr>
              <w:t>200</w:t>
            </w:r>
          </w:p>
        </w:tc>
        <w:tc>
          <w:tcPr>
            <w:tcW w:w="0" w:type="auto"/>
            <w:vAlign w:val="center"/>
          </w:tcPr>
          <w:p w14:paraId="199937C0" w14:textId="5C5309DD" w:rsidR="00A84813" w:rsidRPr="00E2600D" w:rsidRDefault="00E14895" w:rsidP="00EF4EAE">
            <w:pPr>
              <w:spacing w:line="276" w:lineRule="auto"/>
              <w:rPr>
                <w:color w:val="000000"/>
                <w:sz w:val="20"/>
                <w:szCs w:val="20"/>
                <w:lang w:eastAsia="hr-HR"/>
              </w:rPr>
            </w:pPr>
            <w:r>
              <w:rPr>
                <w:color w:val="000000"/>
                <w:sz w:val="20"/>
                <w:szCs w:val="20"/>
                <w:lang w:eastAsia="hr-HR"/>
              </w:rPr>
              <w:t>4</w:t>
            </w:r>
            <w:r w:rsidR="00021535">
              <w:rPr>
                <w:color w:val="000000"/>
                <w:sz w:val="20"/>
                <w:szCs w:val="20"/>
                <w:lang w:eastAsia="hr-HR"/>
              </w:rPr>
              <w:t>.</w:t>
            </w:r>
            <w:r>
              <w:rPr>
                <w:color w:val="000000"/>
                <w:sz w:val="20"/>
                <w:szCs w:val="20"/>
                <w:lang w:eastAsia="hr-HR"/>
              </w:rPr>
              <w:t>425</w:t>
            </w:r>
          </w:p>
        </w:tc>
      </w:tr>
    </w:tbl>
    <w:p w14:paraId="7A47B3F2" w14:textId="77777777" w:rsidR="00D01324" w:rsidRDefault="00D01324" w:rsidP="00D01324">
      <w:pPr>
        <w:spacing w:line="276" w:lineRule="auto"/>
        <w:jc w:val="both"/>
        <w:rPr>
          <w:color w:val="000000"/>
        </w:rPr>
      </w:pPr>
    </w:p>
    <w:p w14:paraId="553AE02B" w14:textId="77777777" w:rsidR="002B5D0E" w:rsidRPr="00BE4EA7" w:rsidRDefault="002B5D0E" w:rsidP="00D01324">
      <w:pPr>
        <w:spacing w:line="276" w:lineRule="auto"/>
        <w:jc w:val="both"/>
        <w:rPr>
          <w:rFonts w:ascii="Arial" w:hAnsi="Arial" w:cs="Arial"/>
          <w:b/>
          <w:color w:val="000000"/>
          <w:sz w:val="22"/>
          <w:szCs w:val="22"/>
        </w:rPr>
      </w:pPr>
    </w:p>
    <w:p w14:paraId="3A3CB28C" w14:textId="48298BB0" w:rsidR="00D01324" w:rsidRPr="00803E66" w:rsidRDefault="00D01324" w:rsidP="00D01324">
      <w:pPr>
        <w:pStyle w:val="Odlomakpopisa"/>
        <w:numPr>
          <w:ilvl w:val="0"/>
          <w:numId w:val="1"/>
        </w:numPr>
        <w:spacing w:line="276" w:lineRule="auto"/>
        <w:jc w:val="both"/>
        <w:rPr>
          <w:b/>
          <w:color w:val="000000"/>
          <w:lang w:eastAsia="hr-HR"/>
        </w:rPr>
      </w:pPr>
      <w:r w:rsidRPr="00803E66">
        <w:rPr>
          <w:b/>
          <w:color w:val="000000"/>
          <w:lang w:eastAsia="hr-HR"/>
        </w:rPr>
        <w:t>Obrazovna djelatnost</w:t>
      </w:r>
    </w:p>
    <w:p w14:paraId="459A8358" w14:textId="77777777" w:rsidR="00D01324" w:rsidRPr="00BE4EA7" w:rsidRDefault="00D01324" w:rsidP="00D01324">
      <w:pPr>
        <w:spacing w:line="276" w:lineRule="auto"/>
        <w:jc w:val="both"/>
        <w:rPr>
          <w:rFonts w:ascii="Arial" w:hAnsi="Arial" w:cs="Arial"/>
          <w:b/>
          <w:color w:val="000000"/>
          <w:sz w:val="22"/>
          <w:szCs w:val="22"/>
        </w:rPr>
      </w:pPr>
    </w:p>
    <w:tbl>
      <w:tblPr>
        <w:tblpPr w:leftFromText="180" w:rightFromText="180" w:vertAnchor="text" w:horzAnchor="margin" w:tblpXSpec="center" w:tblpY="13"/>
        <w:tblW w:w="10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0"/>
        <w:gridCol w:w="2409"/>
        <w:gridCol w:w="928"/>
        <w:gridCol w:w="1085"/>
        <w:gridCol w:w="1181"/>
        <w:gridCol w:w="1175"/>
        <w:gridCol w:w="1229"/>
      </w:tblGrid>
      <w:tr w:rsidR="00E5391B" w:rsidRPr="00E2600D" w14:paraId="45118FE7" w14:textId="77777777" w:rsidTr="00E5391B">
        <w:trPr>
          <w:trHeight w:val="479"/>
        </w:trPr>
        <w:tc>
          <w:tcPr>
            <w:tcW w:w="0" w:type="auto"/>
            <w:shd w:val="clear" w:color="auto" w:fill="99CCFF"/>
            <w:vAlign w:val="center"/>
          </w:tcPr>
          <w:p w14:paraId="781313C4" w14:textId="77777777" w:rsidR="00E5391B" w:rsidRPr="00E2600D" w:rsidRDefault="00E5391B" w:rsidP="00EF4EAE">
            <w:pPr>
              <w:spacing w:line="276" w:lineRule="auto"/>
              <w:rPr>
                <w:b/>
                <w:color w:val="000000"/>
                <w:sz w:val="20"/>
                <w:szCs w:val="20"/>
                <w:lang w:eastAsia="hr-HR"/>
              </w:rPr>
            </w:pPr>
            <w:r w:rsidRPr="00E2600D">
              <w:rPr>
                <w:b/>
                <w:color w:val="000000"/>
                <w:sz w:val="20"/>
                <w:szCs w:val="20"/>
                <w:lang w:eastAsia="hr-HR"/>
              </w:rPr>
              <w:t>Pokazatelj rezultata</w:t>
            </w:r>
          </w:p>
        </w:tc>
        <w:tc>
          <w:tcPr>
            <w:tcW w:w="0" w:type="auto"/>
            <w:shd w:val="clear" w:color="auto" w:fill="99CCFF"/>
            <w:vAlign w:val="center"/>
          </w:tcPr>
          <w:p w14:paraId="0EEA4C07" w14:textId="77777777" w:rsidR="00E5391B" w:rsidRPr="00E2600D" w:rsidRDefault="00E5391B" w:rsidP="00EF4EAE">
            <w:pPr>
              <w:spacing w:line="276" w:lineRule="auto"/>
              <w:rPr>
                <w:b/>
                <w:color w:val="000000"/>
                <w:sz w:val="20"/>
                <w:szCs w:val="20"/>
                <w:lang w:eastAsia="hr-HR"/>
              </w:rPr>
            </w:pPr>
            <w:r w:rsidRPr="00E2600D">
              <w:rPr>
                <w:b/>
                <w:color w:val="000000"/>
                <w:sz w:val="20"/>
                <w:szCs w:val="20"/>
                <w:lang w:eastAsia="hr-HR"/>
              </w:rPr>
              <w:t>Definicija</w:t>
            </w:r>
          </w:p>
        </w:tc>
        <w:tc>
          <w:tcPr>
            <w:tcW w:w="0" w:type="auto"/>
            <w:shd w:val="clear" w:color="auto" w:fill="99CCFF"/>
            <w:vAlign w:val="center"/>
          </w:tcPr>
          <w:p w14:paraId="4D736BE7" w14:textId="77777777" w:rsidR="00E5391B" w:rsidRPr="00E2600D" w:rsidRDefault="00E5391B" w:rsidP="00EF4EAE">
            <w:pPr>
              <w:spacing w:line="276" w:lineRule="auto"/>
              <w:rPr>
                <w:b/>
                <w:color w:val="000000"/>
                <w:sz w:val="20"/>
                <w:szCs w:val="20"/>
                <w:lang w:eastAsia="hr-HR"/>
              </w:rPr>
            </w:pPr>
            <w:r w:rsidRPr="00E2600D">
              <w:rPr>
                <w:b/>
                <w:color w:val="000000"/>
                <w:sz w:val="20"/>
                <w:szCs w:val="20"/>
                <w:lang w:eastAsia="hr-HR"/>
              </w:rPr>
              <w:t>Jedinica</w:t>
            </w:r>
          </w:p>
        </w:tc>
        <w:tc>
          <w:tcPr>
            <w:tcW w:w="0" w:type="auto"/>
            <w:shd w:val="clear" w:color="auto" w:fill="99CCFF"/>
            <w:vAlign w:val="center"/>
          </w:tcPr>
          <w:p w14:paraId="63622E9E" w14:textId="77777777" w:rsidR="00E5391B" w:rsidRPr="00E2600D" w:rsidRDefault="00E5391B" w:rsidP="00EF4EAE">
            <w:pPr>
              <w:spacing w:line="276" w:lineRule="auto"/>
              <w:rPr>
                <w:b/>
                <w:color w:val="000000"/>
                <w:sz w:val="20"/>
                <w:szCs w:val="20"/>
                <w:lang w:eastAsia="hr-HR"/>
              </w:rPr>
            </w:pPr>
            <w:r w:rsidRPr="00E2600D">
              <w:rPr>
                <w:b/>
                <w:color w:val="000000"/>
                <w:sz w:val="20"/>
                <w:szCs w:val="20"/>
                <w:lang w:eastAsia="hr-HR"/>
              </w:rPr>
              <w:t>Izvor podataka</w:t>
            </w:r>
          </w:p>
        </w:tc>
        <w:tc>
          <w:tcPr>
            <w:tcW w:w="0" w:type="auto"/>
            <w:shd w:val="clear" w:color="auto" w:fill="99CCFF"/>
            <w:vAlign w:val="center"/>
          </w:tcPr>
          <w:p w14:paraId="48A35AAF" w14:textId="6A38F760" w:rsidR="00E5391B" w:rsidRPr="00E2600D" w:rsidRDefault="00E5391B" w:rsidP="00EF4EAE">
            <w:pPr>
              <w:spacing w:line="276" w:lineRule="auto"/>
              <w:rPr>
                <w:b/>
                <w:color w:val="000000"/>
                <w:sz w:val="20"/>
                <w:szCs w:val="20"/>
                <w:lang w:eastAsia="hr-HR"/>
              </w:rPr>
            </w:pPr>
            <w:r>
              <w:rPr>
                <w:b/>
                <w:color w:val="000000"/>
                <w:sz w:val="20"/>
                <w:szCs w:val="20"/>
                <w:lang w:eastAsia="hr-HR"/>
              </w:rPr>
              <w:t>Polazna</w:t>
            </w:r>
            <w:r w:rsidRPr="00E2600D">
              <w:rPr>
                <w:b/>
                <w:color w:val="000000"/>
                <w:sz w:val="20"/>
                <w:szCs w:val="20"/>
                <w:lang w:eastAsia="hr-HR"/>
              </w:rPr>
              <w:t xml:space="preserve"> vrijednost</w:t>
            </w:r>
          </w:p>
          <w:p w14:paraId="3DDACC02" w14:textId="642D61F0" w:rsidR="00E5391B" w:rsidRPr="00E2600D" w:rsidRDefault="00E5391B" w:rsidP="00EF4EAE">
            <w:pPr>
              <w:spacing w:line="276" w:lineRule="auto"/>
              <w:rPr>
                <w:b/>
                <w:color w:val="000000"/>
                <w:sz w:val="20"/>
                <w:szCs w:val="20"/>
                <w:lang w:eastAsia="hr-HR"/>
              </w:rPr>
            </w:pPr>
            <w:r w:rsidRPr="00E2600D">
              <w:rPr>
                <w:b/>
                <w:color w:val="000000"/>
                <w:sz w:val="20"/>
                <w:szCs w:val="20"/>
                <w:lang w:eastAsia="hr-HR"/>
              </w:rPr>
              <w:t>(202</w:t>
            </w:r>
            <w:r>
              <w:rPr>
                <w:b/>
                <w:color w:val="000000"/>
                <w:sz w:val="20"/>
                <w:szCs w:val="20"/>
                <w:lang w:eastAsia="hr-HR"/>
              </w:rPr>
              <w:t>3</w:t>
            </w:r>
            <w:r w:rsidRPr="00E2600D">
              <w:rPr>
                <w:b/>
                <w:color w:val="000000"/>
                <w:sz w:val="20"/>
                <w:szCs w:val="20"/>
                <w:lang w:eastAsia="hr-HR"/>
              </w:rPr>
              <w:t>.)</w:t>
            </w:r>
          </w:p>
        </w:tc>
        <w:tc>
          <w:tcPr>
            <w:tcW w:w="0" w:type="auto"/>
            <w:shd w:val="clear" w:color="auto" w:fill="99CCFF"/>
            <w:vAlign w:val="center"/>
          </w:tcPr>
          <w:p w14:paraId="0DD139CD" w14:textId="5833A3FC" w:rsidR="00E5391B" w:rsidRPr="00E2600D" w:rsidRDefault="00E5391B" w:rsidP="00EF4EAE">
            <w:pPr>
              <w:spacing w:line="276" w:lineRule="auto"/>
              <w:rPr>
                <w:b/>
                <w:color w:val="000000"/>
                <w:sz w:val="20"/>
                <w:szCs w:val="20"/>
                <w:lang w:eastAsia="hr-HR"/>
              </w:rPr>
            </w:pPr>
            <w:r>
              <w:rPr>
                <w:b/>
                <w:color w:val="000000"/>
                <w:sz w:val="20"/>
                <w:szCs w:val="20"/>
                <w:lang w:eastAsia="hr-HR"/>
              </w:rPr>
              <w:t xml:space="preserve">Ciljana </w:t>
            </w:r>
            <w:r w:rsidRPr="00E2600D">
              <w:rPr>
                <w:b/>
                <w:color w:val="000000"/>
                <w:sz w:val="20"/>
                <w:szCs w:val="20"/>
                <w:lang w:eastAsia="hr-HR"/>
              </w:rPr>
              <w:t>vrijednost</w:t>
            </w:r>
          </w:p>
          <w:p w14:paraId="2EA3357B" w14:textId="18EDE44D" w:rsidR="00E5391B" w:rsidRPr="00E2600D" w:rsidRDefault="00E5391B" w:rsidP="00EF4EAE">
            <w:pPr>
              <w:spacing w:line="276" w:lineRule="auto"/>
              <w:rPr>
                <w:b/>
                <w:color w:val="000000"/>
                <w:sz w:val="20"/>
                <w:szCs w:val="20"/>
                <w:lang w:eastAsia="hr-HR"/>
              </w:rPr>
            </w:pPr>
            <w:r w:rsidRPr="00E2600D">
              <w:rPr>
                <w:b/>
                <w:color w:val="000000"/>
                <w:sz w:val="20"/>
                <w:szCs w:val="20"/>
                <w:lang w:eastAsia="hr-HR"/>
              </w:rPr>
              <w:t>(202</w:t>
            </w:r>
            <w:r w:rsidR="00751AA5">
              <w:rPr>
                <w:b/>
                <w:color w:val="000000"/>
                <w:sz w:val="20"/>
                <w:szCs w:val="20"/>
                <w:lang w:eastAsia="hr-HR"/>
              </w:rPr>
              <w:t>4</w:t>
            </w:r>
            <w:r w:rsidRPr="00E2600D">
              <w:rPr>
                <w:b/>
                <w:color w:val="000000"/>
                <w:sz w:val="20"/>
                <w:szCs w:val="20"/>
                <w:lang w:eastAsia="hr-HR"/>
              </w:rPr>
              <w:t>.)</w:t>
            </w:r>
          </w:p>
        </w:tc>
        <w:tc>
          <w:tcPr>
            <w:tcW w:w="0" w:type="auto"/>
            <w:shd w:val="clear" w:color="auto" w:fill="99CCFF"/>
            <w:vAlign w:val="center"/>
          </w:tcPr>
          <w:p w14:paraId="46477884" w14:textId="11DBAE87" w:rsidR="00E5391B" w:rsidRPr="00E2600D" w:rsidRDefault="00E5391B" w:rsidP="00EF4EAE">
            <w:pPr>
              <w:spacing w:line="276" w:lineRule="auto"/>
              <w:rPr>
                <w:b/>
                <w:color w:val="000000"/>
                <w:sz w:val="20"/>
                <w:szCs w:val="20"/>
                <w:lang w:eastAsia="hr-HR"/>
              </w:rPr>
            </w:pPr>
            <w:r>
              <w:rPr>
                <w:b/>
                <w:color w:val="000000"/>
                <w:sz w:val="20"/>
                <w:szCs w:val="20"/>
                <w:lang w:eastAsia="hr-HR"/>
              </w:rPr>
              <w:t>Ostvareno</w:t>
            </w:r>
            <w:r w:rsidRPr="00E2600D">
              <w:rPr>
                <w:b/>
                <w:color w:val="000000"/>
                <w:sz w:val="20"/>
                <w:szCs w:val="20"/>
                <w:lang w:eastAsia="hr-HR"/>
              </w:rPr>
              <w:t xml:space="preserve"> vrijednost</w:t>
            </w:r>
          </w:p>
          <w:p w14:paraId="3EE728B5" w14:textId="5300B1AE" w:rsidR="00E5391B" w:rsidRPr="00E2600D" w:rsidRDefault="00E5391B" w:rsidP="00EF4EAE">
            <w:pPr>
              <w:spacing w:line="276" w:lineRule="auto"/>
              <w:rPr>
                <w:b/>
                <w:color w:val="000000"/>
                <w:sz w:val="20"/>
                <w:szCs w:val="20"/>
                <w:lang w:eastAsia="hr-HR"/>
              </w:rPr>
            </w:pPr>
            <w:r w:rsidRPr="00E2600D">
              <w:rPr>
                <w:b/>
                <w:color w:val="000000"/>
                <w:sz w:val="20"/>
                <w:szCs w:val="20"/>
                <w:lang w:eastAsia="hr-HR"/>
              </w:rPr>
              <w:t>(202</w:t>
            </w:r>
            <w:r>
              <w:rPr>
                <w:b/>
                <w:color w:val="000000"/>
                <w:sz w:val="20"/>
                <w:szCs w:val="20"/>
                <w:lang w:eastAsia="hr-HR"/>
              </w:rPr>
              <w:t>4</w:t>
            </w:r>
            <w:r w:rsidRPr="00E2600D">
              <w:rPr>
                <w:b/>
                <w:color w:val="000000"/>
                <w:sz w:val="20"/>
                <w:szCs w:val="20"/>
                <w:lang w:eastAsia="hr-HR"/>
              </w:rPr>
              <w:t>.)</w:t>
            </w:r>
          </w:p>
        </w:tc>
      </w:tr>
      <w:tr w:rsidR="00E5391B" w:rsidRPr="00E2600D" w14:paraId="59137A70" w14:textId="77777777" w:rsidTr="00E5391B">
        <w:trPr>
          <w:trHeight w:val="523"/>
        </w:trPr>
        <w:tc>
          <w:tcPr>
            <w:tcW w:w="0" w:type="auto"/>
            <w:vAlign w:val="center"/>
          </w:tcPr>
          <w:p w14:paraId="4DCA7D30" w14:textId="77777777" w:rsidR="00E5391B" w:rsidRPr="00E2600D" w:rsidRDefault="00E5391B" w:rsidP="00EF4EAE">
            <w:pPr>
              <w:spacing w:line="276" w:lineRule="auto"/>
              <w:rPr>
                <w:color w:val="000000"/>
                <w:sz w:val="20"/>
                <w:szCs w:val="20"/>
                <w:lang w:val="pl-PL" w:eastAsia="hr-HR"/>
              </w:rPr>
            </w:pPr>
            <w:r>
              <w:rPr>
                <w:color w:val="000000"/>
                <w:sz w:val="20"/>
                <w:szCs w:val="20"/>
                <w:lang w:val="pl-PL" w:eastAsia="hr-HR"/>
              </w:rPr>
              <w:t>Broj programa obrazovanja financiranih preko vaučera Hrvatskog zavoda za zapošljavanje</w:t>
            </w:r>
          </w:p>
        </w:tc>
        <w:tc>
          <w:tcPr>
            <w:tcW w:w="0" w:type="auto"/>
            <w:vAlign w:val="center"/>
          </w:tcPr>
          <w:p w14:paraId="6C318655" w14:textId="641E5FD7" w:rsidR="00E5391B" w:rsidRPr="00E2600D" w:rsidRDefault="00E5391B" w:rsidP="0019098A">
            <w:pPr>
              <w:spacing w:line="276" w:lineRule="auto"/>
              <w:rPr>
                <w:color w:val="000000"/>
                <w:sz w:val="20"/>
                <w:szCs w:val="20"/>
                <w:lang w:val="pl-PL" w:eastAsia="hr-HR"/>
              </w:rPr>
            </w:pPr>
            <w:r w:rsidRPr="00E2600D">
              <w:rPr>
                <w:color w:val="000000"/>
                <w:sz w:val="20"/>
                <w:szCs w:val="20"/>
                <w:lang w:val="pl-PL" w:eastAsia="hr-HR"/>
              </w:rPr>
              <w:t>Poticati građane na lokalnoj i regionalnoj razini na uključivanje u ponuđene verificirane i ne</w:t>
            </w:r>
            <w:r>
              <w:rPr>
                <w:color w:val="000000"/>
                <w:sz w:val="20"/>
                <w:szCs w:val="20"/>
                <w:lang w:val="pl-PL" w:eastAsia="hr-HR"/>
              </w:rPr>
              <w:t>verificirane</w:t>
            </w:r>
            <w:r w:rsidRPr="00E2600D">
              <w:rPr>
                <w:color w:val="000000"/>
                <w:sz w:val="20"/>
                <w:szCs w:val="20"/>
                <w:lang w:val="pl-PL" w:eastAsia="hr-HR"/>
              </w:rPr>
              <w:t xml:space="preserve"> programe</w:t>
            </w:r>
          </w:p>
        </w:tc>
        <w:tc>
          <w:tcPr>
            <w:tcW w:w="0" w:type="auto"/>
            <w:vAlign w:val="center"/>
          </w:tcPr>
          <w:p w14:paraId="42FB5A4C" w14:textId="77777777" w:rsidR="00E5391B" w:rsidRPr="00E2600D" w:rsidRDefault="00E5391B" w:rsidP="00EF4EAE">
            <w:pPr>
              <w:rPr>
                <w:color w:val="000000"/>
                <w:sz w:val="20"/>
                <w:szCs w:val="20"/>
                <w:lang w:eastAsia="hr-HR"/>
              </w:rPr>
            </w:pPr>
          </w:p>
          <w:p w14:paraId="3FC3F358" w14:textId="77777777" w:rsidR="00E5391B" w:rsidRPr="00E2600D" w:rsidRDefault="00E5391B" w:rsidP="00EF4EAE">
            <w:pPr>
              <w:rPr>
                <w:color w:val="000000"/>
                <w:sz w:val="20"/>
                <w:szCs w:val="20"/>
                <w:lang w:eastAsia="hr-HR"/>
              </w:rPr>
            </w:pPr>
            <w:r w:rsidRPr="00E2600D">
              <w:rPr>
                <w:color w:val="000000"/>
                <w:sz w:val="20"/>
                <w:szCs w:val="20"/>
                <w:lang w:eastAsia="hr-HR"/>
              </w:rPr>
              <w:t>broj</w:t>
            </w:r>
          </w:p>
          <w:p w14:paraId="5B5B59B9" w14:textId="77777777" w:rsidR="00E5391B" w:rsidRPr="00E2600D" w:rsidRDefault="00E5391B" w:rsidP="00EF4EAE">
            <w:pPr>
              <w:rPr>
                <w:color w:val="000000"/>
                <w:sz w:val="20"/>
                <w:szCs w:val="20"/>
                <w:lang w:eastAsia="hr-HR"/>
              </w:rPr>
            </w:pPr>
          </w:p>
        </w:tc>
        <w:tc>
          <w:tcPr>
            <w:tcW w:w="0" w:type="auto"/>
            <w:vAlign w:val="center"/>
          </w:tcPr>
          <w:p w14:paraId="135C0B65" w14:textId="77777777" w:rsidR="00E5391B" w:rsidRPr="00E2600D" w:rsidRDefault="00E5391B" w:rsidP="00EF4EAE">
            <w:pPr>
              <w:spacing w:line="276" w:lineRule="auto"/>
              <w:rPr>
                <w:color w:val="000000"/>
                <w:sz w:val="20"/>
                <w:szCs w:val="20"/>
                <w:lang w:eastAsia="hr-HR"/>
              </w:rPr>
            </w:pPr>
            <w:r w:rsidRPr="00E2600D">
              <w:rPr>
                <w:color w:val="000000"/>
                <w:sz w:val="20"/>
                <w:szCs w:val="20"/>
                <w:lang w:eastAsia="hr-HR"/>
              </w:rPr>
              <w:t>Učilište</w:t>
            </w:r>
          </w:p>
        </w:tc>
        <w:tc>
          <w:tcPr>
            <w:tcW w:w="0" w:type="auto"/>
            <w:vAlign w:val="center"/>
          </w:tcPr>
          <w:p w14:paraId="4D2DCFC6" w14:textId="795F125E" w:rsidR="00E5391B" w:rsidRPr="00E2600D" w:rsidRDefault="00E5391B" w:rsidP="00EF4EAE">
            <w:pPr>
              <w:spacing w:line="276" w:lineRule="auto"/>
              <w:rPr>
                <w:color w:val="000000"/>
                <w:sz w:val="20"/>
                <w:szCs w:val="20"/>
                <w:lang w:eastAsia="hr-HR"/>
              </w:rPr>
            </w:pPr>
            <w:r>
              <w:rPr>
                <w:color w:val="000000"/>
                <w:sz w:val="20"/>
                <w:szCs w:val="20"/>
                <w:lang w:eastAsia="hr-HR"/>
              </w:rPr>
              <w:t xml:space="preserve">     5</w:t>
            </w:r>
          </w:p>
        </w:tc>
        <w:tc>
          <w:tcPr>
            <w:tcW w:w="0" w:type="auto"/>
            <w:vAlign w:val="center"/>
          </w:tcPr>
          <w:p w14:paraId="7188AD9A" w14:textId="2BF9D721" w:rsidR="00E5391B" w:rsidRPr="00E2600D" w:rsidRDefault="00E5391B" w:rsidP="00EF4EAE">
            <w:pPr>
              <w:spacing w:line="276" w:lineRule="auto"/>
              <w:rPr>
                <w:color w:val="000000"/>
                <w:sz w:val="20"/>
                <w:szCs w:val="20"/>
                <w:lang w:eastAsia="hr-HR"/>
              </w:rPr>
            </w:pPr>
            <w:r>
              <w:rPr>
                <w:color w:val="000000"/>
                <w:sz w:val="20"/>
                <w:szCs w:val="20"/>
                <w:lang w:eastAsia="hr-HR"/>
              </w:rPr>
              <w:t xml:space="preserve">     </w:t>
            </w:r>
            <w:r w:rsidR="00B52F91">
              <w:rPr>
                <w:color w:val="000000"/>
                <w:sz w:val="20"/>
                <w:szCs w:val="20"/>
                <w:lang w:eastAsia="hr-HR"/>
              </w:rPr>
              <w:t>7</w:t>
            </w:r>
          </w:p>
        </w:tc>
        <w:tc>
          <w:tcPr>
            <w:tcW w:w="0" w:type="auto"/>
            <w:vAlign w:val="center"/>
          </w:tcPr>
          <w:p w14:paraId="2378E283" w14:textId="77777777" w:rsidR="00E5391B" w:rsidRPr="00E2600D" w:rsidRDefault="00E5391B" w:rsidP="00EF4EAE">
            <w:pPr>
              <w:spacing w:line="276" w:lineRule="auto"/>
              <w:rPr>
                <w:color w:val="000000"/>
                <w:sz w:val="20"/>
                <w:szCs w:val="20"/>
                <w:lang w:eastAsia="hr-HR"/>
              </w:rPr>
            </w:pPr>
          </w:p>
          <w:p w14:paraId="6F966EEA" w14:textId="206A8379" w:rsidR="00E5391B" w:rsidRPr="00E2600D" w:rsidRDefault="00E5391B" w:rsidP="00EF4EAE">
            <w:pPr>
              <w:spacing w:line="276" w:lineRule="auto"/>
              <w:rPr>
                <w:color w:val="000000"/>
                <w:sz w:val="20"/>
                <w:szCs w:val="20"/>
                <w:lang w:eastAsia="hr-HR"/>
              </w:rPr>
            </w:pPr>
          </w:p>
          <w:p w14:paraId="7929F11A" w14:textId="40F2F31E" w:rsidR="00E5391B" w:rsidRPr="00E2600D" w:rsidRDefault="00E14895" w:rsidP="00EF4EAE">
            <w:pPr>
              <w:spacing w:line="276" w:lineRule="auto"/>
              <w:rPr>
                <w:color w:val="000000"/>
                <w:sz w:val="20"/>
                <w:szCs w:val="20"/>
                <w:lang w:eastAsia="hr-HR"/>
              </w:rPr>
            </w:pPr>
            <w:r>
              <w:rPr>
                <w:color w:val="000000"/>
                <w:sz w:val="20"/>
                <w:szCs w:val="20"/>
                <w:lang w:eastAsia="hr-HR"/>
              </w:rPr>
              <w:t>14</w:t>
            </w:r>
          </w:p>
        </w:tc>
      </w:tr>
      <w:tr w:rsidR="00E5391B" w:rsidRPr="00E2600D" w14:paraId="41F9D6F9" w14:textId="77777777" w:rsidTr="00E5391B">
        <w:trPr>
          <w:trHeight w:val="523"/>
        </w:trPr>
        <w:tc>
          <w:tcPr>
            <w:tcW w:w="0" w:type="auto"/>
            <w:vAlign w:val="center"/>
          </w:tcPr>
          <w:p w14:paraId="5B4D0E9A" w14:textId="77777777" w:rsidR="00E5391B" w:rsidRPr="00E2600D" w:rsidRDefault="00E5391B" w:rsidP="00EF4EAE">
            <w:pPr>
              <w:spacing w:line="276" w:lineRule="auto"/>
              <w:rPr>
                <w:color w:val="000000"/>
                <w:sz w:val="20"/>
                <w:szCs w:val="20"/>
                <w:lang w:val="pl-PL" w:eastAsia="hr-HR"/>
              </w:rPr>
            </w:pPr>
            <w:r w:rsidRPr="00E2600D">
              <w:rPr>
                <w:color w:val="000000"/>
                <w:sz w:val="20"/>
                <w:szCs w:val="20"/>
                <w:lang w:val="pl-PL" w:eastAsia="hr-HR"/>
              </w:rPr>
              <w:t>Ukupan broj polaznika obrazovnih programa i edukacija (radionice i sl.)</w:t>
            </w:r>
          </w:p>
        </w:tc>
        <w:tc>
          <w:tcPr>
            <w:tcW w:w="0" w:type="auto"/>
            <w:vAlign w:val="center"/>
          </w:tcPr>
          <w:p w14:paraId="363603B6" w14:textId="77777777" w:rsidR="00E5391B" w:rsidRPr="00E2600D" w:rsidRDefault="00E5391B" w:rsidP="00EF4EAE">
            <w:pPr>
              <w:spacing w:line="276" w:lineRule="auto"/>
              <w:rPr>
                <w:color w:val="000000"/>
                <w:sz w:val="20"/>
                <w:szCs w:val="20"/>
                <w:lang w:val="pl-PL" w:eastAsia="hr-HR"/>
              </w:rPr>
            </w:pPr>
            <w:r w:rsidRPr="00E2600D">
              <w:rPr>
                <w:color w:val="000000"/>
                <w:sz w:val="20"/>
                <w:szCs w:val="20"/>
                <w:lang w:val="pl-PL" w:eastAsia="hr-HR"/>
              </w:rPr>
              <w:t>Poticanje na stjecanje novih  građanskih i poslovnih originalnih kompetencija</w:t>
            </w:r>
          </w:p>
        </w:tc>
        <w:tc>
          <w:tcPr>
            <w:tcW w:w="0" w:type="auto"/>
            <w:vAlign w:val="center"/>
          </w:tcPr>
          <w:p w14:paraId="513927D2" w14:textId="77777777" w:rsidR="00E5391B" w:rsidRPr="00E2600D" w:rsidRDefault="00E5391B" w:rsidP="00EF4EAE">
            <w:pPr>
              <w:rPr>
                <w:color w:val="000000"/>
                <w:sz w:val="20"/>
                <w:szCs w:val="20"/>
                <w:lang w:eastAsia="hr-HR"/>
              </w:rPr>
            </w:pPr>
            <w:r>
              <w:rPr>
                <w:color w:val="000000"/>
                <w:sz w:val="20"/>
                <w:szCs w:val="20"/>
                <w:lang w:eastAsia="hr-HR"/>
              </w:rPr>
              <w:t>broj</w:t>
            </w:r>
          </w:p>
        </w:tc>
        <w:tc>
          <w:tcPr>
            <w:tcW w:w="0" w:type="auto"/>
            <w:vAlign w:val="center"/>
          </w:tcPr>
          <w:p w14:paraId="1F8F0653" w14:textId="77777777" w:rsidR="00E5391B" w:rsidRPr="00E2600D" w:rsidRDefault="00E5391B" w:rsidP="00EF4EAE">
            <w:pPr>
              <w:spacing w:line="276" w:lineRule="auto"/>
              <w:rPr>
                <w:color w:val="000000"/>
                <w:sz w:val="20"/>
                <w:szCs w:val="20"/>
                <w:lang w:eastAsia="hr-HR"/>
              </w:rPr>
            </w:pPr>
            <w:r>
              <w:rPr>
                <w:color w:val="000000"/>
                <w:sz w:val="20"/>
                <w:szCs w:val="20"/>
                <w:lang w:eastAsia="hr-HR"/>
              </w:rPr>
              <w:t>Učilište</w:t>
            </w:r>
          </w:p>
        </w:tc>
        <w:tc>
          <w:tcPr>
            <w:tcW w:w="0" w:type="auto"/>
            <w:vAlign w:val="center"/>
          </w:tcPr>
          <w:p w14:paraId="4CF26D6D" w14:textId="6483B572" w:rsidR="00E5391B" w:rsidRPr="00E2600D" w:rsidRDefault="007D3534" w:rsidP="007D3534">
            <w:pPr>
              <w:spacing w:line="276" w:lineRule="auto"/>
              <w:rPr>
                <w:color w:val="000000"/>
                <w:sz w:val="20"/>
                <w:szCs w:val="20"/>
                <w:lang w:eastAsia="hr-HR"/>
              </w:rPr>
            </w:pPr>
            <w:r>
              <w:rPr>
                <w:color w:val="000000"/>
                <w:sz w:val="20"/>
                <w:szCs w:val="20"/>
                <w:lang w:eastAsia="hr-HR"/>
              </w:rPr>
              <w:t xml:space="preserve">    544</w:t>
            </w:r>
          </w:p>
        </w:tc>
        <w:tc>
          <w:tcPr>
            <w:tcW w:w="0" w:type="auto"/>
            <w:vAlign w:val="center"/>
          </w:tcPr>
          <w:p w14:paraId="0B5CCF2F" w14:textId="0A8EB961" w:rsidR="00E5391B" w:rsidRPr="00E2600D" w:rsidRDefault="00E5391B" w:rsidP="00EF4EAE">
            <w:pPr>
              <w:spacing w:line="276" w:lineRule="auto"/>
              <w:rPr>
                <w:color w:val="000000"/>
                <w:sz w:val="20"/>
                <w:szCs w:val="20"/>
                <w:lang w:eastAsia="hr-HR"/>
              </w:rPr>
            </w:pPr>
            <w:r>
              <w:rPr>
                <w:color w:val="000000"/>
                <w:sz w:val="20"/>
                <w:szCs w:val="20"/>
                <w:lang w:eastAsia="hr-HR"/>
              </w:rPr>
              <w:t xml:space="preserve">      </w:t>
            </w:r>
            <w:r w:rsidR="00B52F91">
              <w:rPr>
                <w:color w:val="000000"/>
                <w:sz w:val="20"/>
                <w:szCs w:val="20"/>
                <w:lang w:eastAsia="hr-HR"/>
              </w:rPr>
              <w:t>588</w:t>
            </w:r>
          </w:p>
        </w:tc>
        <w:tc>
          <w:tcPr>
            <w:tcW w:w="0" w:type="auto"/>
            <w:vAlign w:val="center"/>
          </w:tcPr>
          <w:p w14:paraId="0284F6B9" w14:textId="00F836C7" w:rsidR="00E5391B" w:rsidRPr="00E2600D" w:rsidRDefault="00E14895" w:rsidP="00EF4EAE">
            <w:pPr>
              <w:spacing w:line="276" w:lineRule="auto"/>
              <w:rPr>
                <w:color w:val="000000"/>
                <w:sz w:val="20"/>
                <w:szCs w:val="20"/>
                <w:lang w:eastAsia="hr-HR"/>
              </w:rPr>
            </w:pPr>
            <w:r>
              <w:rPr>
                <w:color w:val="000000"/>
                <w:sz w:val="20"/>
                <w:szCs w:val="20"/>
                <w:lang w:eastAsia="hr-HR"/>
              </w:rPr>
              <w:t>936</w:t>
            </w:r>
          </w:p>
        </w:tc>
      </w:tr>
    </w:tbl>
    <w:p w14:paraId="1D9AA47F" w14:textId="1B818CE2" w:rsidR="00D01324" w:rsidRPr="00BE4EA7" w:rsidRDefault="00D01324" w:rsidP="00D01324">
      <w:pPr>
        <w:spacing w:line="276" w:lineRule="auto"/>
        <w:rPr>
          <w:rFonts w:ascii="Arial" w:hAnsi="Arial" w:cs="Arial"/>
          <w:b/>
          <w:color w:val="000000"/>
          <w:sz w:val="22"/>
          <w:szCs w:val="22"/>
          <w:lang w:eastAsia="hr-HR"/>
        </w:rPr>
      </w:pPr>
    </w:p>
    <w:p w14:paraId="11279536" w14:textId="76B1B3DB" w:rsidR="00617FED" w:rsidRDefault="00617FED" w:rsidP="00617FED">
      <w:pPr>
        <w:spacing w:line="276" w:lineRule="auto"/>
        <w:jc w:val="both"/>
        <w:rPr>
          <w:bCs/>
          <w:color w:val="000000"/>
          <w:sz w:val="22"/>
          <w:szCs w:val="22"/>
          <w:lang w:eastAsia="hr-HR"/>
        </w:rPr>
      </w:pPr>
      <w:r w:rsidRPr="00BE4EA7">
        <w:rPr>
          <w:bCs/>
          <w:color w:val="000000"/>
          <w:sz w:val="22"/>
          <w:szCs w:val="22"/>
          <w:lang w:eastAsia="hr-HR"/>
        </w:rPr>
        <w:t>Napomena: ovi pokazatelji rezultata izrađeni su u 2021.</w:t>
      </w:r>
      <w:r w:rsidR="0019098A">
        <w:rPr>
          <w:bCs/>
          <w:color w:val="000000"/>
          <w:sz w:val="22"/>
          <w:szCs w:val="22"/>
          <w:lang w:eastAsia="hr-HR"/>
        </w:rPr>
        <w:t xml:space="preserve"> </w:t>
      </w:r>
      <w:r w:rsidRPr="00BE4EA7">
        <w:rPr>
          <w:bCs/>
          <w:color w:val="000000"/>
          <w:sz w:val="22"/>
          <w:szCs w:val="22"/>
          <w:lang w:eastAsia="hr-HR"/>
        </w:rPr>
        <w:t>godini</w:t>
      </w:r>
      <w:r w:rsidR="008F288C">
        <w:rPr>
          <w:bCs/>
          <w:color w:val="000000"/>
          <w:sz w:val="22"/>
          <w:szCs w:val="22"/>
          <w:lang w:eastAsia="hr-HR"/>
        </w:rPr>
        <w:t xml:space="preserve">, zbog stupanja </w:t>
      </w:r>
      <w:r w:rsidRPr="00BE4EA7">
        <w:rPr>
          <w:bCs/>
          <w:color w:val="000000"/>
          <w:sz w:val="22"/>
          <w:szCs w:val="22"/>
          <w:lang w:eastAsia="hr-HR"/>
        </w:rPr>
        <w:t>na snagu nov</w:t>
      </w:r>
      <w:r w:rsidR="008F288C">
        <w:rPr>
          <w:bCs/>
          <w:color w:val="000000"/>
          <w:sz w:val="22"/>
          <w:szCs w:val="22"/>
          <w:lang w:eastAsia="hr-HR"/>
        </w:rPr>
        <w:t xml:space="preserve">og </w:t>
      </w:r>
      <w:r w:rsidRPr="00BE4EA7">
        <w:rPr>
          <w:bCs/>
          <w:color w:val="000000"/>
          <w:sz w:val="22"/>
          <w:szCs w:val="22"/>
          <w:lang w:eastAsia="hr-HR"/>
        </w:rPr>
        <w:t>Zakon</w:t>
      </w:r>
      <w:r w:rsidR="008F288C">
        <w:rPr>
          <w:bCs/>
          <w:color w:val="000000"/>
          <w:sz w:val="22"/>
          <w:szCs w:val="22"/>
          <w:lang w:eastAsia="hr-HR"/>
        </w:rPr>
        <w:t>a</w:t>
      </w:r>
      <w:r w:rsidRPr="00BE4EA7">
        <w:rPr>
          <w:bCs/>
          <w:color w:val="000000"/>
          <w:sz w:val="22"/>
          <w:szCs w:val="22"/>
          <w:lang w:eastAsia="hr-HR"/>
        </w:rPr>
        <w:t xml:space="preserve"> o obrazovanju odraslih, koji zahtijeva izradu programa obrazovanja prema novoj metodologiji, stoga</w:t>
      </w:r>
      <w:r w:rsidR="00021535">
        <w:rPr>
          <w:bCs/>
          <w:color w:val="000000"/>
          <w:sz w:val="22"/>
          <w:szCs w:val="22"/>
          <w:lang w:eastAsia="hr-HR"/>
        </w:rPr>
        <w:t xml:space="preserve"> veliki broj „</w:t>
      </w:r>
      <w:r w:rsidRPr="00BE4EA7">
        <w:rPr>
          <w:bCs/>
          <w:color w:val="000000"/>
          <w:sz w:val="22"/>
          <w:szCs w:val="22"/>
          <w:lang w:eastAsia="hr-HR"/>
        </w:rPr>
        <w:t>starih</w:t>
      </w:r>
      <w:r w:rsidR="00021535">
        <w:rPr>
          <w:bCs/>
          <w:color w:val="000000"/>
          <w:sz w:val="22"/>
          <w:szCs w:val="22"/>
          <w:lang w:eastAsia="hr-HR"/>
        </w:rPr>
        <w:t>“</w:t>
      </w:r>
      <w:r w:rsidRPr="00BE4EA7">
        <w:rPr>
          <w:bCs/>
          <w:color w:val="000000"/>
          <w:sz w:val="22"/>
          <w:szCs w:val="22"/>
          <w:lang w:eastAsia="hr-HR"/>
        </w:rPr>
        <w:t xml:space="preserve"> programa se više ne smij</w:t>
      </w:r>
      <w:r w:rsidR="00021535">
        <w:rPr>
          <w:bCs/>
          <w:color w:val="000000"/>
          <w:sz w:val="22"/>
          <w:szCs w:val="22"/>
          <w:lang w:eastAsia="hr-HR"/>
        </w:rPr>
        <w:t>e</w:t>
      </w:r>
      <w:r w:rsidRPr="00BE4EA7">
        <w:rPr>
          <w:bCs/>
          <w:color w:val="000000"/>
          <w:sz w:val="22"/>
          <w:szCs w:val="22"/>
          <w:lang w:eastAsia="hr-HR"/>
        </w:rPr>
        <w:t xml:space="preserve"> provoditi. S obzirom na </w:t>
      </w:r>
      <w:r w:rsidR="00DC64F8" w:rsidRPr="00BE4EA7">
        <w:rPr>
          <w:bCs/>
          <w:color w:val="000000"/>
          <w:sz w:val="22"/>
          <w:szCs w:val="22"/>
          <w:lang w:eastAsia="hr-HR"/>
        </w:rPr>
        <w:t>na</w:t>
      </w:r>
      <w:r w:rsidRPr="00BE4EA7">
        <w:rPr>
          <w:bCs/>
          <w:color w:val="000000"/>
          <w:sz w:val="22"/>
          <w:szCs w:val="22"/>
          <w:lang w:eastAsia="hr-HR"/>
        </w:rPr>
        <w:t>vedeno, za 2023. godinu smo uveli novi pokazatelj rezultata - broj programa koji se mogu financirati preko vaučera (mogućnost financiranja preko vaučera stupila na snagu od 1.</w:t>
      </w:r>
      <w:r w:rsidR="0019098A">
        <w:rPr>
          <w:bCs/>
          <w:color w:val="000000"/>
          <w:sz w:val="22"/>
          <w:szCs w:val="22"/>
          <w:lang w:eastAsia="hr-HR"/>
        </w:rPr>
        <w:t xml:space="preserve"> </w:t>
      </w:r>
      <w:r w:rsidRPr="00BE4EA7">
        <w:rPr>
          <w:bCs/>
          <w:color w:val="000000"/>
          <w:sz w:val="22"/>
          <w:szCs w:val="22"/>
          <w:lang w:eastAsia="hr-HR"/>
        </w:rPr>
        <w:t>travnja 2022.).</w:t>
      </w:r>
    </w:p>
    <w:p w14:paraId="54068807" w14:textId="77777777" w:rsidR="00617FED" w:rsidRDefault="00617FED" w:rsidP="00D01324">
      <w:pPr>
        <w:spacing w:line="276" w:lineRule="auto"/>
        <w:rPr>
          <w:rFonts w:ascii="Arial" w:hAnsi="Arial" w:cs="Arial"/>
          <w:b/>
          <w:color w:val="000000"/>
          <w:sz w:val="22"/>
          <w:szCs w:val="22"/>
          <w:lang w:eastAsia="hr-HR"/>
        </w:rPr>
      </w:pPr>
    </w:p>
    <w:p w14:paraId="726A01F9" w14:textId="77777777" w:rsidR="004068C9" w:rsidRDefault="004068C9" w:rsidP="00D01324">
      <w:pPr>
        <w:spacing w:line="276" w:lineRule="auto"/>
        <w:rPr>
          <w:rFonts w:ascii="Arial" w:hAnsi="Arial" w:cs="Arial"/>
          <w:b/>
          <w:color w:val="000000"/>
          <w:sz w:val="22"/>
          <w:szCs w:val="22"/>
          <w:lang w:eastAsia="hr-HR"/>
        </w:rPr>
      </w:pPr>
    </w:p>
    <w:p w14:paraId="49A430F8" w14:textId="77777777" w:rsidR="004068C9" w:rsidRPr="00BE4EA7" w:rsidRDefault="004068C9" w:rsidP="00D01324">
      <w:pPr>
        <w:spacing w:line="276" w:lineRule="auto"/>
        <w:rPr>
          <w:rFonts w:ascii="Arial" w:hAnsi="Arial" w:cs="Arial"/>
          <w:b/>
          <w:color w:val="000000"/>
          <w:sz w:val="22"/>
          <w:szCs w:val="22"/>
          <w:lang w:eastAsia="hr-HR"/>
        </w:rPr>
      </w:pPr>
    </w:p>
    <w:p w14:paraId="77D8DE3D" w14:textId="77777777" w:rsidR="00803E66" w:rsidRDefault="00803E66" w:rsidP="00D01324">
      <w:pPr>
        <w:spacing w:line="276" w:lineRule="auto"/>
        <w:rPr>
          <w:rFonts w:ascii="Arial" w:hAnsi="Arial" w:cs="Arial"/>
          <w:b/>
          <w:color w:val="000000"/>
          <w:sz w:val="22"/>
          <w:szCs w:val="22"/>
          <w:lang w:eastAsia="hr-HR"/>
        </w:rPr>
      </w:pPr>
    </w:p>
    <w:p w14:paraId="0ED8CF82" w14:textId="77777777" w:rsidR="00803E66" w:rsidRDefault="00803E66" w:rsidP="00D01324">
      <w:pPr>
        <w:spacing w:line="276" w:lineRule="auto"/>
        <w:rPr>
          <w:rFonts w:ascii="Arial" w:hAnsi="Arial" w:cs="Arial"/>
          <w:b/>
          <w:color w:val="000000"/>
          <w:sz w:val="22"/>
          <w:szCs w:val="22"/>
          <w:lang w:eastAsia="hr-HR"/>
        </w:rPr>
      </w:pPr>
    </w:p>
    <w:p w14:paraId="3387F05E" w14:textId="77777777" w:rsidR="00021535" w:rsidRDefault="00021535" w:rsidP="00D01324">
      <w:pPr>
        <w:spacing w:line="276" w:lineRule="auto"/>
        <w:rPr>
          <w:rFonts w:ascii="Arial" w:hAnsi="Arial" w:cs="Arial"/>
          <w:b/>
          <w:color w:val="000000"/>
          <w:sz w:val="22"/>
          <w:szCs w:val="22"/>
          <w:lang w:eastAsia="hr-HR"/>
        </w:rPr>
      </w:pPr>
    </w:p>
    <w:p w14:paraId="56835185" w14:textId="77777777" w:rsidR="00021535" w:rsidRDefault="00021535" w:rsidP="00D01324">
      <w:pPr>
        <w:spacing w:line="276" w:lineRule="auto"/>
        <w:rPr>
          <w:rFonts w:ascii="Arial" w:hAnsi="Arial" w:cs="Arial"/>
          <w:b/>
          <w:color w:val="000000"/>
          <w:sz w:val="22"/>
          <w:szCs w:val="22"/>
          <w:lang w:eastAsia="hr-HR"/>
        </w:rPr>
      </w:pPr>
    </w:p>
    <w:p w14:paraId="7D6E1BAB" w14:textId="1B1FD9E0" w:rsidR="00D01324" w:rsidRPr="00803E66" w:rsidRDefault="00D01324" w:rsidP="00D01324">
      <w:pPr>
        <w:pStyle w:val="Odlomakpopisa"/>
        <w:numPr>
          <w:ilvl w:val="0"/>
          <w:numId w:val="1"/>
        </w:numPr>
        <w:spacing w:line="276" w:lineRule="auto"/>
        <w:rPr>
          <w:rFonts w:ascii="Arial" w:hAnsi="Arial" w:cs="Arial"/>
          <w:b/>
          <w:color w:val="000000"/>
          <w:lang w:eastAsia="hr-HR"/>
        </w:rPr>
      </w:pPr>
      <w:r w:rsidRPr="00803E66">
        <w:rPr>
          <w:rFonts w:ascii="Arial" w:hAnsi="Arial" w:cs="Arial"/>
          <w:b/>
          <w:color w:val="000000"/>
          <w:lang w:eastAsia="hr-HR"/>
        </w:rPr>
        <w:lastRenderedPageBreak/>
        <w:t>Kino djelatnost</w:t>
      </w:r>
    </w:p>
    <w:p w14:paraId="249332DF" w14:textId="77777777" w:rsidR="00F31C67" w:rsidRPr="00BE4EA7" w:rsidRDefault="00F31C67" w:rsidP="00D01324">
      <w:pPr>
        <w:jc w:val="both"/>
        <w:rPr>
          <w:b/>
          <w:bCs/>
          <w:color w:val="000000"/>
          <w:sz w:val="22"/>
          <w:szCs w:val="22"/>
        </w:rPr>
      </w:pPr>
    </w:p>
    <w:tbl>
      <w:tblPr>
        <w:tblW w:w="10075" w:type="dxa"/>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5"/>
        <w:gridCol w:w="2061"/>
        <w:gridCol w:w="928"/>
        <w:gridCol w:w="1240"/>
        <w:gridCol w:w="1273"/>
        <w:gridCol w:w="1278"/>
        <w:gridCol w:w="1210"/>
      </w:tblGrid>
      <w:tr w:rsidR="00751AA5" w:rsidRPr="0090608A" w14:paraId="6B610196" w14:textId="77777777" w:rsidTr="00A84813">
        <w:trPr>
          <w:trHeight w:val="872"/>
        </w:trPr>
        <w:tc>
          <w:tcPr>
            <w:tcW w:w="2085" w:type="dxa"/>
            <w:shd w:val="clear" w:color="auto" w:fill="99CCFF"/>
            <w:vAlign w:val="center"/>
          </w:tcPr>
          <w:p w14:paraId="7D7293B1" w14:textId="77777777" w:rsidR="00A84813" w:rsidRPr="0090608A" w:rsidRDefault="00A84813" w:rsidP="00EF4EAE">
            <w:pPr>
              <w:spacing w:line="276" w:lineRule="auto"/>
              <w:rPr>
                <w:b/>
                <w:color w:val="000000"/>
                <w:sz w:val="20"/>
                <w:szCs w:val="20"/>
                <w:lang w:eastAsia="hr-HR"/>
              </w:rPr>
            </w:pPr>
            <w:r w:rsidRPr="0090608A">
              <w:rPr>
                <w:b/>
                <w:color w:val="000000"/>
                <w:sz w:val="20"/>
                <w:szCs w:val="20"/>
                <w:lang w:eastAsia="hr-HR"/>
              </w:rPr>
              <w:t>Pokazatelj rezultata</w:t>
            </w:r>
          </w:p>
        </w:tc>
        <w:tc>
          <w:tcPr>
            <w:tcW w:w="2061" w:type="dxa"/>
            <w:shd w:val="clear" w:color="auto" w:fill="99CCFF"/>
            <w:vAlign w:val="center"/>
          </w:tcPr>
          <w:p w14:paraId="2F98D8D3" w14:textId="77777777" w:rsidR="00A84813" w:rsidRPr="0090608A" w:rsidRDefault="00A84813" w:rsidP="00EF4EAE">
            <w:pPr>
              <w:spacing w:line="276" w:lineRule="auto"/>
              <w:rPr>
                <w:b/>
                <w:color w:val="000000"/>
                <w:sz w:val="20"/>
                <w:szCs w:val="20"/>
                <w:lang w:eastAsia="hr-HR"/>
              </w:rPr>
            </w:pPr>
            <w:r w:rsidRPr="0090608A">
              <w:rPr>
                <w:b/>
                <w:color w:val="000000"/>
                <w:sz w:val="20"/>
                <w:szCs w:val="20"/>
                <w:lang w:eastAsia="hr-HR"/>
              </w:rPr>
              <w:t>Definicija</w:t>
            </w:r>
          </w:p>
        </w:tc>
        <w:tc>
          <w:tcPr>
            <w:tcW w:w="928" w:type="dxa"/>
            <w:shd w:val="clear" w:color="auto" w:fill="99CCFF"/>
            <w:vAlign w:val="center"/>
          </w:tcPr>
          <w:p w14:paraId="15C2E34F" w14:textId="77777777" w:rsidR="00A84813" w:rsidRPr="0090608A" w:rsidRDefault="00A84813" w:rsidP="00EF4EAE">
            <w:pPr>
              <w:spacing w:line="276" w:lineRule="auto"/>
              <w:rPr>
                <w:b/>
                <w:color w:val="000000"/>
                <w:sz w:val="20"/>
                <w:szCs w:val="20"/>
                <w:lang w:eastAsia="hr-HR"/>
              </w:rPr>
            </w:pPr>
            <w:r w:rsidRPr="0090608A">
              <w:rPr>
                <w:b/>
                <w:color w:val="000000"/>
                <w:sz w:val="20"/>
                <w:szCs w:val="20"/>
                <w:lang w:eastAsia="hr-HR"/>
              </w:rPr>
              <w:t>Jedinica</w:t>
            </w:r>
          </w:p>
        </w:tc>
        <w:tc>
          <w:tcPr>
            <w:tcW w:w="1240" w:type="dxa"/>
            <w:shd w:val="clear" w:color="auto" w:fill="99CCFF"/>
            <w:vAlign w:val="center"/>
          </w:tcPr>
          <w:p w14:paraId="6B09990B" w14:textId="77777777" w:rsidR="00A84813" w:rsidRPr="0090608A" w:rsidRDefault="00A84813" w:rsidP="00EF4EAE">
            <w:pPr>
              <w:spacing w:line="276" w:lineRule="auto"/>
              <w:rPr>
                <w:b/>
                <w:color w:val="000000"/>
                <w:sz w:val="20"/>
                <w:szCs w:val="20"/>
                <w:lang w:eastAsia="hr-HR"/>
              </w:rPr>
            </w:pPr>
            <w:r w:rsidRPr="0090608A">
              <w:rPr>
                <w:b/>
                <w:color w:val="000000"/>
                <w:sz w:val="20"/>
                <w:szCs w:val="20"/>
                <w:lang w:eastAsia="hr-HR"/>
              </w:rPr>
              <w:t>Izvor podataka</w:t>
            </w:r>
          </w:p>
        </w:tc>
        <w:tc>
          <w:tcPr>
            <w:tcW w:w="1273" w:type="dxa"/>
            <w:shd w:val="clear" w:color="auto" w:fill="99CCFF"/>
            <w:vAlign w:val="center"/>
          </w:tcPr>
          <w:p w14:paraId="6A413A72" w14:textId="48B1931E" w:rsidR="00A84813" w:rsidRPr="0090608A" w:rsidRDefault="00751AA5" w:rsidP="00EF4EAE">
            <w:pPr>
              <w:spacing w:line="276" w:lineRule="auto"/>
              <w:rPr>
                <w:b/>
                <w:color w:val="000000"/>
                <w:sz w:val="20"/>
                <w:szCs w:val="20"/>
                <w:lang w:eastAsia="hr-HR"/>
              </w:rPr>
            </w:pPr>
            <w:r>
              <w:rPr>
                <w:b/>
                <w:color w:val="000000"/>
                <w:sz w:val="20"/>
                <w:szCs w:val="20"/>
                <w:lang w:eastAsia="hr-HR"/>
              </w:rPr>
              <w:t>Polazna</w:t>
            </w:r>
            <w:r w:rsidR="00A84813" w:rsidRPr="0090608A">
              <w:rPr>
                <w:b/>
                <w:color w:val="000000"/>
                <w:sz w:val="20"/>
                <w:szCs w:val="20"/>
                <w:lang w:eastAsia="hr-HR"/>
              </w:rPr>
              <w:t xml:space="preserve"> vrijednost</w:t>
            </w:r>
          </w:p>
          <w:p w14:paraId="636C2691" w14:textId="7FC0920D" w:rsidR="00A84813" w:rsidRPr="0090608A" w:rsidRDefault="00A84813" w:rsidP="00EF4EAE">
            <w:pPr>
              <w:spacing w:line="276" w:lineRule="auto"/>
              <w:rPr>
                <w:b/>
                <w:color w:val="000000"/>
                <w:sz w:val="20"/>
                <w:szCs w:val="20"/>
                <w:lang w:eastAsia="hr-HR"/>
              </w:rPr>
            </w:pPr>
            <w:r w:rsidRPr="0090608A">
              <w:rPr>
                <w:b/>
                <w:color w:val="000000"/>
                <w:sz w:val="20"/>
                <w:szCs w:val="20"/>
                <w:lang w:eastAsia="hr-HR"/>
              </w:rPr>
              <w:t>(202</w:t>
            </w:r>
            <w:r>
              <w:rPr>
                <w:b/>
                <w:color w:val="000000"/>
                <w:sz w:val="20"/>
                <w:szCs w:val="20"/>
                <w:lang w:eastAsia="hr-HR"/>
              </w:rPr>
              <w:t>3</w:t>
            </w:r>
            <w:r w:rsidRPr="0090608A">
              <w:rPr>
                <w:b/>
                <w:color w:val="000000"/>
                <w:sz w:val="20"/>
                <w:szCs w:val="20"/>
                <w:lang w:eastAsia="hr-HR"/>
              </w:rPr>
              <w:t>.)</w:t>
            </w:r>
          </w:p>
        </w:tc>
        <w:tc>
          <w:tcPr>
            <w:tcW w:w="1278" w:type="dxa"/>
            <w:shd w:val="clear" w:color="auto" w:fill="99CCFF"/>
            <w:vAlign w:val="center"/>
          </w:tcPr>
          <w:p w14:paraId="47106BE1" w14:textId="37EBA225" w:rsidR="00A84813" w:rsidRPr="0090608A" w:rsidRDefault="00751AA5" w:rsidP="00EF4EAE">
            <w:pPr>
              <w:spacing w:line="276" w:lineRule="auto"/>
              <w:rPr>
                <w:b/>
                <w:color w:val="000000"/>
                <w:sz w:val="20"/>
                <w:szCs w:val="20"/>
                <w:lang w:eastAsia="hr-HR"/>
              </w:rPr>
            </w:pPr>
            <w:r>
              <w:rPr>
                <w:b/>
                <w:color w:val="000000"/>
                <w:sz w:val="20"/>
                <w:szCs w:val="20"/>
                <w:lang w:eastAsia="hr-HR"/>
              </w:rPr>
              <w:t>Ciljana</w:t>
            </w:r>
            <w:r w:rsidR="00A84813">
              <w:rPr>
                <w:b/>
                <w:color w:val="000000"/>
                <w:sz w:val="20"/>
                <w:szCs w:val="20"/>
                <w:lang w:eastAsia="hr-HR"/>
              </w:rPr>
              <w:t xml:space="preserve"> </w:t>
            </w:r>
            <w:r w:rsidR="00A84813" w:rsidRPr="0090608A">
              <w:rPr>
                <w:b/>
                <w:color w:val="000000"/>
                <w:sz w:val="20"/>
                <w:szCs w:val="20"/>
                <w:lang w:eastAsia="hr-HR"/>
              </w:rPr>
              <w:t>vrijednost</w:t>
            </w:r>
          </w:p>
          <w:p w14:paraId="5C078375" w14:textId="4369C73D" w:rsidR="00A84813" w:rsidRPr="0090608A" w:rsidRDefault="00A84813" w:rsidP="00EF4EAE">
            <w:pPr>
              <w:spacing w:line="276" w:lineRule="auto"/>
              <w:rPr>
                <w:b/>
                <w:color w:val="000000"/>
                <w:sz w:val="20"/>
                <w:szCs w:val="20"/>
                <w:lang w:eastAsia="hr-HR"/>
              </w:rPr>
            </w:pPr>
            <w:r w:rsidRPr="0090608A">
              <w:rPr>
                <w:b/>
                <w:color w:val="000000"/>
                <w:sz w:val="20"/>
                <w:szCs w:val="20"/>
                <w:lang w:eastAsia="hr-HR"/>
              </w:rPr>
              <w:t>(202</w:t>
            </w:r>
            <w:r w:rsidR="00751AA5">
              <w:rPr>
                <w:b/>
                <w:color w:val="000000"/>
                <w:sz w:val="20"/>
                <w:szCs w:val="20"/>
                <w:lang w:eastAsia="hr-HR"/>
              </w:rPr>
              <w:t>4</w:t>
            </w:r>
            <w:r w:rsidRPr="0090608A">
              <w:rPr>
                <w:b/>
                <w:color w:val="000000"/>
                <w:sz w:val="20"/>
                <w:szCs w:val="20"/>
                <w:lang w:eastAsia="hr-HR"/>
              </w:rPr>
              <w:t>.)</w:t>
            </w:r>
          </w:p>
        </w:tc>
        <w:tc>
          <w:tcPr>
            <w:tcW w:w="1210" w:type="dxa"/>
            <w:shd w:val="clear" w:color="auto" w:fill="99CCFF"/>
            <w:vAlign w:val="center"/>
          </w:tcPr>
          <w:p w14:paraId="274B0ED9" w14:textId="552AF6BF" w:rsidR="00A84813" w:rsidRPr="0090608A" w:rsidRDefault="00751AA5" w:rsidP="00EF4EAE">
            <w:pPr>
              <w:spacing w:line="276" w:lineRule="auto"/>
              <w:rPr>
                <w:b/>
                <w:color w:val="000000"/>
                <w:sz w:val="20"/>
                <w:szCs w:val="20"/>
                <w:lang w:eastAsia="hr-HR"/>
              </w:rPr>
            </w:pPr>
            <w:r>
              <w:rPr>
                <w:b/>
                <w:color w:val="000000"/>
                <w:sz w:val="20"/>
                <w:szCs w:val="20"/>
                <w:lang w:eastAsia="hr-HR"/>
              </w:rPr>
              <w:t xml:space="preserve">Ostvarena </w:t>
            </w:r>
            <w:r w:rsidR="00A84813" w:rsidRPr="0090608A">
              <w:rPr>
                <w:b/>
                <w:color w:val="000000"/>
                <w:sz w:val="20"/>
                <w:szCs w:val="20"/>
                <w:lang w:eastAsia="hr-HR"/>
              </w:rPr>
              <w:t>vrijednost</w:t>
            </w:r>
          </w:p>
          <w:p w14:paraId="05857187" w14:textId="76FE8387" w:rsidR="00A84813" w:rsidRPr="0090608A" w:rsidRDefault="00A84813" w:rsidP="00EF4EAE">
            <w:pPr>
              <w:spacing w:line="276" w:lineRule="auto"/>
              <w:rPr>
                <w:b/>
                <w:color w:val="000000"/>
                <w:sz w:val="20"/>
                <w:szCs w:val="20"/>
                <w:lang w:eastAsia="hr-HR"/>
              </w:rPr>
            </w:pPr>
            <w:r w:rsidRPr="0090608A">
              <w:rPr>
                <w:b/>
                <w:color w:val="000000"/>
                <w:sz w:val="20"/>
                <w:szCs w:val="20"/>
                <w:lang w:eastAsia="hr-HR"/>
              </w:rPr>
              <w:t>(202</w:t>
            </w:r>
            <w:r>
              <w:rPr>
                <w:b/>
                <w:color w:val="000000"/>
                <w:sz w:val="20"/>
                <w:szCs w:val="20"/>
                <w:lang w:eastAsia="hr-HR"/>
              </w:rPr>
              <w:t>4</w:t>
            </w:r>
            <w:r w:rsidRPr="0090608A">
              <w:rPr>
                <w:b/>
                <w:color w:val="000000"/>
                <w:sz w:val="20"/>
                <w:szCs w:val="20"/>
                <w:lang w:eastAsia="hr-HR"/>
              </w:rPr>
              <w:t>.)</w:t>
            </w:r>
          </w:p>
        </w:tc>
      </w:tr>
      <w:tr w:rsidR="00751AA5" w:rsidRPr="0090608A" w14:paraId="5441F0EE" w14:textId="77777777" w:rsidTr="00A84813">
        <w:trPr>
          <w:trHeight w:val="1184"/>
        </w:trPr>
        <w:tc>
          <w:tcPr>
            <w:tcW w:w="2085" w:type="dxa"/>
            <w:shd w:val="clear" w:color="auto" w:fill="auto"/>
            <w:vAlign w:val="center"/>
          </w:tcPr>
          <w:p w14:paraId="0386C484" w14:textId="77777777" w:rsidR="00A84813" w:rsidRPr="0090608A" w:rsidRDefault="00A84813" w:rsidP="00EF4EAE">
            <w:pPr>
              <w:spacing w:line="276" w:lineRule="auto"/>
              <w:rPr>
                <w:color w:val="000000"/>
                <w:sz w:val="20"/>
                <w:szCs w:val="20"/>
                <w:lang w:val="pl-PL" w:eastAsia="hr-HR"/>
              </w:rPr>
            </w:pPr>
            <w:r w:rsidRPr="0090608A">
              <w:rPr>
                <w:color w:val="000000"/>
                <w:sz w:val="20"/>
                <w:szCs w:val="20"/>
                <w:lang w:val="pl-PL" w:eastAsia="hr-HR"/>
              </w:rPr>
              <w:t>Povećanje broja gledatelja na redovnim projekcijama</w:t>
            </w:r>
          </w:p>
        </w:tc>
        <w:tc>
          <w:tcPr>
            <w:tcW w:w="2061" w:type="dxa"/>
            <w:shd w:val="clear" w:color="auto" w:fill="auto"/>
            <w:vAlign w:val="center"/>
          </w:tcPr>
          <w:p w14:paraId="642DBA84" w14:textId="77777777" w:rsidR="00A84813" w:rsidRPr="0090608A" w:rsidRDefault="00A84813" w:rsidP="00EF4EAE">
            <w:pPr>
              <w:spacing w:line="276" w:lineRule="auto"/>
              <w:rPr>
                <w:color w:val="000000"/>
                <w:sz w:val="20"/>
                <w:szCs w:val="20"/>
                <w:lang w:val="pl-PL" w:eastAsia="hr-HR"/>
              </w:rPr>
            </w:pPr>
            <w:r w:rsidRPr="0090608A">
              <w:rPr>
                <w:color w:val="000000"/>
                <w:sz w:val="20"/>
                <w:szCs w:val="20"/>
                <w:lang w:val="pl-PL" w:eastAsia="hr-HR"/>
              </w:rPr>
              <w:t>Poticati kino gledatelje na češći dolazak u kino</w:t>
            </w:r>
          </w:p>
          <w:p w14:paraId="49594D7E" w14:textId="77777777" w:rsidR="00A84813" w:rsidRPr="0090608A" w:rsidRDefault="00A84813" w:rsidP="00EF4EAE">
            <w:pPr>
              <w:spacing w:line="276" w:lineRule="auto"/>
              <w:rPr>
                <w:b/>
                <w:color w:val="000000"/>
                <w:sz w:val="20"/>
                <w:szCs w:val="20"/>
                <w:lang w:eastAsia="hr-HR"/>
              </w:rPr>
            </w:pPr>
          </w:p>
        </w:tc>
        <w:tc>
          <w:tcPr>
            <w:tcW w:w="928" w:type="dxa"/>
            <w:shd w:val="clear" w:color="auto" w:fill="auto"/>
            <w:vAlign w:val="center"/>
          </w:tcPr>
          <w:p w14:paraId="01FEB810" w14:textId="77777777" w:rsidR="00A84813" w:rsidRPr="0090608A" w:rsidRDefault="00A84813" w:rsidP="00EF4EAE">
            <w:pPr>
              <w:spacing w:line="276" w:lineRule="auto"/>
              <w:rPr>
                <w:bCs/>
                <w:color w:val="000000"/>
                <w:sz w:val="20"/>
                <w:szCs w:val="20"/>
                <w:lang w:eastAsia="hr-HR"/>
              </w:rPr>
            </w:pPr>
            <w:r w:rsidRPr="0090608A">
              <w:rPr>
                <w:bCs/>
                <w:color w:val="000000"/>
                <w:sz w:val="20"/>
                <w:szCs w:val="20"/>
                <w:lang w:eastAsia="hr-HR"/>
              </w:rPr>
              <w:t>broj</w:t>
            </w:r>
          </w:p>
        </w:tc>
        <w:tc>
          <w:tcPr>
            <w:tcW w:w="1240" w:type="dxa"/>
            <w:shd w:val="clear" w:color="auto" w:fill="auto"/>
            <w:vAlign w:val="center"/>
          </w:tcPr>
          <w:p w14:paraId="14F24C1F" w14:textId="77777777" w:rsidR="00A84813" w:rsidRPr="0090608A" w:rsidRDefault="00A84813" w:rsidP="00EF4EAE">
            <w:pPr>
              <w:spacing w:line="276" w:lineRule="auto"/>
              <w:rPr>
                <w:bCs/>
                <w:color w:val="000000"/>
                <w:sz w:val="20"/>
                <w:szCs w:val="20"/>
                <w:lang w:eastAsia="hr-HR"/>
              </w:rPr>
            </w:pPr>
            <w:r w:rsidRPr="0090608A">
              <w:rPr>
                <w:bCs/>
                <w:color w:val="000000"/>
                <w:sz w:val="20"/>
                <w:szCs w:val="20"/>
                <w:lang w:eastAsia="hr-HR"/>
              </w:rPr>
              <w:t>Učilište</w:t>
            </w:r>
          </w:p>
        </w:tc>
        <w:tc>
          <w:tcPr>
            <w:tcW w:w="1273" w:type="dxa"/>
            <w:shd w:val="clear" w:color="auto" w:fill="auto"/>
            <w:vAlign w:val="center"/>
          </w:tcPr>
          <w:p w14:paraId="2E5EEB00" w14:textId="06DB3A7B" w:rsidR="00A84813" w:rsidRPr="0090608A" w:rsidRDefault="008F55F0" w:rsidP="00EF4EAE">
            <w:pPr>
              <w:spacing w:line="276" w:lineRule="auto"/>
              <w:rPr>
                <w:bCs/>
                <w:color w:val="000000"/>
                <w:sz w:val="20"/>
                <w:szCs w:val="20"/>
                <w:lang w:eastAsia="hr-HR"/>
              </w:rPr>
            </w:pPr>
            <w:r>
              <w:rPr>
                <w:bCs/>
                <w:color w:val="000000"/>
                <w:sz w:val="20"/>
                <w:szCs w:val="20"/>
                <w:lang w:eastAsia="hr-HR"/>
              </w:rPr>
              <w:t>2</w:t>
            </w:r>
            <w:r w:rsidR="00021535">
              <w:rPr>
                <w:bCs/>
                <w:color w:val="000000"/>
                <w:sz w:val="20"/>
                <w:szCs w:val="20"/>
                <w:lang w:eastAsia="hr-HR"/>
              </w:rPr>
              <w:t>.</w:t>
            </w:r>
            <w:r>
              <w:rPr>
                <w:bCs/>
                <w:color w:val="000000"/>
                <w:sz w:val="20"/>
                <w:szCs w:val="20"/>
                <w:lang w:eastAsia="hr-HR"/>
              </w:rPr>
              <w:t>3738</w:t>
            </w:r>
          </w:p>
        </w:tc>
        <w:tc>
          <w:tcPr>
            <w:tcW w:w="1278" w:type="dxa"/>
            <w:shd w:val="clear" w:color="auto" w:fill="auto"/>
            <w:vAlign w:val="center"/>
          </w:tcPr>
          <w:p w14:paraId="0A6A1926" w14:textId="235F337D" w:rsidR="00A84813" w:rsidRPr="0090608A" w:rsidRDefault="008F55F0" w:rsidP="00EF4EAE">
            <w:pPr>
              <w:spacing w:line="276" w:lineRule="auto"/>
              <w:rPr>
                <w:bCs/>
                <w:color w:val="000000"/>
                <w:sz w:val="20"/>
                <w:szCs w:val="20"/>
                <w:lang w:eastAsia="hr-HR"/>
              </w:rPr>
            </w:pPr>
            <w:r>
              <w:rPr>
                <w:bCs/>
                <w:color w:val="000000"/>
                <w:sz w:val="20"/>
                <w:szCs w:val="20"/>
                <w:lang w:eastAsia="hr-HR"/>
              </w:rPr>
              <w:t>18</w:t>
            </w:r>
            <w:r w:rsidR="00021535">
              <w:rPr>
                <w:bCs/>
                <w:color w:val="000000"/>
                <w:sz w:val="20"/>
                <w:szCs w:val="20"/>
                <w:lang w:eastAsia="hr-HR"/>
              </w:rPr>
              <w:t>.</w:t>
            </w:r>
            <w:r>
              <w:rPr>
                <w:bCs/>
                <w:color w:val="000000"/>
                <w:sz w:val="20"/>
                <w:szCs w:val="20"/>
                <w:lang w:eastAsia="hr-HR"/>
              </w:rPr>
              <w:t>000</w:t>
            </w:r>
          </w:p>
        </w:tc>
        <w:tc>
          <w:tcPr>
            <w:tcW w:w="1210" w:type="dxa"/>
            <w:shd w:val="clear" w:color="auto" w:fill="auto"/>
            <w:vAlign w:val="center"/>
          </w:tcPr>
          <w:p w14:paraId="2353787C" w14:textId="523015EC" w:rsidR="00A84813" w:rsidRPr="0090608A" w:rsidRDefault="00E14895" w:rsidP="00EF4EAE">
            <w:pPr>
              <w:spacing w:line="276" w:lineRule="auto"/>
              <w:rPr>
                <w:bCs/>
                <w:color w:val="000000"/>
                <w:sz w:val="20"/>
                <w:szCs w:val="20"/>
                <w:lang w:eastAsia="hr-HR"/>
              </w:rPr>
            </w:pPr>
            <w:r>
              <w:rPr>
                <w:bCs/>
                <w:color w:val="000000"/>
                <w:sz w:val="20"/>
                <w:szCs w:val="20"/>
                <w:lang w:eastAsia="hr-HR"/>
              </w:rPr>
              <w:t>20.612</w:t>
            </w:r>
          </w:p>
        </w:tc>
      </w:tr>
      <w:tr w:rsidR="00751AA5" w:rsidRPr="0090608A" w14:paraId="2B2608AA" w14:textId="77777777" w:rsidTr="00A84813">
        <w:trPr>
          <w:trHeight w:val="312"/>
        </w:trPr>
        <w:tc>
          <w:tcPr>
            <w:tcW w:w="2085" w:type="dxa"/>
            <w:shd w:val="clear" w:color="auto" w:fill="auto"/>
            <w:vAlign w:val="center"/>
          </w:tcPr>
          <w:p w14:paraId="00C4CA09" w14:textId="77777777" w:rsidR="00A84813" w:rsidRPr="0090608A" w:rsidRDefault="00A84813" w:rsidP="00EF4EAE">
            <w:pPr>
              <w:spacing w:line="276" w:lineRule="auto"/>
              <w:rPr>
                <w:color w:val="000000"/>
                <w:sz w:val="20"/>
                <w:szCs w:val="20"/>
                <w:lang w:val="pl-PL" w:eastAsia="hr-HR"/>
              </w:rPr>
            </w:pPr>
            <w:r w:rsidRPr="0090608A">
              <w:rPr>
                <w:color w:val="000000"/>
                <w:sz w:val="20"/>
                <w:szCs w:val="20"/>
                <w:lang w:val="pl-PL" w:eastAsia="hr-HR"/>
              </w:rPr>
              <w:t>Povećanje br. učenika na organiziranim kino projekcijama za djecu/učenike</w:t>
            </w:r>
          </w:p>
        </w:tc>
        <w:tc>
          <w:tcPr>
            <w:tcW w:w="2061" w:type="dxa"/>
            <w:shd w:val="clear" w:color="auto" w:fill="auto"/>
            <w:vAlign w:val="center"/>
          </w:tcPr>
          <w:p w14:paraId="18875A25" w14:textId="77777777" w:rsidR="00A84813" w:rsidRPr="0090608A" w:rsidRDefault="00A84813" w:rsidP="00EF4EAE">
            <w:pPr>
              <w:spacing w:line="276" w:lineRule="auto"/>
              <w:rPr>
                <w:b/>
                <w:color w:val="000000"/>
                <w:sz w:val="20"/>
                <w:szCs w:val="20"/>
                <w:lang w:eastAsia="hr-HR"/>
              </w:rPr>
            </w:pPr>
            <w:r w:rsidRPr="0090608A">
              <w:rPr>
                <w:color w:val="000000"/>
                <w:sz w:val="20"/>
                <w:szCs w:val="20"/>
                <w:lang w:val="pl-PL" w:eastAsia="hr-HR"/>
              </w:rPr>
              <w:t>Poticanje djece od predškolske do  učeničke dobi na organizirane i programski definirane projekcije</w:t>
            </w:r>
          </w:p>
        </w:tc>
        <w:tc>
          <w:tcPr>
            <w:tcW w:w="928" w:type="dxa"/>
            <w:shd w:val="clear" w:color="auto" w:fill="auto"/>
            <w:vAlign w:val="center"/>
          </w:tcPr>
          <w:p w14:paraId="1B99EAA0" w14:textId="77777777" w:rsidR="00A84813" w:rsidRPr="0090608A" w:rsidRDefault="00A84813" w:rsidP="00EF4EAE">
            <w:pPr>
              <w:spacing w:line="276" w:lineRule="auto"/>
              <w:rPr>
                <w:bCs/>
                <w:color w:val="000000"/>
                <w:sz w:val="20"/>
                <w:szCs w:val="20"/>
                <w:lang w:eastAsia="hr-HR"/>
              </w:rPr>
            </w:pPr>
            <w:r w:rsidRPr="0090608A">
              <w:rPr>
                <w:bCs/>
                <w:color w:val="000000"/>
                <w:sz w:val="20"/>
                <w:szCs w:val="20"/>
                <w:lang w:eastAsia="hr-HR"/>
              </w:rPr>
              <w:t>broj</w:t>
            </w:r>
          </w:p>
        </w:tc>
        <w:tc>
          <w:tcPr>
            <w:tcW w:w="1240" w:type="dxa"/>
            <w:shd w:val="clear" w:color="auto" w:fill="auto"/>
            <w:vAlign w:val="center"/>
          </w:tcPr>
          <w:p w14:paraId="5183B1B8" w14:textId="77777777" w:rsidR="00A84813" w:rsidRPr="0090608A" w:rsidRDefault="00A84813" w:rsidP="00EF4EAE">
            <w:pPr>
              <w:spacing w:line="276" w:lineRule="auto"/>
              <w:rPr>
                <w:bCs/>
                <w:color w:val="000000"/>
                <w:sz w:val="20"/>
                <w:szCs w:val="20"/>
                <w:lang w:eastAsia="hr-HR"/>
              </w:rPr>
            </w:pPr>
            <w:r w:rsidRPr="0090608A">
              <w:rPr>
                <w:bCs/>
                <w:color w:val="000000"/>
                <w:sz w:val="20"/>
                <w:szCs w:val="20"/>
                <w:lang w:eastAsia="hr-HR"/>
              </w:rPr>
              <w:t>Učilište</w:t>
            </w:r>
          </w:p>
        </w:tc>
        <w:tc>
          <w:tcPr>
            <w:tcW w:w="1273" w:type="dxa"/>
            <w:shd w:val="clear" w:color="auto" w:fill="auto"/>
            <w:vAlign w:val="center"/>
          </w:tcPr>
          <w:p w14:paraId="4445B57D" w14:textId="1646FBBC" w:rsidR="00A84813" w:rsidRPr="0090608A" w:rsidRDefault="008F55F0" w:rsidP="00EF4EAE">
            <w:pPr>
              <w:spacing w:line="276" w:lineRule="auto"/>
              <w:rPr>
                <w:bCs/>
                <w:color w:val="000000"/>
                <w:sz w:val="20"/>
                <w:szCs w:val="20"/>
                <w:lang w:eastAsia="hr-HR"/>
              </w:rPr>
            </w:pPr>
            <w:r>
              <w:rPr>
                <w:bCs/>
                <w:color w:val="000000"/>
                <w:sz w:val="20"/>
                <w:szCs w:val="20"/>
                <w:lang w:eastAsia="hr-HR"/>
              </w:rPr>
              <w:t>4</w:t>
            </w:r>
            <w:r w:rsidR="00021535">
              <w:rPr>
                <w:bCs/>
                <w:color w:val="000000"/>
                <w:sz w:val="20"/>
                <w:szCs w:val="20"/>
                <w:lang w:eastAsia="hr-HR"/>
              </w:rPr>
              <w:t>.</w:t>
            </w:r>
            <w:r>
              <w:rPr>
                <w:bCs/>
                <w:color w:val="000000"/>
                <w:sz w:val="20"/>
                <w:szCs w:val="20"/>
                <w:lang w:eastAsia="hr-HR"/>
              </w:rPr>
              <w:t>640</w:t>
            </w:r>
          </w:p>
        </w:tc>
        <w:tc>
          <w:tcPr>
            <w:tcW w:w="1278" w:type="dxa"/>
            <w:shd w:val="clear" w:color="auto" w:fill="auto"/>
            <w:vAlign w:val="center"/>
          </w:tcPr>
          <w:p w14:paraId="4150477D" w14:textId="3C340D0D" w:rsidR="00A84813" w:rsidRPr="0090608A" w:rsidRDefault="008F55F0" w:rsidP="00EF4EAE">
            <w:pPr>
              <w:spacing w:line="276" w:lineRule="auto"/>
              <w:rPr>
                <w:bCs/>
                <w:color w:val="000000"/>
                <w:sz w:val="20"/>
                <w:szCs w:val="20"/>
                <w:lang w:eastAsia="hr-HR"/>
              </w:rPr>
            </w:pPr>
            <w:r>
              <w:rPr>
                <w:bCs/>
                <w:color w:val="000000"/>
                <w:sz w:val="20"/>
                <w:szCs w:val="20"/>
                <w:lang w:eastAsia="hr-HR"/>
              </w:rPr>
              <w:t>2</w:t>
            </w:r>
            <w:r w:rsidR="00021535">
              <w:rPr>
                <w:bCs/>
                <w:color w:val="000000"/>
                <w:sz w:val="20"/>
                <w:szCs w:val="20"/>
                <w:lang w:eastAsia="hr-HR"/>
              </w:rPr>
              <w:t>.</w:t>
            </w:r>
            <w:r>
              <w:rPr>
                <w:bCs/>
                <w:color w:val="000000"/>
                <w:sz w:val="20"/>
                <w:szCs w:val="20"/>
                <w:lang w:eastAsia="hr-HR"/>
              </w:rPr>
              <w:t>750</w:t>
            </w:r>
          </w:p>
        </w:tc>
        <w:tc>
          <w:tcPr>
            <w:tcW w:w="1210" w:type="dxa"/>
            <w:shd w:val="clear" w:color="auto" w:fill="auto"/>
            <w:vAlign w:val="center"/>
          </w:tcPr>
          <w:p w14:paraId="3FD36066" w14:textId="6F3144B2" w:rsidR="00A84813" w:rsidRPr="0090608A" w:rsidRDefault="00E14895" w:rsidP="00EF4EAE">
            <w:pPr>
              <w:spacing w:line="276" w:lineRule="auto"/>
              <w:rPr>
                <w:bCs/>
                <w:color w:val="000000"/>
                <w:sz w:val="20"/>
                <w:szCs w:val="20"/>
                <w:lang w:eastAsia="hr-HR"/>
              </w:rPr>
            </w:pPr>
            <w:r>
              <w:rPr>
                <w:bCs/>
                <w:color w:val="000000"/>
                <w:sz w:val="20"/>
                <w:szCs w:val="20"/>
                <w:lang w:eastAsia="hr-HR"/>
              </w:rPr>
              <w:t>2.915</w:t>
            </w:r>
          </w:p>
        </w:tc>
      </w:tr>
      <w:tr w:rsidR="00751AA5" w:rsidRPr="0090608A" w14:paraId="5817203D" w14:textId="77777777" w:rsidTr="00A84813">
        <w:trPr>
          <w:trHeight w:val="312"/>
        </w:trPr>
        <w:tc>
          <w:tcPr>
            <w:tcW w:w="2085" w:type="dxa"/>
            <w:shd w:val="clear" w:color="auto" w:fill="auto"/>
            <w:vAlign w:val="center"/>
          </w:tcPr>
          <w:p w14:paraId="6D2732E7" w14:textId="77777777" w:rsidR="00A84813" w:rsidRPr="0090608A" w:rsidRDefault="00A84813" w:rsidP="00EF4EAE">
            <w:pPr>
              <w:spacing w:line="276" w:lineRule="auto"/>
              <w:rPr>
                <w:color w:val="000000"/>
                <w:sz w:val="20"/>
                <w:szCs w:val="20"/>
                <w:lang w:val="pl-PL" w:eastAsia="hr-HR"/>
              </w:rPr>
            </w:pPr>
            <w:r w:rsidRPr="0090608A">
              <w:rPr>
                <w:color w:val="000000"/>
                <w:sz w:val="20"/>
                <w:szCs w:val="20"/>
                <w:lang w:val="pl-PL" w:eastAsia="hr-HR"/>
              </w:rPr>
              <w:t>Program filmske edukacije za djecu i mlade</w:t>
            </w:r>
          </w:p>
        </w:tc>
        <w:tc>
          <w:tcPr>
            <w:tcW w:w="2061" w:type="dxa"/>
            <w:shd w:val="clear" w:color="auto" w:fill="auto"/>
            <w:vAlign w:val="center"/>
          </w:tcPr>
          <w:p w14:paraId="13D8BD42" w14:textId="77777777" w:rsidR="00A84813" w:rsidRPr="0090608A" w:rsidRDefault="00A84813" w:rsidP="00EF4EAE">
            <w:pPr>
              <w:spacing w:line="276" w:lineRule="auto"/>
              <w:rPr>
                <w:color w:val="000000"/>
                <w:sz w:val="20"/>
                <w:szCs w:val="20"/>
                <w:lang w:val="pl-PL" w:eastAsia="hr-HR"/>
              </w:rPr>
            </w:pPr>
            <w:r w:rsidRPr="0090608A">
              <w:rPr>
                <w:color w:val="000000"/>
                <w:sz w:val="20"/>
                <w:szCs w:val="20"/>
                <w:lang w:val="pl-PL" w:eastAsia="hr-HR"/>
              </w:rPr>
              <w:t>Educirati djecu i mlade o medijskoj kulturi</w:t>
            </w:r>
          </w:p>
        </w:tc>
        <w:tc>
          <w:tcPr>
            <w:tcW w:w="928" w:type="dxa"/>
            <w:shd w:val="clear" w:color="auto" w:fill="auto"/>
            <w:vAlign w:val="center"/>
          </w:tcPr>
          <w:p w14:paraId="7CE151D5" w14:textId="77777777" w:rsidR="00A84813" w:rsidRPr="0090608A" w:rsidRDefault="00A84813" w:rsidP="00EF4EAE">
            <w:pPr>
              <w:spacing w:line="276" w:lineRule="auto"/>
              <w:rPr>
                <w:bCs/>
                <w:color w:val="000000"/>
                <w:sz w:val="20"/>
                <w:szCs w:val="20"/>
                <w:lang w:eastAsia="hr-HR"/>
              </w:rPr>
            </w:pPr>
            <w:r w:rsidRPr="0090608A">
              <w:rPr>
                <w:bCs/>
                <w:color w:val="000000"/>
                <w:sz w:val="20"/>
                <w:szCs w:val="20"/>
                <w:lang w:eastAsia="hr-HR"/>
              </w:rPr>
              <w:t>broj</w:t>
            </w:r>
          </w:p>
        </w:tc>
        <w:tc>
          <w:tcPr>
            <w:tcW w:w="1240" w:type="dxa"/>
            <w:shd w:val="clear" w:color="auto" w:fill="auto"/>
            <w:vAlign w:val="center"/>
          </w:tcPr>
          <w:p w14:paraId="79A1C2BC" w14:textId="77777777" w:rsidR="00A84813" w:rsidRPr="0090608A" w:rsidRDefault="00A84813" w:rsidP="00EF4EAE">
            <w:pPr>
              <w:spacing w:line="276" w:lineRule="auto"/>
              <w:rPr>
                <w:bCs/>
                <w:color w:val="000000"/>
                <w:sz w:val="20"/>
                <w:szCs w:val="20"/>
                <w:lang w:eastAsia="hr-HR"/>
              </w:rPr>
            </w:pPr>
            <w:r w:rsidRPr="0090608A">
              <w:rPr>
                <w:bCs/>
                <w:color w:val="000000"/>
                <w:sz w:val="20"/>
                <w:szCs w:val="20"/>
                <w:lang w:eastAsia="hr-HR"/>
              </w:rPr>
              <w:t>Učilište</w:t>
            </w:r>
          </w:p>
        </w:tc>
        <w:tc>
          <w:tcPr>
            <w:tcW w:w="1273" w:type="dxa"/>
            <w:shd w:val="clear" w:color="auto" w:fill="auto"/>
            <w:vAlign w:val="center"/>
          </w:tcPr>
          <w:p w14:paraId="4DB88CB9" w14:textId="42B365AD" w:rsidR="00A84813" w:rsidRPr="0090608A" w:rsidRDefault="008F55F0" w:rsidP="00EF4EAE">
            <w:pPr>
              <w:spacing w:line="276" w:lineRule="auto"/>
              <w:rPr>
                <w:bCs/>
                <w:color w:val="000000"/>
                <w:sz w:val="20"/>
                <w:szCs w:val="20"/>
                <w:lang w:eastAsia="hr-HR"/>
              </w:rPr>
            </w:pPr>
            <w:r>
              <w:rPr>
                <w:bCs/>
                <w:color w:val="000000"/>
                <w:sz w:val="20"/>
                <w:szCs w:val="20"/>
                <w:lang w:eastAsia="hr-HR"/>
              </w:rPr>
              <w:t>4</w:t>
            </w:r>
          </w:p>
        </w:tc>
        <w:tc>
          <w:tcPr>
            <w:tcW w:w="1278" w:type="dxa"/>
            <w:shd w:val="clear" w:color="auto" w:fill="auto"/>
            <w:vAlign w:val="center"/>
          </w:tcPr>
          <w:p w14:paraId="3BFB7ABC" w14:textId="64191010" w:rsidR="00A84813" w:rsidRPr="0090608A" w:rsidRDefault="008F55F0" w:rsidP="00EF4EAE">
            <w:pPr>
              <w:spacing w:line="276" w:lineRule="auto"/>
              <w:rPr>
                <w:bCs/>
                <w:color w:val="000000"/>
                <w:sz w:val="20"/>
                <w:szCs w:val="20"/>
                <w:lang w:eastAsia="hr-HR"/>
              </w:rPr>
            </w:pPr>
            <w:r>
              <w:rPr>
                <w:bCs/>
                <w:color w:val="000000"/>
                <w:sz w:val="20"/>
                <w:szCs w:val="20"/>
                <w:lang w:eastAsia="hr-HR"/>
              </w:rPr>
              <w:t>3</w:t>
            </w:r>
          </w:p>
        </w:tc>
        <w:tc>
          <w:tcPr>
            <w:tcW w:w="1210" w:type="dxa"/>
            <w:shd w:val="clear" w:color="auto" w:fill="auto"/>
            <w:vAlign w:val="center"/>
          </w:tcPr>
          <w:p w14:paraId="39A05CDB" w14:textId="73078058" w:rsidR="00A84813" w:rsidRPr="0090608A" w:rsidRDefault="00E14895" w:rsidP="00EF4EAE">
            <w:pPr>
              <w:spacing w:line="276" w:lineRule="auto"/>
              <w:rPr>
                <w:bCs/>
                <w:color w:val="000000"/>
                <w:sz w:val="20"/>
                <w:szCs w:val="20"/>
                <w:lang w:eastAsia="hr-HR"/>
              </w:rPr>
            </w:pPr>
            <w:r>
              <w:rPr>
                <w:bCs/>
                <w:color w:val="000000"/>
                <w:sz w:val="20"/>
                <w:szCs w:val="20"/>
                <w:lang w:eastAsia="hr-HR"/>
              </w:rPr>
              <w:t>4</w:t>
            </w:r>
          </w:p>
        </w:tc>
      </w:tr>
      <w:tr w:rsidR="00751AA5" w:rsidRPr="0090608A" w14:paraId="327B9195" w14:textId="77777777" w:rsidTr="00A84813">
        <w:trPr>
          <w:trHeight w:val="295"/>
        </w:trPr>
        <w:tc>
          <w:tcPr>
            <w:tcW w:w="2085" w:type="dxa"/>
            <w:shd w:val="clear" w:color="auto" w:fill="auto"/>
            <w:vAlign w:val="center"/>
          </w:tcPr>
          <w:p w14:paraId="0A3CA678" w14:textId="77777777" w:rsidR="00A84813" w:rsidRPr="0090608A" w:rsidRDefault="00A84813" w:rsidP="00EF4EAE">
            <w:pPr>
              <w:spacing w:line="276" w:lineRule="auto"/>
              <w:rPr>
                <w:b/>
                <w:color w:val="000000"/>
                <w:sz w:val="20"/>
                <w:szCs w:val="20"/>
                <w:lang w:eastAsia="hr-HR"/>
              </w:rPr>
            </w:pPr>
            <w:r w:rsidRPr="0090608A">
              <w:rPr>
                <w:color w:val="000000"/>
                <w:sz w:val="20"/>
                <w:szCs w:val="20"/>
                <w:lang w:val="pl-PL" w:eastAsia="hr-HR"/>
              </w:rPr>
              <w:t>Povećanje broja gledatelja na posebnim programima</w:t>
            </w:r>
          </w:p>
        </w:tc>
        <w:tc>
          <w:tcPr>
            <w:tcW w:w="2061" w:type="dxa"/>
            <w:shd w:val="clear" w:color="auto" w:fill="auto"/>
            <w:vAlign w:val="center"/>
          </w:tcPr>
          <w:p w14:paraId="53CB090F" w14:textId="7A237ABC" w:rsidR="00A84813" w:rsidRPr="0090608A" w:rsidRDefault="00A84813" w:rsidP="0019098A">
            <w:pPr>
              <w:spacing w:line="276" w:lineRule="auto"/>
              <w:rPr>
                <w:b/>
                <w:color w:val="000000"/>
                <w:sz w:val="20"/>
                <w:szCs w:val="20"/>
                <w:lang w:eastAsia="hr-HR"/>
              </w:rPr>
            </w:pPr>
            <w:r w:rsidRPr="0090608A">
              <w:rPr>
                <w:color w:val="000000"/>
                <w:sz w:val="20"/>
                <w:szCs w:val="20"/>
                <w:lang w:val="pl-PL" w:eastAsia="hr-HR"/>
              </w:rPr>
              <w:t>Poticati građane na gledanje filmova EU produkcije i neameričkog područja</w:t>
            </w:r>
          </w:p>
        </w:tc>
        <w:tc>
          <w:tcPr>
            <w:tcW w:w="928" w:type="dxa"/>
            <w:shd w:val="clear" w:color="auto" w:fill="auto"/>
            <w:vAlign w:val="center"/>
          </w:tcPr>
          <w:p w14:paraId="2F275885" w14:textId="77777777" w:rsidR="00A84813" w:rsidRPr="0090608A" w:rsidRDefault="00A84813" w:rsidP="00EF4EAE">
            <w:pPr>
              <w:spacing w:line="276" w:lineRule="auto"/>
              <w:rPr>
                <w:bCs/>
                <w:color w:val="000000"/>
                <w:sz w:val="20"/>
                <w:szCs w:val="20"/>
                <w:lang w:eastAsia="hr-HR"/>
              </w:rPr>
            </w:pPr>
            <w:r w:rsidRPr="0090608A">
              <w:rPr>
                <w:bCs/>
                <w:color w:val="000000"/>
                <w:sz w:val="20"/>
                <w:szCs w:val="20"/>
                <w:lang w:eastAsia="hr-HR"/>
              </w:rPr>
              <w:t>broj</w:t>
            </w:r>
          </w:p>
        </w:tc>
        <w:tc>
          <w:tcPr>
            <w:tcW w:w="1240" w:type="dxa"/>
            <w:shd w:val="clear" w:color="auto" w:fill="auto"/>
            <w:vAlign w:val="center"/>
          </w:tcPr>
          <w:p w14:paraId="0C625D66" w14:textId="77777777" w:rsidR="00A84813" w:rsidRPr="0090608A" w:rsidRDefault="00A84813" w:rsidP="00EF4EAE">
            <w:pPr>
              <w:spacing w:line="276" w:lineRule="auto"/>
              <w:rPr>
                <w:bCs/>
                <w:color w:val="000000"/>
                <w:sz w:val="20"/>
                <w:szCs w:val="20"/>
                <w:lang w:eastAsia="hr-HR"/>
              </w:rPr>
            </w:pPr>
            <w:r w:rsidRPr="0090608A">
              <w:rPr>
                <w:bCs/>
                <w:color w:val="000000"/>
                <w:sz w:val="20"/>
                <w:szCs w:val="20"/>
                <w:lang w:eastAsia="hr-HR"/>
              </w:rPr>
              <w:t>Učilište</w:t>
            </w:r>
          </w:p>
        </w:tc>
        <w:tc>
          <w:tcPr>
            <w:tcW w:w="1273" w:type="dxa"/>
            <w:shd w:val="clear" w:color="auto" w:fill="auto"/>
            <w:vAlign w:val="center"/>
          </w:tcPr>
          <w:p w14:paraId="34A5C36F" w14:textId="33E57694" w:rsidR="00A84813" w:rsidRPr="0090608A" w:rsidRDefault="008F55F0" w:rsidP="00EF4EAE">
            <w:pPr>
              <w:spacing w:line="276" w:lineRule="auto"/>
              <w:rPr>
                <w:bCs/>
                <w:color w:val="000000"/>
                <w:sz w:val="20"/>
                <w:szCs w:val="20"/>
                <w:lang w:eastAsia="hr-HR"/>
              </w:rPr>
            </w:pPr>
            <w:r>
              <w:rPr>
                <w:bCs/>
                <w:color w:val="000000"/>
                <w:sz w:val="20"/>
                <w:szCs w:val="20"/>
                <w:lang w:eastAsia="hr-HR"/>
              </w:rPr>
              <w:t>2</w:t>
            </w:r>
            <w:r w:rsidR="00021535">
              <w:rPr>
                <w:bCs/>
                <w:color w:val="000000"/>
                <w:sz w:val="20"/>
                <w:szCs w:val="20"/>
                <w:lang w:eastAsia="hr-HR"/>
              </w:rPr>
              <w:t>.</w:t>
            </w:r>
            <w:r>
              <w:rPr>
                <w:bCs/>
                <w:color w:val="000000"/>
                <w:sz w:val="20"/>
                <w:szCs w:val="20"/>
                <w:lang w:eastAsia="hr-HR"/>
              </w:rPr>
              <w:t>831</w:t>
            </w:r>
          </w:p>
        </w:tc>
        <w:tc>
          <w:tcPr>
            <w:tcW w:w="1278" w:type="dxa"/>
            <w:shd w:val="clear" w:color="auto" w:fill="auto"/>
            <w:vAlign w:val="center"/>
          </w:tcPr>
          <w:p w14:paraId="564747B3" w14:textId="0502D0DA" w:rsidR="00A84813" w:rsidRPr="0090608A" w:rsidRDefault="008F55F0" w:rsidP="00EF4EAE">
            <w:pPr>
              <w:spacing w:line="276" w:lineRule="auto"/>
              <w:rPr>
                <w:bCs/>
                <w:color w:val="000000"/>
                <w:sz w:val="20"/>
                <w:szCs w:val="20"/>
                <w:lang w:eastAsia="hr-HR"/>
              </w:rPr>
            </w:pPr>
            <w:r>
              <w:rPr>
                <w:bCs/>
                <w:color w:val="000000"/>
                <w:sz w:val="20"/>
                <w:szCs w:val="20"/>
                <w:lang w:eastAsia="hr-HR"/>
              </w:rPr>
              <w:t>1</w:t>
            </w:r>
            <w:r w:rsidR="00021535">
              <w:rPr>
                <w:bCs/>
                <w:color w:val="000000"/>
                <w:sz w:val="20"/>
                <w:szCs w:val="20"/>
                <w:lang w:eastAsia="hr-HR"/>
              </w:rPr>
              <w:t>.</w:t>
            </w:r>
            <w:r>
              <w:rPr>
                <w:bCs/>
                <w:color w:val="000000"/>
                <w:sz w:val="20"/>
                <w:szCs w:val="20"/>
                <w:lang w:eastAsia="hr-HR"/>
              </w:rPr>
              <w:t>000</w:t>
            </w:r>
          </w:p>
        </w:tc>
        <w:tc>
          <w:tcPr>
            <w:tcW w:w="1210" w:type="dxa"/>
            <w:shd w:val="clear" w:color="auto" w:fill="auto"/>
            <w:vAlign w:val="center"/>
          </w:tcPr>
          <w:p w14:paraId="079677B8" w14:textId="61124DAE" w:rsidR="00A84813" w:rsidRPr="0090608A" w:rsidRDefault="00E14895" w:rsidP="00EF4EAE">
            <w:pPr>
              <w:spacing w:line="276" w:lineRule="auto"/>
              <w:rPr>
                <w:bCs/>
                <w:color w:val="000000"/>
                <w:sz w:val="20"/>
                <w:szCs w:val="20"/>
                <w:lang w:eastAsia="hr-HR"/>
              </w:rPr>
            </w:pPr>
            <w:r>
              <w:rPr>
                <w:bCs/>
                <w:color w:val="000000"/>
                <w:sz w:val="20"/>
                <w:szCs w:val="20"/>
                <w:lang w:eastAsia="hr-HR"/>
              </w:rPr>
              <w:t>3.220</w:t>
            </w:r>
          </w:p>
        </w:tc>
      </w:tr>
    </w:tbl>
    <w:p w14:paraId="776F81F2" w14:textId="77777777" w:rsidR="00F31C67" w:rsidRPr="00BE4EA7" w:rsidRDefault="00F31C67" w:rsidP="00D01324">
      <w:pPr>
        <w:jc w:val="both"/>
        <w:rPr>
          <w:b/>
          <w:bCs/>
          <w:color w:val="000000"/>
          <w:sz w:val="22"/>
          <w:szCs w:val="22"/>
        </w:rPr>
      </w:pPr>
    </w:p>
    <w:p w14:paraId="27C33F8E" w14:textId="61A1E983" w:rsidR="00D01324" w:rsidRPr="00BE4EA7" w:rsidRDefault="00D01324" w:rsidP="00F31C67">
      <w:pPr>
        <w:jc w:val="both"/>
        <w:rPr>
          <w:sz w:val="22"/>
          <w:szCs w:val="22"/>
        </w:rPr>
      </w:pPr>
      <w:r w:rsidRPr="00BE4EA7">
        <w:rPr>
          <w:b/>
          <w:bCs/>
          <w:color w:val="000000"/>
          <w:sz w:val="22"/>
          <w:szCs w:val="22"/>
        </w:rPr>
        <w:br/>
      </w:r>
      <w:r w:rsidRPr="00BE4EA7">
        <w:rPr>
          <w:sz w:val="22"/>
          <w:szCs w:val="22"/>
        </w:rPr>
        <w:t>Učilište nastavlja razvoj svoja tri programska odjela: Odjela za obrazovanje, cjeloživotno učenje i EU projekte, Odjela za glazbeno-scensku kulturu i amaterizam i Odjela za filmsku, video i medijsku kulturu</w:t>
      </w:r>
    </w:p>
    <w:p w14:paraId="0869FE96" w14:textId="3313C00A" w:rsidR="00D01324" w:rsidRPr="00BE4EA7" w:rsidRDefault="00D01324" w:rsidP="00D01324">
      <w:pPr>
        <w:numPr>
          <w:ilvl w:val="0"/>
          <w:numId w:val="3"/>
        </w:numPr>
        <w:jc w:val="both"/>
        <w:rPr>
          <w:sz w:val="22"/>
          <w:szCs w:val="22"/>
        </w:rPr>
      </w:pPr>
      <w:r w:rsidRPr="00BE4EA7">
        <w:rPr>
          <w:sz w:val="22"/>
          <w:szCs w:val="22"/>
        </w:rPr>
        <w:t xml:space="preserve">Učilište </w:t>
      </w:r>
      <w:r w:rsidR="00F31C67" w:rsidRPr="00BE4EA7">
        <w:rPr>
          <w:sz w:val="22"/>
          <w:szCs w:val="22"/>
        </w:rPr>
        <w:t>je</w:t>
      </w:r>
      <w:r w:rsidRPr="00BE4EA7">
        <w:rPr>
          <w:sz w:val="22"/>
          <w:szCs w:val="22"/>
        </w:rPr>
        <w:t xml:space="preserve"> u segmentu glazbeno-scenske djelatnosti </w:t>
      </w:r>
      <w:r w:rsidR="00F31C67" w:rsidRPr="00BE4EA7">
        <w:rPr>
          <w:sz w:val="22"/>
          <w:szCs w:val="22"/>
        </w:rPr>
        <w:t>potical</w:t>
      </w:r>
      <w:r w:rsidR="0019098A">
        <w:rPr>
          <w:sz w:val="22"/>
          <w:szCs w:val="22"/>
        </w:rPr>
        <w:t>o</w:t>
      </w:r>
      <w:r w:rsidRPr="00BE4EA7">
        <w:rPr>
          <w:sz w:val="22"/>
          <w:szCs w:val="22"/>
        </w:rPr>
        <w:t xml:space="preserve"> suradnju s </w:t>
      </w:r>
      <w:r w:rsidR="00F31C67" w:rsidRPr="00BE4EA7">
        <w:rPr>
          <w:sz w:val="22"/>
          <w:szCs w:val="22"/>
        </w:rPr>
        <w:t>iz</w:t>
      </w:r>
      <w:r w:rsidRPr="00BE4EA7">
        <w:rPr>
          <w:sz w:val="22"/>
          <w:szCs w:val="22"/>
        </w:rPr>
        <w:t>vangradskim područjima putem suradnje sa školama, vrtićima, nastavnicima, roditeljima</w:t>
      </w:r>
      <w:r w:rsidR="00F31C67" w:rsidRPr="00BE4EA7">
        <w:rPr>
          <w:sz w:val="22"/>
          <w:szCs w:val="22"/>
        </w:rPr>
        <w:t>, što je vidljivo po rezultatima</w:t>
      </w:r>
    </w:p>
    <w:p w14:paraId="6558655B" w14:textId="1530AE86" w:rsidR="00D01324" w:rsidRPr="00BE4EA7" w:rsidRDefault="00F31C67" w:rsidP="00D01324">
      <w:pPr>
        <w:numPr>
          <w:ilvl w:val="0"/>
          <w:numId w:val="3"/>
        </w:numPr>
        <w:jc w:val="both"/>
        <w:rPr>
          <w:sz w:val="22"/>
          <w:szCs w:val="22"/>
        </w:rPr>
      </w:pPr>
      <w:r w:rsidRPr="00BE4EA7">
        <w:rPr>
          <w:sz w:val="22"/>
          <w:szCs w:val="22"/>
        </w:rPr>
        <w:t>I dalje je kino Velebit među</w:t>
      </w:r>
      <w:r w:rsidR="00D01324" w:rsidRPr="00BE4EA7">
        <w:rPr>
          <w:sz w:val="22"/>
          <w:szCs w:val="22"/>
        </w:rPr>
        <w:t xml:space="preserve"> vodeć</w:t>
      </w:r>
      <w:r w:rsidRPr="00BE4EA7">
        <w:rPr>
          <w:sz w:val="22"/>
          <w:szCs w:val="22"/>
        </w:rPr>
        <w:t>im</w:t>
      </w:r>
      <w:r w:rsidR="00D01324" w:rsidRPr="00BE4EA7">
        <w:rPr>
          <w:sz w:val="22"/>
          <w:szCs w:val="22"/>
        </w:rPr>
        <w:t xml:space="preserve"> nezavisn</w:t>
      </w:r>
      <w:r w:rsidRPr="00BE4EA7">
        <w:rPr>
          <w:sz w:val="22"/>
          <w:szCs w:val="22"/>
        </w:rPr>
        <w:t>im</w:t>
      </w:r>
      <w:r w:rsidR="00D01324" w:rsidRPr="00BE4EA7">
        <w:rPr>
          <w:sz w:val="22"/>
          <w:szCs w:val="22"/>
        </w:rPr>
        <w:t xml:space="preserve"> kin</w:t>
      </w:r>
      <w:r w:rsidRPr="00BE4EA7">
        <w:rPr>
          <w:sz w:val="22"/>
          <w:szCs w:val="22"/>
        </w:rPr>
        <w:t>ima</w:t>
      </w:r>
      <w:r w:rsidR="00D01324" w:rsidRPr="00BE4EA7">
        <w:rPr>
          <w:sz w:val="22"/>
          <w:szCs w:val="22"/>
        </w:rPr>
        <w:t xml:space="preserve"> u </w:t>
      </w:r>
      <w:r w:rsidRPr="00BE4EA7">
        <w:rPr>
          <w:sz w:val="22"/>
          <w:szCs w:val="22"/>
        </w:rPr>
        <w:t>R</w:t>
      </w:r>
      <w:r w:rsidR="00D01324" w:rsidRPr="00BE4EA7">
        <w:rPr>
          <w:sz w:val="22"/>
          <w:szCs w:val="22"/>
        </w:rPr>
        <w:t>epublici Hrvatskoj, zahvaljujući modern</w:t>
      </w:r>
      <w:r w:rsidR="005C6626">
        <w:rPr>
          <w:sz w:val="22"/>
          <w:szCs w:val="22"/>
        </w:rPr>
        <w:t>oj</w:t>
      </w:r>
      <w:r w:rsidR="00D01324" w:rsidRPr="00BE4EA7">
        <w:rPr>
          <w:sz w:val="22"/>
          <w:szCs w:val="22"/>
        </w:rPr>
        <w:t xml:space="preserve"> oprem</w:t>
      </w:r>
      <w:r w:rsidR="005C6626">
        <w:rPr>
          <w:sz w:val="22"/>
          <w:szCs w:val="22"/>
        </w:rPr>
        <w:t>i i  posebnim programima</w:t>
      </w:r>
    </w:p>
    <w:p w14:paraId="0B353BFD" w14:textId="7FE127B8" w:rsidR="00D01324" w:rsidRPr="00BE4EA7" w:rsidRDefault="00D01324" w:rsidP="00D01324">
      <w:pPr>
        <w:numPr>
          <w:ilvl w:val="0"/>
          <w:numId w:val="3"/>
        </w:numPr>
        <w:jc w:val="both"/>
        <w:rPr>
          <w:sz w:val="22"/>
          <w:szCs w:val="22"/>
        </w:rPr>
      </w:pPr>
      <w:r w:rsidRPr="00BE4EA7">
        <w:rPr>
          <w:sz w:val="22"/>
          <w:szCs w:val="22"/>
        </w:rPr>
        <w:t>Ustanov</w:t>
      </w:r>
      <w:r w:rsidR="00F31C67" w:rsidRPr="00BE4EA7">
        <w:rPr>
          <w:sz w:val="22"/>
          <w:szCs w:val="22"/>
        </w:rPr>
        <w:t>a</w:t>
      </w:r>
      <w:r w:rsidRPr="00BE4EA7">
        <w:rPr>
          <w:sz w:val="22"/>
          <w:szCs w:val="22"/>
        </w:rPr>
        <w:t xml:space="preserve"> se orijentira</w:t>
      </w:r>
      <w:r w:rsidR="00F31C67" w:rsidRPr="00BE4EA7">
        <w:rPr>
          <w:sz w:val="22"/>
          <w:szCs w:val="22"/>
        </w:rPr>
        <w:t xml:space="preserve"> </w:t>
      </w:r>
      <w:r w:rsidRPr="00BE4EA7">
        <w:rPr>
          <w:sz w:val="22"/>
          <w:szCs w:val="22"/>
        </w:rPr>
        <w:t>na EU fondove kao na jedan od izvora financiranja ustanove</w:t>
      </w:r>
    </w:p>
    <w:p w14:paraId="6E5F11D8" w14:textId="7BBDC71C" w:rsidR="00256332" w:rsidRDefault="00D01324" w:rsidP="00F31C67">
      <w:pPr>
        <w:numPr>
          <w:ilvl w:val="0"/>
          <w:numId w:val="3"/>
        </w:numPr>
        <w:jc w:val="both"/>
        <w:rPr>
          <w:sz w:val="22"/>
          <w:szCs w:val="22"/>
        </w:rPr>
      </w:pPr>
      <w:r w:rsidRPr="00BE4EA7">
        <w:rPr>
          <w:sz w:val="22"/>
          <w:szCs w:val="22"/>
        </w:rPr>
        <w:t xml:space="preserve">Učilište razvija partnerske modele na lokalnoj i regionalnoj razini razvojem klastera/konzorcija i sl. uključujući sve ključne dionike kao što su HZZ, lokalni i regionalni gospodarski subjekti, Grad kao </w:t>
      </w:r>
      <w:r w:rsidR="002E2614">
        <w:rPr>
          <w:sz w:val="22"/>
          <w:szCs w:val="22"/>
        </w:rPr>
        <w:t>O</w:t>
      </w:r>
      <w:r w:rsidRPr="00BE4EA7">
        <w:rPr>
          <w:sz w:val="22"/>
          <w:szCs w:val="22"/>
        </w:rPr>
        <w:t>snivač, Koprivničko-križevačka županija i sl.</w:t>
      </w:r>
    </w:p>
    <w:p w14:paraId="494DCCF7" w14:textId="77777777" w:rsidR="002B5D0E" w:rsidRPr="00BE4EA7" w:rsidRDefault="002B5D0E" w:rsidP="002B5D0E">
      <w:pPr>
        <w:ind w:left="502"/>
        <w:jc w:val="both"/>
        <w:rPr>
          <w:sz w:val="22"/>
          <w:szCs w:val="22"/>
        </w:rPr>
      </w:pPr>
    </w:p>
    <w:p w14:paraId="1E7EB43D" w14:textId="77777777" w:rsidR="00F31C67" w:rsidRPr="00FE2BA8" w:rsidRDefault="00F31C67" w:rsidP="00F31C67">
      <w:pPr>
        <w:ind w:left="502"/>
        <w:jc w:val="both"/>
        <w:rPr>
          <w:sz w:val="22"/>
          <w:szCs w:val="22"/>
        </w:rPr>
      </w:pPr>
    </w:p>
    <w:p w14:paraId="2776B198" w14:textId="27D944CC" w:rsidR="00DE14C0" w:rsidRPr="00721F37" w:rsidRDefault="007855BA" w:rsidP="00BB067B">
      <w:pPr>
        <w:pStyle w:val="Naslov8"/>
        <w:spacing w:before="0" w:after="0" w:line="276" w:lineRule="auto"/>
        <w:jc w:val="both"/>
        <w:rPr>
          <w:b/>
          <w:i w:val="0"/>
          <w:sz w:val="22"/>
          <w:szCs w:val="22"/>
        </w:rPr>
      </w:pPr>
      <w:r w:rsidRPr="00721F37">
        <w:rPr>
          <w:b/>
          <w:i w:val="0"/>
          <w:sz w:val="22"/>
          <w:szCs w:val="22"/>
        </w:rPr>
        <w:t xml:space="preserve">Ishodište i pokazatelji na kojima se </w:t>
      </w:r>
      <w:r w:rsidR="0065649B" w:rsidRPr="00721F37">
        <w:rPr>
          <w:b/>
          <w:i w:val="0"/>
          <w:sz w:val="22"/>
          <w:szCs w:val="22"/>
        </w:rPr>
        <w:t>temelje</w:t>
      </w:r>
      <w:r w:rsidRPr="00721F37">
        <w:rPr>
          <w:b/>
          <w:i w:val="0"/>
          <w:sz w:val="22"/>
          <w:szCs w:val="22"/>
        </w:rPr>
        <w:t xml:space="preserve"> izračuni i ocjene potrebnih sredstava za provođenje programa</w:t>
      </w:r>
    </w:p>
    <w:p w14:paraId="370DC83F" w14:textId="77777777" w:rsidR="00D11188" w:rsidRPr="00E82D21" w:rsidRDefault="00D11188" w:rsidP="00BB067B">
      <w:pPr>
        <w:spacing w:line="276" w:lineRule="auto"/>
        <w:jc w:val="both"/>
        <w:rPr>
          <w:color w:val="FF0000"/>
          <w:sz w:val="22"/>
          <w:szCs w:val="22"/>
        </w:rPr>
      </w:pPr>
    </w:p>
    <w:p w14:paraId="0F87CCCB" w14:textId="1B31425A" w:rsidR="00DE14C0" w:rsidRPr="003C4B08" w:rsidRDefault="00DE14C0" w:rsidP="00BB067B">
      <w:pPr>
        <w:spacing w:line="276" w:lineRule="auto"/>
        <w:jc w:val="both"/>
        <w:rPr>
          <w:sz w:val="22"/>
          <w:szCs w:val="22"/>
        </w:rPr>
      </w:pPr>
      <w:r w:rsidRPr="003C4B08">
        <w:rPr>
          <w:sz w:val="22"/>
          <w:szCs w:val="22"/>
        </w:rPr>
        <w:t>Pla</w:t>
      </w:r>
      <w:r w:rsidR="00FF2F7D" w:rsidRPr="003C4B08">
        <w:rPr>
          <w:sz w:val="22"/>
          <w:szCs w:val="22"/>
        </w:rPr>
        <w:t>nirani prihodi Učilišta za 20</w:t>
      </w:r>
      <w:r w:rsidR="00914873" w:rsidRPr="003C4B08">
        <w:rPr>
          <w:sz w:val="22"/>
          <w:szCs w:val="22"/>
        </w:rPr>
        <w:t>2</w:t>
      </w:r>
      <w:r w:rsidR="008652CD" w:rsidRPr="003C4B08">
        <w:rPr>
          <w:sz w:val="22"/>
          <w:szCs w:val="22"/>
        </w:rPr>
        <w:t>4</w:t>
      </w:r>
      <w:r w:rsidRPr="003C4B08">
        <w:rPr>
          <w:sz w:val="22"/>
          <w:szCs w:val="22"/>
        </w:rPr>
        <w:t>. godinu iznos</w:t>
      </w:r>
      <w:r w:rsidR="002E2614" w:rsidRPr="003C4B08">
        <w:rPr>
          <w:sz w:val="22"/>
          <w:szCs w:val="22"/>
        </w:rPr>
        <w:t>ili su</w:t>
      </w:r>
      <w:r w:rsidRPr="003C4B08">
        <w:rPr>
          <w:sz w:val="22"/>
          <w:szCs w:val="22"/>
        </w:rPr>
        <w:t xml:space="preserve"> </w:t>
      </w:r>
      <w:r w:rsidR="00B05C04" w:rsidRPr="003C4B08">
        <w:rPr>
          <w:sz w:val="22"/>
          <w:szCs w:val="22"/>
        </w:rPr>
        <w:t>855.121</w:t>
      </w:r>
      <w:r w:rsidR="004E19A9" w:rsidRPr="003C4B08">
        <w:rPr>
          <w:sz w:val="22"/>
          <w:szCs w:val="22"/>
        </w:rPr>
        <w:t>,00 €</w:t>
      </w:r>
      <w:r w:rsidRPr="003C4B08">
        <w:rPr>
          <w:sz w:val="22"/>
          <w:szCs w:val="22"/>
        </w:rPr>
        <w:t xml:space="preserve">, </w:t>
      </w:r>
      <w:r w:rsidR="0065649B" w:rsidRPr="003C4B08">
        <w:rPr>
          <w:sz w:val="22"/>
          <w:szCs w:val="22"/>
        </w:rPr>
        <w:t>a</w:t>
      </w:r>
      <w:r w:rsidR="005D5958" w:rsidRPr="003C4B08">
        <w:rPr>
          <w:sz w:val="22"/>
          <w:szCs w:val="22"/>
        </w:rPr>
        <w:t xml:space="preserve"> </w:t>
      </w:r>
      <w:r w:rsidR="0083587D" w:rsidRPr="003C4B08">
        <w:rPr>
          <w:sz w:val="22"/>
          <w:szCs w:val="22"/>
        </w:rPr>
        <w:t>realizirani su</w:t>
      </w:r>
      <w:r w:rsidR="005D5958" w:rsidRPr="003C4B08">
        <w:rPr>
          <w:sz w:val="22"/>
          <w:szCs w:val="22"/>
        </w:rPr>
        <w:t xml:space="preserve"> u iznosu od </w:t>
      </w:r>
      <w:r w:rsidR="00B05C04" w:rsidRPr="003C4B08">
        <w:rPr>
          <w:sz w:val="22"/>
          <w:szCs w:val="22"/>
        </w:rPr>
        <w:t>777.008,</w:t>
      </w:r>
      <w:r w:rsidR="0029351E" w:rsidRPr="003C4B08">
        <w:rPr>
          <w:sz w:val="22"/>
          <w:szCs w:val="22"/>
        </w:rPr>
        <w:t>73</w:t>
      </w:r>
      <w:r w:rsidR="003B3BAB" w:rsidRPr="003C4B08">
        <w:rPr>
          <w:sz w:val="22"/>
          <w:szCs w:val="22"/>
        </w:rPr>
        <w:t xml:space="preserve"> €</w:t>
      </w:r>
      <w:r w:rsidR="0065649B" w:rsidRPr="003C4B08">
        <w:rPr>
          <w:sz w:val="22"/>
          <w:szCs w:val="22"/>
        </w:rPr>
        <w:t xml:space="preserve"> i </w:t>
      </w:r>
      <w:r w:rsidRPr="003C4B08">
        <w:rPr>
          <w:sz w:val="22"/>
          <w:szCs w:val="22"/>
        </w:rPr>
        <w:t>odnose se na:</w:t>
      </w:r>
    </w:p>
    <w:p w14:paraId="67C8408A" w14:textId="2C6582DA" w:rsidR="00DE14C0" w:rsidRPr="00FE2BA8" w:rsidRDefault="00DE14C0" w:rsidP="00BB067B">
      <w:pPr>
        <w:spacing w:line="276" w:lineRule="auto"/>
        <w:jc w:val="both"/>
        <w:rPr>
          <w:sz w:val="22"/>
          <w:szCs w:val="22"/>
        </w:rPr>
      </w:pPr>
      <w:r w:rsidRPr="003C4B08">
        <w:rPr>
          <w:sz w:val="22"/>
          <w:szCs w:val="22"/>
        </w:rPr>
        <w:t xml:space="preserve">Prihod iz nadležnog proračuna – proračuna Grada Koprivnice </w:t>
      </w:r>
      <w:r w:rsidR="00845EA4" w:rsidRPr="003C4B08">
        <w:rPr>
          <w:sz w:val="22"/>
          <w:szCs w:val="22"/>
        </w:rPr>
        <w:t>ostvaren</w:t>
      </w:r>
      <w:r w:rsidRPr="003C4B08">
        <w:rPr>
          <w:sz w:val="22"/>
          <w:szCs w:val="22"/>
        </w:rPr>
        <w:t xml:space="preserve"> je </w:t>
      </w:r>
      <w:r w:rsidR="00845EA4" w:rsidRPr="003C4B08">
        <w:rPr>
          <w:sz w:val="22"/>
          <w:szCs w:val="22"/>
        </w:rPr>
        <w:t xml:space="preserve">prema </w:t>
      </w:r>
      <w:r w:rsidR="003B6137" w:rsidRPr="003C4B08">
        <w:rPr>
          <w:sz w:val="22"/>
          <w:szCs w:val="22"/>
        </w:rPr>
        <w:t>F</w:t>
      </w:r>
      <w:r w:rsidR="0009743D" w:rsidRPr="003C4B08">
        <w:rPr>
          <w:sz w:val="22"/>
          <w:szCs w:val="22"/>
        </w:rPr>
        <w:t>inancijsko</w:t>
      </w:r>
      <w:r w:rsidR="00845EA4" w:rsidRPr="003C4B08">
        <w:rPr>
          <w:sz w:val="22"/>
          <w:szCs w:val="22"/>
        </w:rPr>
        <w:t>m</w:t>
      </w:r>
      <w:r w:rsidR="0009743D" w:rsidRPr="003C4B08">
        <w:rPr>
          <w:sz w:val="22"/>
          <w:szCs w:val="22"/>
        </w:rPr>
        <w:t xml:space="preserve"> plan</w:t>
      </w:r>
      <w:r w:rsidR="00845EA4" w:rsidRPr="003C4B08">
        <w:rPr>
          <w:sz w:val="22"/>
          <w:szCs w:val="22"/>
        </w:rPr>
        <w:t>u</w:t>
      </w:r>
      <w:r w:rsidR="0009743D" w:rsidRPr="003C4B08">
        <w:rPr>
          <w:sz w:val="22"/>
          <w:szCs w:val="22"/>
        </w:rPr>
        <w:t xml:space="preserve"> za 20</w:t>
      </w:r>
      <w:r w:rsidR="00914873" w:rsidRPr="003C4B08">
        <w:rPr>
          <w:sz w:val="22"/>
          <w:szCs w:val="22"/>
        </w:rPr>
        <w:t>2</w:t>
      </w:r>
      <w:r w:rsidR="0029351E" w:rsidRPr="003C4B08">
        <w:rPr>
          <w:sz w:val="22"/>
          <w:szCs w:val="22"/>
        </w:rPr>
        <w:t>4</w:t>
      </w:r>
      <w:r w:rsidRPr="003C4B08">
        <w:rPr>
          <w:sz w:val="22"/>
          <w:szCs w:val="22"/>
        </w:rPr>
        <w:t>. godin</w:t>
      </w:r>
      <w:r w:rsidR="002E2614" w:rsidRPr="003C4B08">
        <w:rPr>
          <w:sz w:val="22"/>
          <w:szCs w:val="22"/>
        </w:rPr>
        <w:t xml:space="preserve">u </w:t>
      </w:r>
      <w:r w:rsidR="000755BA" w:rsidRPr="003C4B08">
        <w:rPr>
          <w:sz w:val="22"/>
          <w:szCs w:val="22"/>
        </w:rPr>
        <w:t xml:space="preserve">u </w:t>
      </w:r>
      <w:r w:rsidR="000E0320" w:rsidRPr="00FE2BA8">
        <w:rPr>
          <w:sz w:val="22"/>
          <w:szCs w:val="22"/>
        </w:rPr>
        <w:t xml:space="preserve">iznosu od </w:t>
      </w:r>
      <w:r w:rsidR="00CF3954" w:rsidRPr="00FE2BA8">
        <w:rPr>
          <w:sz w:val="22"/>
          <w:szCs w:val="22"/>
        </w:rPr>
        <w:t xml:space="preserve"> </w:t>
      </w:r>
      <w:r w:rsidR="006C4127">
        <w:rPr>
          <w:sz w:val="22"/>
          <w:szCs w:val="22"/>
        </w:rPr>
        <w:t>401</w:t>
      </w:r>
      <w:r w:rsidR="00421A3B">
        <w:rPr>
          <w:sz w:val="22"/>
          <w:szCs w:val="22"/>
        </w:rPr>
        <w:t xml:space="preserve">.660,59 </w:t>
      </w:r>
      <w:r w:rsidR="00CF3954" w:rsidRPr="00FE2BA8">
        <w:rPr>
          <w:sz w:val="22"/>
          <w:szCs w:val="22"/>
        </w:rPr>
        <w:t>€</w:t>
      </w:r>
      <w:r w:rsidRPr="00FE2BA8">
        <w:rPr>
          <w:sz w:val="22"/>
          <w:szCs w:val="22"/>
        </w:rPr>
        <w:t>, a odnosi se na financiranje</w:t>
      </w:r>
      <w:r w:rsidR="008F1E83" w:rsidRPr="00FE2BA8">
        <w:rPr>
          <w:sz w:val="22"/>
          <w:szCs w:val="22"/>
        </w:rPr>
        <w:t xml:space="preserve"> aktivnosti</w:t>
      </w:r>
      <w:r w:rsidRPr="00FE2BA8">
        <w:rPr>
          <w:sz w:val="22"/>
          <w:szCs w:val="22"/>
        </w:rPr>
        <w:t xml:space="preserve"> glazbeno-scenske djelatnosti, centr</w:t>
      </w:r>
      <w:r w:rsidR="00844FEF" w:rsidRPr="00FE2BA8">
        <w:rPr>
          <w:sz w:val="22"/>
          <w:szCs w:val="22"/>
        </w:rPr>
        <w:t>a za c</w:t>
      </w:r>
      <w:r w:rsidR="00EB3A6C" w:rsidRPr="00FE2BA8">
        <w:rPr>
          <w:sz w:val="22"/>
          <w:szCs w:val="22"/>
        </w:rPr>
        <w:t>jeloživotno učenje</w:t>
      </w:r>
      <w:r w:rsidR="00D37BC7" w:rsidRPr="00FE2BA8">
        <w:rPr>
          <w:sz w:val="22"/>
          <w:szCs w:val="22"/>
        </w:rPr>
        <w:t xml:space="preserve"> te</w:t>
      </w:r>
      <w:r w:rsidR="001C2536" w:rsidRPr="00FE2BA8">
        <w:rPr>
          <w:sz w:val="22"/>
          <w:szCs w:val="22"/>
        </w:rPr>
        <w:t xml:space="preserve"> </w:t>
      </w:r>
      <w:r w:rsidRPr="00FE2BA8">
        <w:rPr>
          <w:sz w:val="22"/>
          <w:szCs w:val="22"/>
        </w:rPr>
        <w:t>dio sredstava za filmsku djelatnost</w:t>
      </w:r>
      <w:r w:rsidR="00D81D44" w:rsidRPr="00FE2BA8">
        <w:rPr>
          <w:sz w:val="22"/>
          <w:szCs w:val="22"/>
        </w:rPr>
        <w:t>.</w:t>
      </w:r>
    </w:p>
    <w:p w14:paraId="21647AAE" w14:textId="53901DB3" w:rsidR="00E43383" w:rsidRPr="00F93DC8" w:rsidRDefault="00DE14C0" w:rsidP="00BB067B">
      <w:pPr>
        <w:pStyle w:val="Naslov8"/>
        <w:keepNext/>
        <w:spacing w:before="0" w:after="0" w:line="276" w:lineRule="auto"/>
        <w:jc w:val="both"/>
        <w:rPr>
          <w:i w:val="0"/>
          <w:sz w:val="22"/>
          <w:szCs w:val="22"/>
        </w:rPr>
      </w:pPr>
      <w:r w:rsidRPr="00FE2BA8">
        <w:rPr>
          <w:i w:val="0"/>
          <w:sz w:val="22"/>
          <w:szCs w:val="22"/>
        </w:rPr>
        <w:t>Vlastiti prihodi</w:t>
      </w:r>
      <w:r w:rsidR="00D11188" w:rsidRPr="00FE2BA8">
        <w:rPr>
          <w:i w:val="0"/>
          <w:sz w:val="22"/>
          <w:szCs w:val="22"/>
        </w:rPr>
        <w:t xml:space="preserve"> </w:t>
      </w:r>
      <w:r w:rsidR="00636700" w:rsidRPr="00FE2BA8">
        <w:rPr>
          <w:i w:val="0"/>
          <w:sz w:val="22"/>
          <w:szCs w:val="22"/>
        </w:rPr>
        <w:t>realizirani</w:t>
      </w:r>
      <w:r w:rsidRPr="00FE2BA8">
        <w:rPr>
          <w:i w:val="0"/>
          <w:sz w:val="22"/>
          <w:szCs w:val="22"/>
        </w:rPr>
        <w:t xml:space="preserve"> su u visini </w:t>
      </w:r>
      <w:r w:rsidR="00844FEF" w:rsidRPr="00FE2BA8">
        <w:rPr>
          <w:i w:val="0"/>
          <w:sz w:val="22"/>
          <w:szCs w:val="22"/>
        </w:rPr>
        <w:t>od</w:t>
      </w:r>
      <w:r w:rsidR="001B222D" w:rsidRPr="00FE2BA8">
        <w:rPr>
          <w:i w:val="0"/>
          <w:sz w:val="22"/>
          <w:szCs w:val="22"/>
        </w:rPr>
        <w:t xml:space="preserve"> </w:t>
      </w:r>
      <w:r w:rsidR="002842C5">
        <w:rPr>
          <w:i w:val="0"/>
          <w:sz w:val="22"/>
          <w:szCs w:val="22"/>
        </w:rPr>
        <w:t>237.350,29</w:t>
      </w:r>
      <w:r w:rsidR="00DE5348" w:rsidRPr="00FE2BA8">
        <w:rPr>
          <w:i w:val="0"/>
          <w:sz w:val="22"/>
          <w:szCs w:val="22"/>
        </w:rPr>
        <w:t xml:space="preserve"> €</w:t>
      </w:r>
      <w:r w:rsidRPr="00FE2BA8">
        <w:rPr>
          <w:i w:val="0"/>
          <w:sz w:val="22"/>
          <w:szCs w:val="22"/>
        </w:rPr>
        <w:t>,</w:t>
      </w:r>
      <w:r w:rsidR="000E0320" w:rsidRPr="00FE2BA8">
        <w:rPr>
          <w:i w:val="0"/>
          <w:sz w:val="22"/>
          <w:szCs w:val="22"/>
        </w:rPr>
        <w:t xml:space="preserve"> </w:t>
      </w:r>
      <w:r w:rsidR="002507EA" w:rsidRPr="00FE2BA8">
        <w:rPr>
          <w:i w:val="0"/>
          <w:sz w:val="22"/>
          <w:szCs w:val="22"/>
        </w:rPr>
        <w:t>bez</w:t>
      </w:r>
      <w:r w:rsidR="000E0320" w:rsidRPr="00FE2BA8">
        <w:rPr>
          <w:i w:val="0"/>
          <w:sz w:val="22"/>
          <w:szCs w:val="22"/>
        </w:rPr>
        <w:t xml:space="preserve"> uključen</w:t>
      </w:r>
      <w:r w:rsidR="00F506B5" w:rsidRPr="00FE2BA8">
        <w:rPr>
          <w:i w:val="0"/>
          <w:sz w:val="22"/>
          <w:szCs w:val="22"/>
        </w:rPr>
        <w:t>og</w:t>
      </w:r>
      <w:r w:rsidR="00D11188" w:rsidRPr="00FE2BA8">
        <w:rPr>
          <w:i w:val="0"/>
          <w:sz w:val="22"/>
          <w:szCs w:val="22"/>
        </w:rPr>
        <w:t xml:space="preserve"> viška</w:t>
      </w:r>
      <w:r w:rsidR="000E0320" w:rsidRPr="00FE2BA8">
        <w:rPr>
          <w:i w:val="0"/>
          <w:sz w:val="22"/>
          <w:szCs w:val="22"/>
        </w:rPr>
        <w:t xml:space="preserve"> prihoda,</w:t>
      </w:r>
      <w:r w:rsidRPr="00FE2BA8">
        <w:rPr>
          <w:i w:val="0"/>
          <w:sz w:val="22"/>
          <w:szCs w:val="22"/>
        </w:rPr>
        <w:t xml:space="preserve"> a is</w:t>
      </w:r>
      <w:r w:rsidR="00F47952" w:rsidRPr="00FE2BA8">
        <w:rPr>
          <w:i w:val="0"/>
          <w:sz w:val="22"/>
          <w:szCs w:val="22"/>
        </w:rPr>
        <w:t>ti se odnose na prihod od prodaj</w:t>
      </w:r>
      <w:r w:rsidRPr="00FE2BA8">
        <w:rPr>
          <w:i w:val="0"/>
          <w:sz w:val="22"/>
          <w:szCs w:val="22"/>
        </w:rPr>
        <w:t>e usluga, prihod od najamn</w:t>
      </w:r>
      <w:r w:rsidR="00F47952" w:rsidRPr="00FE2BA8">
        <w:rPr>
          <w:i w:val="0"/>
          <w:sz w:val="22"/>
          <w:szCs w:val="22"/>
        </w:rPr>
        <w:t>in</w:t>
      </w:r>
      <w:r w:rsidR="00844FEF" w:rsidRPr="00FE2BA8">
        <w:rPr>
          <w:i w:val="0"/>
          <w:sz w:val="22"/>
          <w:szCs w:val="22"/>
        </w:rPr>
        <w:t>a i ostale nespomenute prihode</w:t>
      </w:r>
      <w:r w:rsidRPr="00FE2BA8">
        <w:rPr>
          <w:i w:val="0"/>
          <w:sz w:val="22"/>
          <w:szCs w:val="22"/>
        </w:rPr>
        <w:t>.</w:t>
      </w:r>
      <w:r w:rsidR="000E0320" w:rsidRPr="00FE2BA8">
        <w:rPr>
          <w:i w:val="0"/>
          <w:sz w:val="22"/>
          <w:szCs w:val="22"/>
        </w:rPr>
        <w:t xml:space="preserve"> Ostvareni prihod </w:t>
      </w:r>
      <w:r w:rsidR="00CA00B1" w:rsidRPr="00FE2BA8">
        <w:rPr>
          <w:i w:val="0"/>
          <w:sz w:val="22"/>
          <w:szCs w:val="22"/>
        </w:rPr>
        <w:t>trošimo</w:t>
      </w:r>
      <w:r w:rsidR="000E0320" w:rsidRPr="00FE2BA8">
        <w:rPr>
          <w:i w:val="0"/>
          <w:sz w:val="22"/>
          <w:szCs w:val="22"/>
        </w:rPr>
        <w:t xml:space="preserve"> na financiranje redovnog poslovanja,</w:t>
      </w:r>
      <w:r w:rsidR="00886820" w:rsidRPr="00FE2BA8">
        <w:rPr>
          <w:i w:val="0"/>
          <w:sz w:val="22"/>
          <w:szCs w:val="22"/>
        </w:rPr>
        <w:t xml:space="preserve"> materijalnih troškova Učilišta</w:t>
      </w:r>
      <w:r w:rsidR="000E0320" w:rsidRPr="00FE2BA8">
        <w:rPr>
          <w:i w:val="0"/>
          <w:sz w:val="22"/>
          <w:szCs w:val="22"/>
        </w:rPr>
        <w:t xml:space="preserve"> te financiranja dijela programske djelatnosti</w:t>
      </w:r>
      <w:r w:rsidR="003E01B0" w:rsidRPr="00FE2BA8">
        <w:rPr>
          <w:i w:val="0"/>
          <w:sz w:val="22"/>
          <w:szCs w:val="22"/>
        </w:rPr>
        <w:t xml:space="preserve"> kao i nabavu nefinancijske imovine</w:t>
      </w:r>
      <w:r w:rsidR="00B33EAB" w:rsidRPr="00FE2BA8">
        <w:rPr>
          <w:i w:val="0"/>
          <w:sz w:val="22"/>
          <w:szCs w:val="22"/>
        </w:rPr>
        <w:t xml:space="preserve">. </w:t>
      </w:r>
      <w:r w:rsidR="000E0320" w:rsidRPr="00FE2BA8">
        <w:rPr>
          <w:i w:val="0"/>
          <w:sz w:val="22"/>
          <w:szCs w:val="22"/>
        </w:rPr>
        <w:t xml:space="preserve">Vlastiti prihodi </w:t>
      </w:r>
      <w:r w:rsidR="00EB2905" w:rsidRPr="00FE2BA8">
        <w:rPr>
          <w:i w:val="0"/>
          <w:sz w:val="22"/>
          <w:szCs w:val="22"/>
        </w:rPr>
        <w:t>su</w:t>
      </w:r>
      <w:r w:rsidR="002B5B17" w:rsidRPr="00FE2BA8">
        <w:rPr>
          <w:i w:val="0"/>
          <w:sz w:val="22"/>
          <w:szCs w:val="22"/>
        </w:rPr>
        <w:t xml:space="preserve"> </w:t>
      </w:r>
      <w:r w:rsidR="000C578E" w:rsidRPr="008979A9">
        <w:rPr>
          <w:i w:val="0"/>
          <w:sz w:val="22"/>
          <w:szCs w:val="22"/>
        </w:rPr>
        <w:t xml:space="preserve">smanjeni </w:t>
      </w:r>
      <w:r w:rsidR="008979A9" w:rsidRPr="008979A9">
        <w:rPr>
          <w:i w:val="0"/>
          <w:sz w:val="22"/>
          <w:szCs w:val="22"/>
        </w:rPr>
        <w:t>su</w:t>
      </w:r>
      <w:r w:rsidR="00E10DF0" w:rsidRPr="008979A9">
        <w:rPr>
          <w:i w:val="0"/>
          <w:sz w:val="22"/>
          <w:szCs w:val="22"/>
        </w:rPr>
        <w:t xml:space="preserve"> u odnosu </w:t>
      </w:r>
      <w:r w:rsidR="00E10DF0" w:rsidRPr="00FE2BA8">
        <w:rPr>
          <w:i w:val="0"/>
          <w:sz w:val="22"/>
          <w:szCs w:val="22"/>
        </w:rPr>
        <w:t>na prošlu godinu</w:t>
      </w:r>
      <w:r w:rsidR="003A1E04" w:rsidRPr="00FE2BA8">
        <w:rPr>
          <w:i w:val="0"/>
          <w:sz w:val="22"/>
          <w:szCs w:val="22"/>
        </w:rPr>
        <w:t xml:space="preserve">, a indeks </w:t>
      </w:r>
      <w:r w:rsidR="000C578E">
        <w:rPr>
          <w:i w:val="0"/>
          <w:sz w:val="22"/>
          <w:szCs w:val="22"/>
        </w:rPr>
        <w:t>izvršenja</w:t>
      </w:r>
      <w:r w:rsidR="003A1E04" w:rsidRPr="00F93DC8">
        <w:rPr>
          <w:i w:val="0"/>
          <w:sz w:val="22"/>
          <w:szCs w:val="22"/>
        </w:rPr>
        <w:t xml:space="preserve"> </w:t>
      </w:r>
      <w:r w:rsidR="00571E9D" w:rsidRPr="00F93DC8">
        <w:rPr>
          <w:i w:val="0"/>
          <w:sz w:val="22"/>
          <w:szCs w:val="22"/>
        </w:rPr>
        <w:t xml:space="preserve"> iznos</w:t>
      </w:r>
      <w:r w:rsidR="003A1E04" w:rsidRPr="00F93DC8">
        <w:rPr>
          <w:i w:val="0"/>
          <w:sz w:val="22"/>
          <w:szCs w:val="22"/>
        </w:rPr>
        <w:t>i</w:t>
      </w:r>
      <w:r w:rsidR="00571E9D" w:rsidRPr="00F93DC8">
        <w:rPr>
          <w:i w:val="0"/>
          <w:sz w:val="22"/>
          <w:szCs w:val="22"/>
        </w:rPr>
        <w:t xml:space="preserve"> </w:t>
      </w:r>
      <w:r w:rsidR="000C578E">
        <w:rPr>
          <w:i w:val="0"/>
          <w:sz w:val="22"/>
          <w:szCs w:val="22"/>
        </w:rPr>
        <w:t>95</w:t>
      </w:r>
      <w:r w:rsidR="00571E9D" w:rsidRPr="00F93DC8">
        <w:rPr>
          <w:i w:val="0"/>
          <w:sz w:val="22"/>
          <w:szCs w:val="22"/>
        </w:rPr>
        <w:t>%</w:t>
      </w:r>
      <w:r w:rsidR="00803D21" w:rsidRPr="00F93DC8">
        <w:rPr>
          <w:i w:val="0"/>
          <w:sz w:val="22"/>
          <w:szCs w:val="22"/>
        </w:rPr>
        <w:t>.</w:t>
      </w:r>
    </w:p>
    <w:p w14:paraId="33F2C014" w14:textId="3CF20E7F" w:rsidR="00051F82" w:rsidRPr="0021108D" w:rsidRDefault="007D75F6" w:rsidP="00BB067B">
      <w:pPr>
        <w:pStyle w:val="Odlomakpopisa"/>
        <w:spacing w:line="276" w:lineRule="auto"/>
        <w:ind w:left="0"/>
        <w:contextualSpacing/>
        <w:jc w:val="both"/>
        <w:rPr>
          <w:sz w:val="22"/>
          <w:szCs w:val="22"/>
        </w:rPr>
      </w:pPr>
      <w:r w:rsidRPr="00F93DC8">
        <w:rPr>
          <w:sz w:val="22"/>
          <w:szCs w:val="22"/>
        </w:rPr>
        <w:t>Prihod od pomoći odnosi se na tekuće</w:t>
      </w:r>
      <w:r w:rsidR="003B5F95" w:rsidRPr="00F93DC8">
        <w:rPr>
          <w:sz w:val="22"/>
          <w:szCs w:val="22"/>
        </w:rPr>
        <w:t xml:space="preserve"> i kapitalne</w:t>
      </w:r>
      <w:r w:rsidRPr="00F93DC8">
        <w:rPr>
          <w:sz w:val="22"/>
          <w:szCs w:val="22"/>
        </w:rPr>
        <w:t xml:space="preserve"> pomoći</w:t>
      </w:r>
      <w:r w:rsidR="00D91C16">
        <w:rPr>
          <w:sz w:val="22"/>
          <w:szCs w:val="22"/>
        </w:rPr>
        <w:t xml:space="preserve"> </w:t>
      </w:r>
      <w:r w:rsidR="00EF7043">
        <w:rPr>
          <w:sz w:val="22"/>
          <w:szCs w:val="22"/>
        </w:rPr>
        <w:t>te su se izvršile u iznosu od 98.429,81</w:t>
      </w:r>
      <w:r w:rsidR="00F812D5">
        <w:rPr>
          <w:sz w:val="22"/>
          <w:szCs w:val="22"/>
        </w:rPr>
        <w:t>€</w:t>
      </w:r>
      <w:r w:rsidR="00EF7043">
        <w:rPr>
          <w:sz w:val="22"/>
          <w:szCs w:val="22"/>
        </w:rPr>
        <w:t xml:space="preserve"> </w:t>
      </w:r>
      <w:r w:rsidR="00A3112B">
        <w:rPr>
          <w:sz w:val="22"/>
          <w:szCs w:val="22"/>
        </w:rPr>
        <w:t>što je indeks povećanja od 166</w:t>
      </w:r>
      <w:r w:rsidR="000B147E">
        <w:rPr>
          <w:sz w:val="22"/>
          <w:szCs w:val="22"/>
        </w:rPr>
        <w:t>%, a realizacija u odnosu na plan je 8</w:t>
      </w:r>
      <w:r w:rsidR="001F3496">
        <w:rPr>
          <w:sz w:val="22"/>
          <w:szCs w:val="22"/>
        </w:rPr>
        <w:t>3</w:t>
      </w:r>
      <w:r w:rsidR="000B147E">
        <w:rPr>
          <w:sz w:val="22"/>
          <w:szCs w:val="22"/>
        </w:rPr>
        <w:t xml:space="preserve">%. </w:t>
      </w:r>
      <w:r w:rsidR="00A3112B" w:rsidRPr="00F93DC8">
        <w:rPr>
          <w:sz w:val="22"/>
          <w:szCs w:val="22"/>
        </w:rPr>
        <w:t xml:space="preserve"> </w:t>
      </w:r>
      <w:r w:rsidR="000B147E">
        <w:rPr>
          <w:sz w:val="22"/>
          <w:szCs w:val="22"/>
        </w:rPr>
        <w:t>I</w:t>
      </w:r>
      <w:r w:rsidR="00A3112B" w:rsidRPr="00F93DC8">
        <w:rPr>
          <w:sz w:val="22"/>
          <w:szCs w:val="22"/>
        </w:rPr>
        <w:t xml:space="preserve">z nenadležnog proračuna koji je realiziran  u visini </w:t>
      </w:r>
      <w:r w:rsidR="00A65751">
        <w:rPr>
          <w:sz w:val="22"/>
          <w:szCs w:val="22"/>
        </w:rPr>
        <w:t>51.230,89</w:t>
      </w:r>
      <w:r w:rsidR="00A3112B" w:rsidRPr="00F93DC8">
        <w:rPr>
          <w:sz w:val="22"/>
          <w:szCs w:val="22"/>
        </w:rPr>
        <w:t xml:space="preserve"> €. sredstva za kapitalne pomoći u </w:t>
      </w:r>
      <w:r w:rsidR="00051F82" w:rsidRPr="00F93DC8">
        <w:rPr>
          <w:sz w:val="22"/>
          <w:szCs w:val="22"/>
        </w:rPr>
        <w:t xml:space="preserve">visini </w:t>
      </w:r>
      <w:r w:rsidR="00A65751">
        <w:rPr>
          <w:sz w:val="22"/>
          <w:szCs w:val="22"/>
        </w:rPr>
        <w:t>40.000,00</w:t>
      </w:r>
      <w:r w:rsidR="00A34C52" w:rsidRPr="00F93DC8">
        <w:rPr>
          <w:sz w:val="22"/>
          <w:szCs w:val="22"/>
        </w:rPr>
        <w:t xml:space="preserve"> €</w:t>
      </w:r>
      <w:r w:rsidR="00A65751">
        <w:rPr>
          <w:sz w:val="22"/>
          <w:szCs w:val="22"/>
        </w:rPr>
        <w:t>,</w:t>
      </w:r>
      <w:r w:rsidR="00051F82" w:rsidRPr="00F93DC8">
        <w:rPr>
          <w:sz w:val="22"/>
          <w:szCs w:val="22"/>
        </w:rPr>
        <w:t xml:space="preserve"> </w:t>
      </w:r>
      <w:r w:rsidR="00F30503" w:rsidRPr="00F93DC8">
        <w:rPr>
          <w:sz w:val="22"/>
          <w:szCs w:val="22"/>
        </w:rPr>
        <w:t xml:space="preserve">realizirana </w:t>
      </w:r>
      <w:r w:rsidR="00051F82" w:rsidRPr="00F93DC8">
        <w:rPr>
          <w:sz w:val="22"/>
          <w:szCs w:val="22"/>
        </w:rPr>
        <w:t>su iz nenadležnog proračuna Ministarstva kulture sukladno prijavljenim programima, a odnose se na prihod koji se namjenski utroši</w:t>
      </w:r>
      <w:r w:rsidR="00D37BC7" w:rsidRPr="00F93DC8">
        <w:rPr>
          <w:sz w:val="22"/>
          <w:szCs w:val="22"/>
        </w:rPr>
        <w:t>o</w:t>
      </w:r>
      <w:r w:rsidR="00051F82" w:rsidRPr="00F93DC8">
        <w:rPr>
          <w:sz w:val="22"/>
          <w:szCs w:val="22"/>
        </w:rPr>
        <w:t xml:space="preserve"> za rekonstrukciju dvorane </w:t>
      </w:r>
      <w:r w:rsidR="00051F82" w:rsidRPr="0021108D">
        <w:rPr>
          <w:sz w:val="22"/>
          <w:szCs w:val="22"/>
        </w:rPr>
        <w:t>Domoljub</w:t>
      </w:r>
      <w:r w:rsidR="00F24BB7" w:rsidRPr="0021108D">
        <w:rPr>
          <w:sz w:val="22"/>
          <w:szCs w:val="22"/>
        </w:rPr>
        <w:t xml:space="preserve">. </w:t>
      </w:r>
      <w:r w:rsidR="00051F82" w:rsidRPr="0021108D">
        <w:rPr>
          <w:sz w:val="22"/>
          <w:szCs w:val="22"/>
        </w:rPr>
        <w:t xml:space="preserve">Razlika </w:t>
      </w:r>
      <w:r w:rsidR="007B02BE" w:rsidRPr="0021108D">
        <w:rPr>
          <w:sz w:val="22"/>
          <w:szCs w:val="22"/>
        </w:rPr>
        <w:t>realiziranih</w:t>
      </w:r>
      <w:r w:rsidR="00051F82" w:rsidRPr="0021108D">
        <w:rPr>
          <w:sz w:val="22"/>
          <w:szCs w:val="22"/>
        </w:rPr>
        <w:t xml:space="preserve"> prihoda utroš</w:t>
      </w:r>
      <w:r w:rsidR="007B02BE" w:rsidRPr="0021108D">
        <w:rPr>
          <w:sz w:val="22"/>
          <w:szCs w:val="22"/>
        </w:rPr>
        <w:t>il</w:t>
      </w:r>
      <w:r w:rsidR="00F93DC8" w:rsidRPr="0021108D">
        <w:rPr>
          <w:sz w:val="22"/>
          <w:szCs w:val="22"/>
        </w:rPr>
        <w:t>a</w:t>
      </w:r>
      <w:r w:rsidR="00051F82" w:rsidRPr="0021108D">
        <w:rPr>
          <w:sz w:val="22"/>
          <w:szCs w:val="22"/>
        </w:rPr>
        <w:t xml:space="preserve"> se na najamnine kazališnih predstava i </w:t>
      </w:r>
      <w:r w:rsidR="00D721C9" w:rsidRPr="0021108D">
        <w:rPr>
          <w:sz w:val="22"/>
          <w:szCs w:val="22"/>
        </w:rPr>
        <w:t>organizaciju</w:t>
      </w:r>
      <w:r w:rsidR="00051F82" w:rsidRPr="0021108D">
        <w:rPr>
          <w:sz w:val="22"/>
          <w:szCs w:val="22"/>
        </w:rPr>
        <w:t xml:space="preserve"> koncerata u dvorani Domoljub te </w:t>
      </w:r>
      <w:r w:rsidR="005B5279" w:rsidRPr="0021108D">
        <w:rPr>
          <w:sz w:val="22"/>
          <w:szCs w:val="22"/>
        </w:rPr>
        <w:t xml:space="preserve">za </w:t>
      </w:r>
      <w:r w:rsidR="000C3041" w:rsidRPr="0021108D">
        <w:rPr>
          <w:sz w:val="22"/>
          <w:szCs w:val="22"/>
        </w:rPr>
        <w:t xml:space="preserve">najamnine filmova financiranih od </w:t>
      </w:r>
      <w:r w:rsidR="00F93DC8" w:rsidRPr="0021108D">
        <w:rPr>
          <w:sz w:val="22"/>
          <w:szCs w:val="22"/>
        </w:rPr>
        <w:t>strane</w:t>
      </w:r>
      <w:r w:rsidR="000C3041" w:rsidRPr="0021108D">
        <w:rPr>
          <w:sz w:val="22"/>
          <w:szCs w:val="22"/>
        </w:rPr>
        <w:t xml:space="preserve"> HAVC-a</w:t>
      </w:r>
      <w:r w:rsidR="00051F82" w:rsidRPr="0021108D">
        <w:rPr>
          <w:sz w:val="22"/>
          <w:szCs w:val="22"/>
        </w:rPr>
        <w:t xml:space="preserve">. </w:t>
      </w:r>
    </w:p>
    <w:p w14:paraId="284BB9FC" w14:textId="7C2AB011" w:rsidR="00E46DB6" w:rsidRDefault="00EB3A6C" w:rsidP="00BB067B">
      <w:pPr>
        <w:pStyle w:val="Odlomakpopisa"/>
        <w:spacing w:line="276" w:lineRule="auto"/>
        <w:ind w:left="0"/>
        <w:contextualSpacing/>
        <w:jc w:val="both"/>
        <w:rPr>
          <w:sz w:val="22"/>
          <w:szCs w:val="22"/>
        </w:rPr>
      </w:pPr>
      <w:r w:rsidRPr="0021108D">
        <w:rPr>
          <w:sz w:val="22"/>
          <w:szCs w:val="22"/>
        </w:rPr>
        <w:t>P</w:t>
      </w:r>
      <w:r w:rsidR="001C2536" w:rsidRPr="0021108D">
        <w:rPr>
          <w:sz w:val="22"/>
          <w:szCs w:val="22"/>
        </w:rPr>
        <w:t>rihod od pomoći međunarodnih organizacija te institucija i tijela EU</w:t>
      </w:r>
      <w:r w:rsidR="000B09B2" w:rsidRPr="0021108D">
        <w:rPr>
          <w:sz w:val="22"/>
          <w:szCs w:val="22"/>
        </w:rPr>
        <w:t xml:space="preserve"> </w:t>
      </w:r>
      <w:r w:rsidR="00823447" w:rsidRPr="0021108D">
        <w:rPr>
          <w:sz w:val="22"/>
          <w:szCs w:val="22"/>
        </w:rPr>
        <w:t>realizirano</w:t>
      </w:r>
      <w:r w:rsidR="001C2536" w:rsidRPr="0021108D">
        <w:rPr>
          <w:sz w:val="22"/>
          <w:szCs w:val="22"/>
        </w:rPr>
        <w:t xml:space="preserve"> je u iznosu od </w:t>
      </w:r>
      <w:r w:rsidR="00887760">
        <w:rPr>
          <w:sz w:val="22"/>
          <w:szCs w:val="22"/>
        </w:rPr>
        <w:t>9.679,00</w:t>
      </w:r>
      <w:r w:rsidR="00F812D5">
        <w:rPr>
          <w:sz w:val="22"/>
          <w:szCs w:val="22"/>
        </w:rPr>
        <w:t xml:space="preserve"> </w:t>
      </w:r>
      <w:r w:rsidR="00086CA5" w:rsidRPr="0021108D">
        <w:rPr>
          <w:sz w:val="22"/>
          <w:szCs w:val="22"/>
        </w:rPr>
        <w:t>€.</w:t>
      </w:r>
      <w:r w:rsidR="00844FEF" w:rsidRPr="0021108D">
        <w:rPr>
          <w:sz w:val="22"/>
          <w:szCs w:val="22"/>
        </w:rPr>
        <w:t xml:space="preserve"> Prihod se odnosi na </w:t>
      </w:r>
      <w:r w:rsidR="0086522F">
        <w:rPr>
          <w:sz w:val="22"/>
          <w:szCs w:val="22"/>
        </w:rPr>
        <w:t>5</w:t>
      </w:r>
      <w:r w:rsidR="00844FEF" w:rsidRPr="0021108D">
        <w:rPr>
          <w:sz w:val="22"/>
          <w:szCs w:val="22"/>
        </w:rPr>
        <w:t xml:space="preserve"> projekta, na </w:t>
      </w:r>
      <w:r w:rsidR="003D5F60" w:rsidRPr="0021108D">
        <w:rPr>
          <w:sz w:val="22"/>
          <w:szCs w:val="22"/>
        </w:rPr>
        <w:t>projekt</w:t>
      </w:r>
      <w:r w:rsidR="00C8135A" w:rsidRPr="0021108D">
        <w:rPr>
          <w:sz w:val="22"/>
          <w:szCs w:val="22"/>
        </w:rPr>
        <w:t xml:space="preserve"> </w:t>
      </w:r>
      <w:r w:rsidR="00777B91" w:rsidRPr="00777B91">
        <w:rPr>
          <w:sz w:val="22"/>
          <w:szCs w:val="22"/>
        </w:rPr>
        <w:t>BRIDGE, BU.BI, ESCAPE, REGIONAL SYNERGY i EUROPA CINEMAS</w:t>
      </w:r>
      <w:r w:rsidR="00E46DB6">
        <w:rPr>
          <w:sz w:val="22"/>
          <w:szCs w:val="22"/>
        </w:rPr>
        <w:t>.</w:t>
      </w:r>
      <w:r w:rsidR="00777B91" w:rsidRPr="00777B91">
        <w:rPr>
          <w:sz w:val="22"/>
          <w:szCs w:val="22"/>
        </w:rPr>
        <w:t xml:space="preserve">  </w:t>
      </w:r>
    </w:p>
    <w:p w14:paraId="07D27FDE" w14:textId="0403FE9F" w:rsidR="001C2536" w:rsidRPr="0021108D" w:rsidRDefault="00F816EA" w:rsidP="00BB067B">
      <w:pPr>
        <w:pStyle w:val="Odlomakpopisa"/>
        <w:spacing w:line="276" w:lineRule="auto"/>
        <w:ind w:left="0"/>
        <w:contextualSpacing/>
        <w:jc w:val="both"/>
        <w:rPr>
          <w:sz w:val="22"/>
          <w:szCs w:val="22"/>
        </w:rPr>
      </w:pPr>
      <w:r w:rsidRPr="0021108D">
        <w:rPr>
          <w:sz w:val="22"/>
          <w:szCs w:val="22"/>
        </w:rPr>
        <w:lastRenderedPageBreak/>
        <w:t xml:space="preserve">Pomoći temeljem </w:t>
      </w:r>
      <w:r w:rsidR="00286D71" w:rsidRPr="0021108D">
        <w:rPr>
          <w:sz w:val="22"/>
          <w:szCs w:val="22"/>
        </w:rPr>
        <w:t>prijenosa EU</w:t>
      </w:r>
      <w:r w:rsidR="00E75F44" w:rsidRPr="0021108D">
        <w:rPr>
          <w:sz w:val="22"/>
          <w:szCs w:val="22"/>
        </w:rPr>
        <w:t xml:space="preserve"> </w:t>
      </w:r>
      <w:r w:rsidR="00286D71" w:rsidRPr="0021108D">
        <w:rPr>
          <w:sz w:val="22"/>
          <w:szCs w:val="22"/>
        </w:rPr>
        <w:t>realizirani</w:t>
      </w:r>
      <w:r w:rsidR="00E75F44" w:rsidRPr="0021108D">
        <w:rPr>
          <w:sz w:val="22"/>
          <w:szCs w:val="22"/>
        </w:rPr>
        <w:t xml:space="preserve"> su iznosu o</w:t>
      </w:r>
      <w:r w:rsidR="00D536B3" w:rsidRPr="0021108D">
        <w:rPr>
          <w:sz w:val="22"/>
          <w:szCs w:val="22"/>
        </w:rPr>
        <w:t xml:space="preserve">d </w:t>
      </w:r>
      <w:r w:rsidR="00AC09D6">
        <w:rPr>
          <w:sz w:val="22"/>
          <w:szCs w:val="22"/>
        </w:rPr>
        <w:t>9679,00</w:t>
      </w:r>
      <w:r w:rsidR="00286D71" w:rsidRPr="0021108D">
        <w:rPr>
          <w:sz w:val="22"/>
          <w:szCs w:val="22"/>
        </w:rPr>
        <w:t xml:space="preserve"> €</w:t>
      </w:r>
      <w:r w:rsidR="00675452" w:rsidRPr="0021108D">
        <w:rPr>
          <w:sz w:val="22"/>
          <w:szCs w:val="22"/>
        </w:rPr>
        <w:t>, a</w:t>
      </w:r>
      <w:r w:rsidR="000B09B2" w:rsidRPr="0021108D">
        <w:rPr>
          <w:sz w:val="22"/>
          <w:szCs w:val="22"/>
        </w:rPr>
        <w:t xml:space="preserve"> indeks izvršenja </w:t>
      </w:r>
      <w:r w:rsidR="008544DE" w:rsidRPr="0021108D">
        <w:rPr>
          <w:sz w:val="22"/>
          <w:szCs w:val="22"/>
        </w:rPr>
        <w:t xml:space="preserve">u odnosu na prošlu godinu </w:t>
      </w:r>
      <w:r w:rsidR="000B09B2" w:rsidRPr="0021108D">
        <w:rPr>
          <w:sz w:val="22"/>
          <w:szCs w:val="22"/>
        </w:rPr>
        <w:t xml:space="preserve">iznosi </w:t>
      </w:r>
      <w:r w:rsidR="00A3795F">
        <w:rPr>
          <w:sz w:val="22"/>
          <w:szCs w:val="22"/>
        </w:rPr>
        <w:t>109</w:t>
      </w:r>
      <w:r w:rsidR="000B09B2" w:rsidRPr="0021108D">
        <w:rPr>
          <w:sz w:val="22"/>
          <w:szCs w:val="22"/>
        </w:rPr>
        <w:t>%</w:t>
      </w:r>
      <w:r w:rsidR="00675452" w:rsidRPr="0021108D">
        <w:rPr>
          <w:sz w:val="22"/>
          <w:szCs w:val="22"/>
        </w:rPr>
        <w:t>.</w:t>
      </w:r>
      <w:r w:rsidR="00147085" w:rsidRPr="0021108D">
        <w:rPr>
          <w:sz w:val="22"/>
          <w:szCs w:val="22"/>
        </w:rPr>
        <w:t xml:space="preserve"> </w:t>
      </w:r>
      <w:r w:rsidR="00525DD1" w:rsidRPr="0021108D">
        <w:rPr>
          <w:sz w:val="22"/>
          <w:szCs w:val="22"/>
        </w:rPr>
        <w:t>Prihod se odnosi na projekte KOKU i GO DIGITAL.</w:t>
      </w:r>
    </w:p>
    <w:p w14:paraId="1B501234" w14:textId="3F06E664" w:rsidR="00705DC4" w:rsidRDefault="001A149D" w:rsidP="00705DC4">
      <w:pPr>
        <w:spacing w:line="276" w:lineRule="auto"/>
        <w:jc w:val="both"/>
        <w:rPr>
          <w:sz w:val="22"/>
          <w:szCs w:val="22"/>
        </w:rPr>
      </w:pPr>
      <w:r w:rsidRPr="0021108D">
        <w:rPr>
          <w:sz w:val="22"/>
          <w:szCs w:val="22"/>
        </w:rPr>
        <w:t xml:space="preserve">Učilište je ostvarilo </w:t>
      </w:r>
      <w:r w:rsidR="00A30B13" w:rsidRPr="0021108D">
        <w:rPr>
          <w:sz w:val="22"/>
          <w:szCs w:val="22"/>
        </w:rPr>
        <w:t>negativan</w:t>
      </w:r>
      <w:r w:rsidRPr="0021108D">
        <w:rPr>
          <w:sz w:val="22"/>
          <w:szCs w:val="22"/>
        </w:rPr>
        <w:t xml:space="preserve"> rezultat poslovanja od</w:t>
      </w:r>
      <w:r w:rsidR="00A30B13" w:rsidRPr="0021108D">
        <w:rPr>
          <w:sz w:val="22"/>
          <w:szCs w:val="22"/>
        </w:rPr>
        <w:t xml:space="preserve"> </w:t>
      </w:r>
      <w:r w:rsidR="008C374A" w:rsidRPr="0021108D">
        <w:rPr>
          <w:sz w:val="22"/>
          <w:szCs w:val="22"/>
        </w:rPr>
        <w:t>-</w:t>
      </w:r>
      <w:r w:rsidR="00B9249F">
        <w:rPr>
          <w:sz w:val="22"/>
          <w:szCs w:val="22"/>
        </w:rPr>
        <w:t>76.229,39</w:t>
      </w:r>
      <w:r w:rsidR="008C374A" w:rsidRPr="0021108D">
        <w:rPr>
          <w:sz w:val="22"/>
          <w:szCs w:val="22"/>
        </w:rPr>
        <w:t xml:space="preserve"> €</w:t>
      </w:r>
      <w:r w:rsidR="008C0A5D" w:rsidRPr="0021108D">
        <w:rPr>
          <w:sz w:val="22"/>
          <w:szCs w:val="22"/>
        </w:rPr>
        <w:t>. S obzirom na to da se dio prihod</w:t>
      </w:r>
      <w:r w:rsidR="004D108C">
        <w:rPr>
          <w:sz w:val="22"/>
          <w:szCs w:val="22"/>
        </w:rPr>
        <w:t xml:space="preserve">a </w:t>
      </w:r>
      <w:r w:rsidR="00916B95" w:rsidRPr="0021108D">
        <w:rPr>
          <w:sz w:val="22"/>
          <w:szCs w:val="22"/>
        </w:rPr>
        <w:t>na kraju godine</w:t>
      </w:r>
      <w:r w:rsidR="008C0A5D" w:rsidRPr="0021108D">
        <w:rPr>
          <w:sz w:val="22"/>
          <w:szCs w:val="22"/>
        </w:rPr>
        <w:t xml:space="preserve"> u sustavu riznice priznaje po načelu novčanog tijeka, </w:t>
      </w:r>
      <w:r w:rsidR="00781411" w:rsidRPr="0021108D">
        <w:rPr>
          <w:sz w:val="22"/>
          <w:szCs w:val="22"/>
        </w:rPr>
        <w:t xml:space="preserve">pozitivan </w:t>
      </w:r>
      <w:r w:rsidR="00916B95" w:rsidRPr="0021108D">
        <w:rPr>
          <w:sz w:val="22"/>
          <w:szCs w:val="22"/>
        </w:rPr>
        <w:t xml:space="preserve">rezultat poslovanja </w:t>
      </w:r>
      <w:r w:rsidR="00781411" w:rsidRPr="0021108D">
        <w:rPr>
          <w:sz w:val="22"/>
          <w:szCs w:val="22"/>
        </w:rPr>
        <w:t>postići će se u 2024.</w:t>
      </w:r>
      <w:r w:rsidR="00234073" w:rsidRPr="0021108D">
        <w:rPr>
          <w:sz w:val="22"/>
          <w:szCs w:val="22"/>
        </w:rPr>
        <w:t xml:space="preserve"> </w:t>
      </w:r>
      <w:r w:rsidR="00705DC4" w:rsidRPr="0021108D">
        <w:rPr>
          <w:sz w:val="22"/>
          <w:szCs w:val="22"/>
        </w:rPr>
        <w:t xml:space="preserve">Preneseni </w:t>
      </w:r>
      <w:r w:rsidR="000C35A4">
        <w:rPr>
          <w:sz w:val="22"/>
          <w:szCs w:val="22"/>
        </w:rPr>
        <w:t>višak</w:t>
      </w:r>
      <w:r w:rsidR="00705DC4" w:rsidRPr="0021108D">
        <w:rPr>
          <w:sz w:val="22"/>
          <w:szCs w:val="22"/>
        </w:rPr>
        <w:t xml:space="preserve"> prihoda poslovanja iz 202</w:t>
      </w:r>
      <w:r w:rsidR="000C35A4">
        <w:rPr>
          <w:sz w:val="22"/>
          <w:szCs w:val="22"/>
        </w:rPr>
        <w:t>3</w:t>
      </w:r>
      <w:r w:rsidR="00705DC4" w:rsidRPr="0021108D">
        <w:rPr>
          <w:sz w:val="22"/>
          <w:szCs w:val="22"/>
        </w:rPr>
        <w:t xml:space="preserve">. godine je </w:t>
      </w:r>
      <w:r w:rsidR="00A05313">
        <w:rPr>
          <w:sz w:val="22"/>
          <w:szCs w:val="22"/>
        </w:rPr>
        <w:t>49.885,66</w:t>
      </w:r>
      <w:r w:rsidR="00B9249F">
        <w:rPr>
          <w:sz w:val="22"/>
          <w:szCs w:val="22"/>
        </w:rPr>
        <w:t xml:space="preserve"> </w:t>
      </w:r>
      <w:r w:rsidR="00705DC4" w:rsidRPr="0021108D">
        <w:rPr>
          <w:sz w:val="22"/>
          <w:szCs w:val="22"/>
        </w:rPr>
        <w:t>€ te konačni rezultat poslovanja za 202</w:t>
      </w:r>
      <w:r w:rsidR="00B9249F">
        <w:rPr>
          <w:sz w:val="22"/>
          <w:szCs w:val="22"/>
        </w:rPr>
        <w:t>4</w:t>
      </w:r>
      <w:r w:rsidR="00705DC4" w:rsidRPr="0021108D">
        <w:rPr>
          <w:sz w:val="22"/>
          <w:szCs w:val="22"/>
        </w:rPr>
        <w:t xml:space="preserve">. iznosi </w:t>
      </w:r>
      <w:r w:rsidR="00721F37">
        <w:rPr>
          <w:sz w:val="22"/>
          <w:szCs w:val="22"/>
        </w:rPr>
        <w:t>-</w:t>
      </w:r>
      <w:r w:rsidR="00B9249F">
        <w:rPr>
          <w:sz w:val="22"/>
          <w:szCs w:val="22"/>
        </w:rPr>
        <w:t>26.</w:t>
      </w:r>
      <w:r w:rsidR="00AA6D93">
        <w:rPr>
          <w:sz w:val="22"/>
          <w:szCs w:val="22"/>
        </w:rPr>
        <w:t xml:space="preserve">373,39 </w:t>
      </w:r>
      <w:r w:rsidR="00705DC4" w:rsidRPr="0021108D">
        <w:rPr>
          <w:sz w:val="22"/>
          <w:szCs w:val="22"/>
        </w:rPr>
        <w:t xml:space="preserve">€. </w:t>
      </w:r>
    </w:p>
    <w:p w14:paraId="21CC3BC8" w14:textId="77777777" w:rsidR="005D0A7B" w:rsidRDefault="005D0A7B" w:rsidP="00705DC4">
      <w:pPr>
        <w:spacing w:line="276" w:lineRule="auto"/>
        <w:jc w:val="both"/>
        <w:rPr>
          <w:sz w:val="22"/>
          <w:szCs w:val="22"/>
        </w:rPr>
      </w:pPr>
    </w:p>
    <w:p w14:paraId="6C0DBD30" w14:textId="77777777" w:rsidR="00160489" w:rsidRPr="00160489" w:rsidRDefault="00160489" w:rsidP="00160489">
      <w:pPr>
        <w:jc w:val="both"/>
        <w:rPr>
          <w:sz w:val="22"/>
          <w:szCs w:val="22"/>
        </w:rPr>
      </w:pPr>
      <w:r w:rsidRPr="00160489">
        <w:rPr>
          <w:sz w:val="22"/>
          <w:szCs w:val="22"/>
        </w:rPr>
        <w:t xml:space="preserve">Glazbeno-scenska djelatnost Pučkog otvorenog učilišta Koprivnica je tijekom 2024. godine provodila programe koji su realizirani uz podršku proračunskih sredstava Grada Koprivnice, Ministarstva kulture i medija Republike Hrvatske, Hrvatske udruge za zaštitu izvođačkih prava, sredstvima Koprivničko-križevačke županije te vlastitim sredstvima. Suradnja je ostvarena s kazališnim kućama, umjetničkim organizacijama, glazbenim umjetnicima iz Hrvatske i inozemstva, udrugama i amaterskim društvima. </w:t>
      </w:r>
    </w:p>
    <w:p w14:paraId="661FD7DE" w14:textId="5B1EF0EC" w:rsidR="00160489" w:rsidRPr="00160489" w:rsidRDefault="00160489" w:rsidP="00160489">
      <w:pPr>
        <w:jc w:val="both"/>
        <w:rPr>
          <w:sz w:val="22"/>
          <w:szCs w:val="22"/>
        </w:rPr>
      </w:pPr>
      <w:r w:rsidRPr="00160489">
        <w:rPr>
          <w:sz w:val="22"/>
          <w:szCs w:val="22"/>
        </w:rPr>
        <w:t>Tijekom 202</w:t>
      </w:r>
      <w:r w:rsidR="005C6626">
        <w:rPr>
          <w:sz w:val="22"/>
          <w:szCs w:val="22"/>
        </w:rPr>
        <w:t>4</w:t>
      </w:r>
      <w:r w:rsidRPr="00160489">
        <w:rPr>
          <w:sz w:val="22"/>
          <w:szCs w:val="22"/>
        </w:rPr>
        <w:t xml:space="preserve">. godine ukupno je realizirano 20 kazališnih predstava za građanstvo, u 22 izvedbe od kojih: 12 kazališnih predstava za djecu u 14 izvedbi koje je posjetilo 2737 gledatelja, dok je na 8 kazališnih predstava u 8 izvedbi organiziranima za odrasle bilo </w:t>
      </w:r>
      <w:r w:rsidR="005C6626">
        <w:rPr>
          <w:sz w:val="22"/>
          <w:szCs w:val="22"/>
        </w:rPr>
        <w:t>1.</w:t>
      </w:r>
      <w:r w:rsidRPr="00160489">
        <w:rPr>
          <w:sz w:val="22"/>
          <w:szCs w:val="22"/>
        </w:rPr>
        <w:t>386 gledatelja, što ukupno čini 4</w:t>
      </w:r>
      <w:r w:rsidR="005C6626">
        <w:rPr>
          <w:sz w:val="22"/>
          <w:szCs w:val="22"/>
        </w:rPr>
        <w:t>.</w:t>
      </w:r>
      <w:r w:rsidRPr="00160489">
        <w:rPr>
          <w:sz w:val="22"/>
          <w:szCs w:val="22"/>
        </w:rPr>
        <w:t>123 gledatelja.</w:t>
      </w:r>
    </w:p>
    <w:p w14:paraId="6EA93C2F" w14:textId="77777777" w:rsidR="00160489" w:rsidRPr="00160489" w:rsidRDefault="00160489" w:rsidP="00160489">
      <w:pPr>
        <w:jc w:val="both"/>
        <w:rPr>
          <w:sz w:val="22"/>
          <w:szCs w:val="22"/>
        </w:rPr>
      </w:pPr>
      <w:r w:rsidRPr="00160489">
        <w:rPr>
          <w:sz w:val="22"/>
          <w:szCs w:val="22"/>
        </w:rPr>
        <w:t xml:space="preserve">Što se tiče glazbenog dijela programa, organizirali smo 4 koncerta. Ukupno je na tim koncertima bilo 837 posjetitelja. </w:t>
      </w:r>
    </w:p>
    <w:p w14:paraId="6D76BD6D" w14:textId="4D0D81CC" w:rsidR="00160489" w:rsidRPr="00160489" w:rsidRDefault="00160489" w:rsidP="00160489">
      <w:pPr>
        <w:jc w:val="both"/>
        <w:rPr>
          <w:sz w:val="22"/>
          <w:szCs w:val="22"/>
        </w:rPr>
      </w:pPr>
      <w:r w:rsidRPr="00160489">
        <w:rPr>
          <w:sz w:val="22"/>
          <w:szCs w:val="22"/>
        </w:rPr>
        <w:t>Za djecu koja pohađaju dječje vrtiće i učenike osnovnih škola s područja Koprivničko-križevačke županije i grada Koprivnice tijekom 2024. godine organizirali smo 12 predstava u 14 izvedbi koje je pogledalo 2</w:t>
      </w:r>
      <w:r w:rsidR="005C6626">
        <w:rPr>
          <w:sz w:val="22"/>
          <w:szCs w:val="22"/>
        </w:rPr>
        <w:t>.</w:t>
      </w:r>
      <w:r w:rsidRPr="00160489">
        <w:rPr>
          <w:sz w:val="22"/>
          <w:szCs w:val="22"/>
        </w:rPr>
        <w:t>737 djece.</w:t>
      </w:r>
    </w:p>
    <w:p w14:paraId="7F4DDD3B" w14:textId="77777777" w:rsidR="00160489" w:rsidRPr="00160489" w:rsidRDefault="00160489" w:rsidP="00160489">
      <w:pPr>
        <w:jc w:val="both"/>
        <w:rPr>
          <w:sz w:val="22"/>
          <w:szCs w:val="22"/>
        </w:rPr>
      </w:pPr>
      <w:r w:rsidRPr="00160489">
        <w:rPr>
          <w:sz w:val="22"/>
          <w:szCs w:val="22"/>
        </w:rPr>
        <w:t xml:space="preserve">Obilježili smo Noć kazališta 2024. dječjom predstavom „Bajka o zlatnoj ribici“ kazališta Prijatelj. </w:t>
      </w:r>
    </w:p>
    <w:p w14:paraId="692D0A28" w14:textId="77777777" w:rsidR="00160489" w:rsidRPr="00160489" w:rsidRDefault="00160489" w:rsidP="00160489">
      <w:pPr>
        <w:jc w:val="both"/>
        <w:rPr>
          <w:sz w:val="22"/>
          <w:szCs w:val="22"/>
        </w:rPr>
      </w:pPr>
      <w:r w:rsidRPr="00160489">
        <w:rPr>
          <w:sz w:val="22"/>
          <w:szCs w:val="22"/>
        </w:rPr>
        <w:t xml:space="preserve">Ministarstvo kulture i medija sufinanciralo je programe kazališne djelatnosti s 3.000,00 EUR i koncertne djelatnosti s 2.500,00 EUR, dok smo od Koprivničko-križevačke županije dobili 1.000,00 EUR za projekt „Snovi igrom postaju stvarni“ te  600,00 EUR za predstavu „Kad svijeće dogore“. </w:t>
      </w:r>
    </w:p>
    <w:p w14:paraId="42AD413F" w14:textId="77777777" w:rsidR="00DC35F8" w:rsidRDefault="00DC35F8" w:rsidP="0043265E">
      <w:pPr>
        <w:spacing w:line="276" w:lineRule="auto"/>
        <w:contextualSpacing/>
        <w:jc w:val="both"/>
        <w:rPr>
          <w:sz w:val="22"/>
          <w:szCs w:val="22"/>
        </w:rPr>
      </w:pPr>
    </w:p>
    <w:p w14:paraId="2676FD0D" w14:textId="4F04187C" w:rsidR="00427EE6" w:rsidRDefault="00427EE6" w:rsidP="0043265E">
      <w:pPr>
        <w:spacing w:line="276" w:lineRule="auto"/>
        <w:contextualSpacing/>
        <w:jc w:val="both"/>
        <w:rPr>
          <w:sz w:val="22"/>
          <w:szCs w:val="22"/>
        </w:rPr>
      </w:pPr>
      <w:r w:rsidRPr="00427EE6">
        <w:rPr>
          <w:sz w:val="22"/>
          <w:szCs w:val="22"/>
        </w:rPr>
        <w:t>U kinu Velebit se u 2024.godini održalo se 24 različita programa. Uz već tradicionalno obilježavanje Međunarodnog dana sjećanja na žrtve holokausta, Ženijalne dane, Reviju frankofonog filma, ciklusa Rendez-vous au cinema, cikluse festivalskih filmova (njih 7), Ljetnog kina pod zvijezdama, obilježavanje Svjetskog dana audiovizualne baštine, održao se  i Mjesec našeg filma ( program hrvatskih filmova). Održane su i dvije koprivničke premijere filmova uz dolazak filmske ekipe: film „Šalša“ redatelja predstavili su redatelj Dražen Žarković, glumac Momčilo Otašević, glumica Ivana Gulin i producentica Ana Grbac, a film „Proslava“ (osvojio Veliku zlatnu arenu za najbolji hrvatski film te Zlatne arene za scenarij, najbolju mušku ulogu i fotografiju te nagradu Kino mreže), predstavili su redatelj Bruno Anković, književnik Damir Karakaš, location manager Ante Gašpar te glumica Klara Fiolić. Koprivnica je, uz još samo Rijeku, Split, Zagreb i Gospić imala čast ugostiti filmsku ekipu Proslave. Održane su 4 senzorne projekcije s 259 gledatelja.</w:t>
      </w:r>
    </w:p>
    <w:p w14:paraId="24CB7F9A" w14:textId="77777777" w:rsidR="00427EE6" w:rsidRDefault="00427EE6" w:rsidP="00427EE6">
      <w:pPr>
        <w:spacing w:line="276" w:lineRule="auto"/>
        <w:contextualSpacing/>
        <w:jc w:val="both"/>
        <w:rPr>
          <w:sz w:val="22"/>
          <w:szCs w:val="22"/>
        </w:rPr>
      </w:pPr>
      <w:r w:rsidRPr="00427EE6">
        <w:rPr>
          <w:sz w:val="22"/>
          <w:szCs w:val="22"/>
        </w:rPr>
        <w:t>Festival poljskog filma po prvi put je održan u kinu Velebit u prosincu. Glavni organizator je poljska Zaklada “Nowa Przestrzeń” iz Varšave, a partner Zaklade je Poljsku kulturnu udrugu “Polonez” iz Splita koja je suorganizator festivala. Festival poljskih filmova se već nekoliko godina održava u Splitu, održao se i u Puli, Rijeci, Varaždinu, a sada se priključuje i kino Velebit. Festival je započeo s tri naslova u prosincu (Dvojnik, Subuk i Kruh i sol), a nastavio se u siječnju 2025. godine.</w:t>
      </w:r>
    </w:p>
    <w:p w14:paraId="23284ACF" w14:textId="77777777" w:rsidR="00903C5E" w:rsidRPr="00427EE6" w:rsidRDefault="00903C5E" w:rsidP="00427EE6">
      <w:pPr>
        <w:spacing w:line="276" w:lineRule="auto"/>
        <w:contextualSpacing/>
        <w:jc w:val="both"/>
        <w:rPr>
          <w:sz w:val="22"/>
          <w:szCs w:val="22"/>
        </w:rPr>
      </w:pPr>
    </w:p>
    <w:p w14:paraId="2DEAEB8C" w14:textId="77777777" w:rsidR="00427EE6" w:rsidRPr="00427EE6" w:rsidRDefault="00427EE6" w:rsidP="00427EE6">
      <w:pPr>
        <w:spacing w:line="276" w:lineRule="auto"/>
        <w:contextualSpacing/>
        <w:jc w:val="both"/>
        <w:rPr>
          <w:sz w:val="22"/>
          <w:szCs w:val="22"/>
        </w:rPr>
      </w:pPr>
      <w:r w:rsidRPr="00427EE6">
        <w:rPr>
          <w:sz w:val="22"/>
          <w:szCs w:val="22"/>
        </w:rPr>
        <w:t>Novost u kinu Velebit bila je  i  Noć europske kinematografije (na poziv udruženja Europa Cinemas,uz još dva kina u Hrvatskoj). Gledatelji su u kinu Velebit pogledali projekciju fima “Još jedna runda” Thomasa Vinterberga, poslušali kratko predavanje Mire Frakića o stvaralaštvu toga redatelja te sudjelovali u razgovoru o vidljivosti europskog filma na kojem je, uz Miru Frakića, sudjelovala i Martina Petrović, voditeljica MEDIA Deska Hrvatske.</w:t>
      </w:r>
    </w:p>
    <w:p w14:paraId="285B20F8" w14:textId="77777777" w:rsidR="00427EE6" w:rsidRDefault="00427EE6" w:rsidP="00427EE6">
      <w:pPr>
        <w:spacing w:line="276" w:lineRule="auto"/>
        <w:contextualSpacing/>
        <w:jc w:val="both"/>
        <w:rPr>
          <w:sz w:val="22"/>
          <w:szCs w:val="22"/>
        </w:rPr>
      </w:pPr>
      <w:r w:rsidRPr="00427EE6">
        <w:rPr>
          <w:sz w:val="22"/>
          <w:szCs w:val="22"/>
        </w:rPr>
        <w:t>Po prvi puta održao se i EDU ART Festival, koji je zamišljen kao edukativni segment festivala DA2 - ZAGREB DESIGN, ART &amp; ARCHITECTURE FILM FESTIVAL. Festival organizira Udruga Paripikule, i ideja je ponuditi fakultetima i školama koji su na neki način povezani s umjetničkim sadržajem, projekcije filmova koji su bili prikazani na prethodnim izdanjima festivala. Tako su studenti Sveučilišta Sjever pogledali film Richard Leplastrier: Oblikovanje perspektive.</w:t>
      </w:r>
    </w:p>
    <w:p w14:paraId="0834DE29" w14:textId="77777777" w:rsidR="00903C5E" w:rsidRPr="00427EE6" w:rsidRDefault="00903C5E" w:rsidP="00427EE6">
      <w:pPr>
        <w:spacing w:line="276" w:lineRule="auto"/>
        <w:contextualSpacing/>
        <w:jc w:val="both"/>
        <w:rPr>
          <w:sz w:val="22"/>
          <w:szCs w:val="22"/>
        </w:rPr>
      </w:pPr>
    </w:p>
    <w:p w14:paraId="3CBE1A5C" w14:textId="4B0C8C08" w:rsidR="00427EE6" w:rsidRDefault="00427EE6" w:rsidP="00427EE6">
      <w:pPr>
        <w:spacing w:line="276" w:lineRule="auto"/>
        <w:contextualSpacing/>
        <w:jc w:val="both"/>
        <w:rPr>
          <w:sz w:val="22"/>
          <w:szCs w:val="22"/>
        </w:rPr>
      </w:pPr>
      <w:r w:rsidRPr="00427EE6">
        <w:rPr>
          <w:sz w:val="22"/>
          <w:szCs w:val="22"/>
        </w:rPr>
        <w:t>Ukupan broj posjetitelja na posebnim programima bio je 5.380. Na Ljetno kino pod zvijezdama otpada 2.160 gledatelja, što daje brojku od 3.220 gledatelja na ostalim programima.  Ukupno je bilo prikazano 101 dugometražni naslov. To nam govori da su Koprivničanci počeli prepoznavati kvalitetu filmova u ciklusima festivalaca, ciklusima autora te drugim programima.</w:t>
      </w:r>
    </w:p>
    <w:p w14:paraId="285BC368" w14:textId="77777777" w:rsidR="00427EE6" w:rsidRDefault="00427EE6" w:rsidP="00427EE6">
      <w:pPr>
        <w:spacing w:line="276" w:lineRule="auto"/>
        <w:contextualSpacing/>
        <w:jc w:val="both"/>
        <w:rPr>
          <w:sz w:val="22"/>
          <w:szCs w:val="22"/>
        </w:rPr>
      </w:pPr>
    </w:p>
    <w:p w14:paraId="6D822F34" w14:textId="77777777" w:rsidR="00427EE6" w:rsidRDefault="00427EE6" w:rsidP="0043265E">
      <w:pPr>
        <w:spacing w:line="276" w:lineRule="auto"/>
        <w:contextualSpacing/>
        <w:jc w:val="both"/>
        <w:rPr>
          <w:sz w:val="22"/>
          <w:szCs w:val="22"/>
        </w:rPr>
      </w:pPr>
    </w:p>
    <w:p w14:paraId="56E4E5C5" w14:textId="77777777" w:rsidR="00903C5E" w:rsidRPr="0021108D" w:rsidRDefault="00903C5E" w:rsidP="0043265E">
      <w:pPr>
        <w:spacing w:line="276" w:lineRule="auto"/>
        <w:contextualSpacing/>
        <w:jc w:val="both"/>
        <w:rPr>
          <w:sz w:val="22"/>
          <w:szCs w:val="22"/>
        </w:rPr>
      </w:pPr>
    </w:p>
    <w:p w14:paraId="2B37E3A1" w14:textId="77777777" w:rsidR="003D2DCC" w:rsidRPr="003D2DCC" w:rsidRDefault="003D2DCC" w:rsidP="003D2DCC">
      <w:pPr>
        <w:jc w:val="both"/>
        <w:rPr>
          <w:sz w:val="22"/>
          <w:szCs w:val="22"/>
        </w:rPr>
      </w:pPr>
      <w:r w:rsidRPr="003D2DCC">
        <w:rPr>
          <w:sz w:val="22"/>
          <w:szCs w:val="22"/>
        </w:rPr>
        <w:lastRenderedPageBreak/>
        <w:t>U 2024. godini, rekordnoj u posljednjih pet godina, u POU Koprivnica je obrazovne programe, verificirane i neverificirane te tečajeve, radionice i predavanja pohađalo 936 polaznika u 59 grupa.</w:t>
      </w:r>
    </w:p>
    <w:p w14:paraId="1A245276" w14:textId="77777777" w:rsidR="003D2DCC" w:rsidRDefault="003D2DCC" w:rsidP="003D2DCC">
      <w:pPr>
        <w:jc w:val="both"/>
        <w:rPr>
          <w:sz w:val="22"/>
          <w:szCs w:val="22"/>
        </w:rPr>
      </w:pPr>
      <w:r w:rsidRPr="003D2DCC">
        <w:rPr>
          <w:sz w:val="22"/>
          <w:szCs w:val="22"/>
        </w:rPr>
        <w:t xml:space="preserve">Od verificiranih programa izrađenih prema „staroj“ metodologiji provodili smo jedino program osposobljavanja za poslove dadilje, i to za 3 grupe od ukupno 40 polaznika. Od verificiranih programa izrađenih prema novoj metodologiji, koji se mogu financirati putem vaučera za obrazovanje HZZ-a za zaposlene i nezaposlene osobe, provodili smo sljedeće programe: program obrazovanja za stjecanje mikrokvalifikacije internet marketing i brendiranje za 2 grupe od ukupno 23 polaznika, program obrazovanja za stjecanje mikrokvalifikacije rukovanje viličarom u skladišnom prostoru za grupu od 5 polaznika, program obrazovanja za stjecanje mikrokvalifikacije rukovanje viličarom u logistici i prometu za grupu od 3 polaznika, program obrazovanja za stjecanje djelomične kvalifikacije knjigovođa/knjigovotkinja za grupu od 8 polaznika, program obrazovanja za stjecanje djelomične kvalifikacije njegovatelj/njegovateljica u institucionalnoj i izvaninstitucionalnoj skrbi o starijim i nemoćnim osobama za grupu od 7 polaznika, program obrazovanja za stjecanje djelomične kvalifikacije pomoćnik u nastavi/pomoćnica u nastavi za 3 grupe od ukupno 61 polaznika, program obrazovanja za stjecanje mikrokvalifikacije klasične i korektivne tehnike šminkanja za grupu od 11 polaznika. </w:t>
      </w:r>
    </w:p>
    <w:p w14:paraId="58D90F9F" w14:textId="77777777" w:rsidR="00903C5E" w:rsidRPr="003D2DCC" w:rsidRDefault="00903C5E" w:rsidP="003D2DCC">
      <w:pPr>
        <w:jc w:val="both"/>
        <w:rPr>
          <w:sz w:val="22"/>
          <w:szCs w:val="22"/>
        </w:rPr>
      </w:pPr>
    </w:p>
    <w:p w14:paraId="7E7C2A77" w14:textId="09EBD1FA" w:rsidR="003D2DCC" w:rsidRDefault="003D2DCC" w:rsidP="003D2DCC">
      <w:pPr>
        <w:jc w:val="both"/>
        <w:rPr>
          <w:sz w:val="22"/>
          <w:szCs w:val="22"/>
        </w:rPr>
      </w:pPr>
      <w:r w:rsidRPr="00803E66">
        <w:rPr>
          <w:sz w:val="22"/>
          <w:szCs w:val="22"/>
        </w:rPr>
        <w:t>Organizirali smo i program osnovnog obrazovanja odraslih, i to 7. razred za 5 polaznika te 8. razred za 11 polaznika.</w:t>
      </w:r>
    </w:p>
    <w:p w14:paraId="43DBAF6F" w14:textId="77777777" w:rsidR="00903C5E" w:rsidRPr="00803E66" w:rsidRDefault="00903C5E" w:rsidP="003D2DCC">
      <w:pPr>
        <w:jc w:val="both"/>
        <w:rPr>
          <w:sz w:val="22"/>
          <w:szCs w:val="22"/>
        </w:rPr>
      </w:pPr>
    </w:p>
    <w:p w14:paraId="7C7620DF" w14:textId="77777777" w:rsidR="003D2DCC" w:rsidRDefault="003D2DCC" w:rsidP="003D2DCC">
      <w:pPr>
        <w:jc w:val="both"/>
        <w:rPr>
          <w:sz w:val="22"/>
          <w:szCs w:val="22"/>
        </w:rPr>
      </w:pPr>
      <w:r w:rsidRPr="00803E66">
        <w:rPr>
          <w:sz w:val="22"/>
          <w:szCs w:val="22"/>
        </w:rPr>
        <w:t xml:space="preserve">Od neverificiranih programa (tečajeva, edukacija i radionica) proveli smo sljedeće: tečaj crtanja i slikanja za djecu od predškolskog uzrasta do 6. razreda osnovne škole za 2 grupe polaznika od ukupno 26 polaznika, 4 ciklusa edukacije za pomoćnika u nastavi u trajanju od 20 nastavnih sati za ukupno 8 polaznika, psihodramske radionice za osobni rast i razvoj pod vodstvom psihoterapeutkinje koje su se do kraja lipnja održavale jednom tjedno i koje je pohađalo 5 polaznika, </w:t>
      </w:r>
      <w:r w:rsidRPr="00427EE6">
        <w:rPr>
          <w:sz w:val="22"/>
          <w:szCs w:val="22"/>
        </w:rPr>
        <w:t>„</w:t>
      </w:r>
      <w:hyperlink r:id="rId14" w:tooltip="Obogati se znanjem – radionica Tonija Miluna" w:history="1">
        <w:r w:rsidRPr="00427EE6">
          <w:rPr>
            <w:rStyle w:val="Hiperveza"/>
            <w:color w:val="auto"/>
            <w:sz w:val="22"/>
            <w:szCs w:val="22"/>
            <w:u w:val="none"/>
          </w:rPr>
          <w:t>Obogati se znanjem“ – radionicu financijske pismenosti Tonija Miluna</w:t>
        </w:r>
      </w:hyperlink>
      <w:r w:rsidRPr="00427EE6">
        <w:rPr>
          <w:sz w:val="22"/>
          <w:szCs w:val="22"/>
        </w:rPr>
        <w:t xml:space="preserve"> </w:t>
      </w:r>
      <w:r w:rsidRPr="00803E66">
        <w:rPr>
          <w:sz w:val="22"/>
          <w:szCs w:val="22"/>
        </w:rPr>
        <w:t>za 268 polaznika, početni tečaj krojenja i šivanja za 2 grupe od 16 polaznika, mini tečaj crtanja i slikanja za grupu od 9 polaznika, mini tečaj šivanja i izrade torbi za grupu od 11 polaznika, individualni konverzacijski tečaj engleskog jezika, radionicu „Dan sretnosti“ za 31 polaznika, radionicu španjolskog jezika i kulture za 14 polaznika, tečaj naprednog Excela za 2 grupe od ukupno 3 polaznika, radionicu „Tips&amp;tricks u postupcima provedbe jednostavnih nabava“ za 14 polaznika, radionicu „Terapija pokretom i plesom“ za 11 polaznika, kratki tečaj krojenja i šivanja „Mali modni dizajneri“ za grupu od 4 polaznika, kratki tečaj heklanja za djecu za grupu od 3 polaznika, radionicu „Znakovni jezik – osnove komunikacije na hrvatskom znakovnom jeziku“ za 15 polaznika, „Capoeira – plesnu radionicu“ za 13 polaznika, radionicu „Lov na blago“ za 3 grupe od ukupno 55 polaznika, foto i video tečaj za grupu od 3 polaznika, tečaj čitanja i učenja pomoću mentalnih mapa za grupu od 9 polaznika, tečaj programiranja i robotike za grupu od 12 polaznika, tečaj Mindfulness za djecu za grupu od 9 polaznika, dramsku radionicu „Morska avantura“ za 14 polaznika, individualni tečaj Excela, tečaj hrvatskog jezika za strance za 2 grupe od ukupno 27 polaznika, kratki tečaj iz osnova Excela za grupu od 22 polaznika.</w:t>
      </w:r>
    </w:p>
    <w:p w14:paraId="1C14CC16" w14:textId="77777777" w:rsidR="00903C5E" w:rsidRPr="00803E66" w:rsidRDefault="00903C5E" w:rsidP="003D2DCC">
      <w:pPr>
        <w:jc w:val="both"/>
        <w:rPr>
          <w:sz w:val="22"/>
          <w:szCs w:val="22"/>
        </w:rPr>
      </w:pPr>
    </w:p>
    <w:p w14:paraId="2B55E432" w14:textId="59B5A487" w:rsidR="003D2DCC" w:rsidRDefault="003D2DCC" w:rsidP="003D2DCC">
      <w:pPr>
        <w:jc w:val="both"/>
        <w:rPr>
          <w:sz w:val="22"/>
          <w:szCs w:val="22"/>
        </w:rPr>
      </w:pPr>
      <w:r w:rsidRPr="00803E66">
        <w:rPr>
          <w:sz w:val="22"/>
          <w:szCs w:val="22"/>
        </w:rPr>
        <w:t>U okviru 18. Tjedna cjeloživotnog učenja POU Koprivnica je imalo ulogu županijskog koordinatora za Koprivničko-križevačku županiju te je organiziralo i 11 besplatnih radionica na kojima je sudjelovalo ukupno 163 sudionika. </w:t>
      </w:r>
      <w:bookmarkStart w:id="16" w:name="_Toc94616697"/>
      <w:bookmarkStart w:id="17" w:name="_Toc771828"/>
      <w:bookmarkStart w:id="18" w:name="_Toc189141693"/>
    </w:p>
    <w:p w14:paraId="5C2BA396" w14:textId="77777777" w:rsidR="00903C5E" w:rsidRPr="00803E66" w:rsidRDefault="00903C5E" w:rsidP="003D2DCC">
      <w:pPr>
        <w:jc w:val="both"/>
        <w:rPr>
          <w:sz w:val="22"/>
          <w:szCs w:val="22"/>
        </w:rPr>
      </w:pPr>
    </w:p>
    <w:p w14:paraId="19202C15" w14:textId="77777777" w:rsidR="003D2DCC" w:rsidRPr="00803E66" w:rsidRDefault="003D2DCC" w:rsidP="003D2DCC">
      <w:pPr>
        <w:jc w:val="both"/>
        <w:rPr>
          <w:sz w:val="22"/>
          <w:szCs w:val="22"/>
        </w:rPr>
      </w:pPr>
      <w:r w:rsidRPr="00803E66">
        <w:rPr>
          <w:sz w:val="22"/>
          <w:szCs w:val="22"/>
        </w:rPr>
        <w:t>Što se tiče međunarodne aktivnosti POU Koprivnica u EU projektima</w:t>
      </w:r>
      <w:bookmarkEnd w:id="16"/>
      <w:bookmarkEnd w:id="17"/>
      <w:bookmarkEnd w:id="18"/>
      <w:r w:rsidRPr="00803E66">
        <w:rPr>
          <w:sz w:val="22"/>
          <w:szCs w:val="22"/>
        </w:rPr>
        <w:t>, projekt Escape to happiness, odobren u okviru programa Erasmus+ KA2, traje do 30. travnja 2025. godine. Nositelj projekta je Zasavska ljudska univerza iz Trbovlja u Sloveniji, a partneri su, osim iz Slovenije i POU Koprivnica, iz Finske, Portugala, Bosne i Hercegovine, Cipra i Italije. Svrha dvogodišnjeg projekta je razviti inovativne koncepte i metode obrazovanja za odrasle, koje će se fokusirati na postizanje većeg zadovoljstva samim sobom kod odraslih polaznika. Tijekom 2024. godine partneri su izradili zagonetke koje su postale dio kreirane interaktivne logičke igrice Soba za bijeg, izrađeno je 8 modula programa osposobljavanja za odrasle u svrhu postizanja opće dobrobiti odraslih polaznika, održana je trodnevna LTT aktivnost na Cipru u okviru koje su sami treneri testirali sve module, a krajem godine je održana i mobilnost odraslih polaznika u Torinu tijekom koje su i polaznici sudjelovali u svim radionicama kreiranima u okviru modula te tako testirali čitav program osposobljavanja. Ukupni proračun projekta je 250.424,00 EUR, od čega dio od POU Koprivnica iznosi 24.034,00 EUR.</w:t>
      </w:r>
    </w:p>
    <w:p w14:paraId="0247D3E9" w14:textId="77777777" w:rsidR="003D2DCC" w:rsidRPr="00803E66" w:rsidRDefault="003D2DCC" w:rsidP="003D2DCC">
      <w:pPr>
        <w:jc w:val="both"/>
        <w:rPr>
          <w:sz w:val="22"/>
          <w:szCs w:val="22"/>
        </w:rPr>
      </w:pPr>
      <w:r w:rsidRPr="00803E66">
        <w:rPr>
          <w:sz w:val="22"/>
          <w:szCs w:val="22"/>
        </w:rPr>
        <w:t>31. kolovoza 2024. godine završio je jednogodišnji projekt Go digital!, koji je odobren Učilištu iz programa Erasmus+ KA1. Cilj projekta je bio jačanje digitalnih znanja i vještina u svrhu što bolje prilagodbe digitalnom dobu. U okviru projekta dvoje djelatnika i dva vanjska suradnika pohađala su tri različita tečaja s ciljem jačanja digitalnih vještina i upoznavanja s najmodernijim digitalnim alatima, kako bi ih primijenili u svom radu u Učilištu. Po povratku s tečajeva svoje novo znanje prenijeli su ostalim djelatnicima Učilišta. Ukupni proračun projekta iznosio je 9.050,00 EUR. Završno izvješće je poslano prema Agenciji za mobilnost i programe EU u listopadu 2024. te je odobreno u prosincu 2024.</w:t>
      </w:r>
    </w:p>
    <w:p w14:paraId="1899408D" w14:textId="77777777" w:rsidR="003D2DCC" w:rsidRPr="00803E66" w:rsidRDefault="003D2DCC" w:rsidP="003D2DCC">
      <w:pPr>
        <w:jc w:val="both"/>
        <w:rPr>
          <w:sz w:val="22"/>
          <w:szCs w:val="22"/>
        </w:rPr>
      </w:pPr>
      <w:r w:rsidRPr="00803E66">
        <w:rPr>
          <w:sz w:val="22"/>
          <w:szCs w:val="22"/>
        </w:rPr>
        <w:t>Projekt Regional Synergy for New Cinema Going Experience iz programa COLLABORATE TO INNOVATE trajao je do 15. lipnja 2024. godine. Nositelj projekta je bilo kino u okviru Otvorenog univerziteta Subotica (Bioskop Eurocinema), a partnerske organizacije iz Mađarske (kino Belvárosi Mozi), Slovenije (Mestni Kino Ptuj) i Hrvatske (kino Velebit). Cilj projekta je bila uspostava regionalne kino mreže kako bi se stvorio novi model približavanja kina mladoj publici s ciljem povećanja potražnje za europskim filmovima. Ukupni proračun projekta bio je 104.265,00 EUR, od čega dio od POU Koprivnica iznosi 19.474,65 EUR.</w:t>
      </w:r>
    </w:p>
    <w:p w14:paraId="4A4E2FD3" w14:textId="77777777" w:rsidR="003D2DCC" w:rsidRPr="00803E66" w:rsidRDefault="003D2DCC" w:rsidP="003D2DCC">
      <w:pPr>
        <w:jc w:val="both"/>
        <w:rPr>
          <w:sz w:val="22"/>
          <w:szCs w:val="22"/>
        </w:rPr>
      </w:pPr>
      <w:r w:rsidRPr="00803E66">
        <w:rPr>
          <w:sz w:val="22"/>
          <w:szCs w:val="22"/>
        </w:rPr>
        <w:t xml:space="preserve">Projekt „Beyond lack of Understanding, Beyond disInformation“ iz Erasmus+ KA2 programa traje do 31. listopada 2025. godine. Nositelj projekta je SOCIETA’ COOPERATIVA A.FO.RI.S.MA, a partneri su, osim POU Koprivnica, </w:t>
      </w:r>
      <w:r w:rsidRPr="00803E66">
        <w:rPr>
          <w:sz w:val="22"/>
          <w:szCs w:val="22"/>
        </w:rPr>
        <w:lastRenderedPageBreak/>
        <w:t>iz Italije, Grčke i Slovenije. Cilj projekta je bolje upoznati funkcionalnu pismenost i mogućnosti njenog utjecaja na sposobnost prepoznavanja dezinformacija te poboljšanje sposobnosti osoblja partnerskih organizacija u upravljanju inovativnim obrazovnim alatima. Tijekom 2024. godine održan je početni sastanak u Pisi, a potom i LTT aktivnost u Koprivnici tijekom koje su predstavnici partnerskih organizacija obučavani o teoretskim osnovama funkcionalne pismenosti te su istraživali kako FL utječe na različite aspekte života. Osmišljavali su obrazovne aktivnosti koje će odraslim polaznicima pomoći primijeniti vještine funkcionalne pismenosti u kontekstima stvarnog svijeta. Ukupni proračun projekta je 250.000,00 EUR, od čega dio od POU Koprivnica iznosi 37.900,00 EUR.</w:t>
      </w:r>
    </w:p>
    <w:p w14:paraId="1D7E6A40" w14:textId="59F6FBFC" w:rsidR="00803E66" w:rsidRPr="00803E66" w:rsidRDefault="003D2DCC" w:rsidP="003D2DCC">
      <w:pPr>
        <w:jc w:val="both"/>
        <w:rPr>
          <w:sz w:val="22"/>
          <w:szCs w:val="22"/>
        </w:rPr>
      </w:pPr>
      <w:r w:rsidRPr="00803E66">
        <w:rPr>
          <w:sz w:val="22"/>
          <w:szCs w:val="22"/>
        </w:rPr>
        <w:t>Pučkom otvorenom učilištu Koprivnica je u siječnju 2024. godine odobrena Erasmus akreditacija za područje obrazovanja odraslih za razdoblje od 4 godine. POU Koprivnica na taj način ima mogućnost ostvarivanja mobilnosti djelatnika i vanjskih suradnika bez strogog prethodnog evaluacijskog procesa prijave zahvaljujući kreiranom Erasmus planu kao osnovi odobrene akreditacije. U okviru prve godine akreditacije odobrena su sredstva za prvi akreditirani projekt, koji traje od 1.6.2024. U prosincu 2024. godine održana je prva aktivnost, pozvani stručnjak Ana Mirković iz Srbije je održala trodnevni interni trening svih djelatnika POU Koprivnica na temu komunikacije i timskog rada. Ukupno odobrena sredstva za prvu godinu akreditacije iznose 8.545,00 EUR.</w:t>
      </w:r>
    </w:p>
    <w:p w14:paraId="253A1E73" w14:textId="77777777" w:rsidR="002355E9" w:rsidRPr="003D2DCC" w:rsidRDefault="002355E9" w:rsidP="003D2DCC">
      <w:pPr>
        <w:jc w:val="both"/>
        <w:rPr>
          <w:sz w:val="22"/>
          <w:szCs w:val="22"/>
        </w:rPr>
      </w:pPr>
    </w:p>
    <w:p w14:paraId="684DC988" w14:textId="5221BD35" w:rsidR="00AB35BA" w:rsidRPr="00CF2293" w:rsidRDefault="00AB35BA" w:rsidP="0043265E">
      <w:pPr>
        <w:jc w:val="both"/>
        <w:rPr>
          <w:rFonts w:eastAsia="Calibri"/>
          <w:kern w:val="2"/>
          <w:sz w:val="22"/>
          <w:szCs w:val="22"/>
          <w14:ligatures w14:val="standardContextual"/>
        </w:rPr>
      </w:pPr>
      <w:r w:rsidRPr="00CF2293">
        <w:rPr>
          <w:rFonts w:eastAsia="Calibri"/>
          <w:kern w:val="2"/>
          <w:sz w:val="22"/>
          <w:szCs w:val="22"/>
          <w14:ligatures w14:val="standardContextual"/>
        </w:rPr>
        <w:t>U 202</w:t>
      </w:r>
      <w:r w:rsidR="00427EE6" w:rsidRPr="00CF2293">
        <w:rPr>
          <w:rFonts w:eastAsia="Calibri"/>
          <w:kern w:val="2"/>
          <w:sz w:val="22"/>
          <w:szCs w:val="22"/>
          <w14:ligatures w14:val="standardContextual"/>
        </w:rPr>
        <w:t>4</w:t>
      </w:r>
      <w:r w:rsidRPr="00CF2293">
        <w:rPr>
          <w:rFonts w:eastAsia="Calibri"/>
          <w:kern w:val="2"/>
          <w:sz w:val="22"/>
          <w:szCs w:val="22"/>
          <w14:ligatures w14:val="standardContextual"/>
        </w:rPr>
        <w:t xml:space="preserve">. godini imali smo </w:t>
      </w:r>
      <w:r w:rsidR="00CF2293">
        <w:rPr>
          <w:rFonts w:eastAsia="Calibri"/>
          <w:kern w:val="2"/>
          <w:sz w:val="22"/>
          <w:szCs w:val="22"/>
          <w14:ligatures w14:val="standardContextual"/>
        </w:rPr>
        <w:t>velik broj investicija, od kojih spominjemo samo veće</w:t>
      </w:r>
      <w:r w:rsidRPr="00CF2293">
        <w:rPr>
          <w:rFonts w:eastAsia="Calibri"/>
          <w:kern w:val="2"/>
          <w:sz w:val="22"/>
          <w:szCs w:val="22"/>
          <w14:ligatures w14:val="standardContextual"/>
        </w:rPr>
        <w:t>:</w:t>
      </w:r>
    </w:p>
    <w:p w14:paraId="68F8A662" w14:textId="77777777" w:rsidR="00427EE6" w:rsidRPr="00CF2293" w:rsidRDefault="00427EE6" w:rsidP="0043265E">
      <w:pPr>
        <w:jc w:val="both"/>
        <w:rPr>
          <w:rFonts w:eastAsia="Calibri"/>
          <w:kern w:val="2"/>
          <w:sz w:val="22"/>
          <w:szCs w:val="22"/>
          <w14:ligatures w14:val="standardContextual"/>
        </w:rPr>
      </w:pPr>
    </w:p>
    <w:p w14:paraId="4C297517" w14:textId="77777777" w:rsidR="00427EE6" w:rsidRPr="00427EE6" w:rsidRDefault="00427EE6" w:rsidP="00427EE6">
      <w:pPr>
        <w:numPr>
          <w:ilvl w:val="0"/>
          <w:numId w:val="11"/>
        </w:numPr>
        <w:spacing w:after="120" w:line="264" w:lineRule="auto"/>
        <w:rPr>
          <w:rFonts w:eastAsia="Calibri"/>
          <w:b/>
          <w:bCs/>
          <w:kern w:val="2"/>
          <w14:ligatures w14:val="standardContextual"/>
        </w:rPr>
      </w:pPr>
      <w:r w:rsidRPr="00427EE6">
        <w:rPr>
          <w:rFonts w:eastAsia="Calibri"/>
          <w:b/>
          <w:bCs/>
          <w:kern w:val="2"/>
          <w14:ligatures w14:val="standardContextual"/>
        </w:rPr>
        <w:t>Nastavak sanacije dvorane „Domoljub“ – sanacija ulaznog hola i hodnika</w:t>
      </w:r>
    </w:p>
    <w:p w14:paraId="6D7DD030" w14:textId="77777777" w:rsidR="00427EE6" w:rsidRPr="00427EE6" w:rsidRDefault="00427EE6" w:rsidP="00427EE6">
      <w:pPr>
        <w:spacing w:after="120" w:line="264" w:lineRule="auto"/>
        <w:jc w:val="both"/>
        <w:rPr>
          <w:rFonts w:eastAsia="Calibri"/>
          <w:kern w:val="2"/>
          <w14:ligatures w14:val="standardContextual"/>
        </w:rPr>
      </w:pPr>
      <w:r w:rsidRPr="00427EE6">
        <w:rPr>
          <w:rFonts w:eastAsia="Calibri"/>
          <w:kern w:val="2"/>
          <w14:ligatures w14:val="standardContextual"/>
        </w:rPr>
        <w:t>Svake godine na natječaj Ministarstva kulture i medija Republike Hrvatske prijave se radovi na daljnjoj sanaciji zgrade „Domoljub“. Za 2024. godinu prijavljeni su radovi na sanaciji ulaznog hola i hodnika zgrade. Osim popločenja podnih površina ulaznog prostora protukliznim keramičkim pločicama, izvedena je kemijska barijera protiv kapilarnog uzdizanja vode na dijelu postojećih vlažnih zidova prizemlja, montirana su vanjska drvena ostakljena ulazna vrata glavnog ulaza zgrade, a montirana je transparentna nadstrešnica iznad glavnog ulaza, s konstrukcijom od čeličnih profila i pokrovom od staklenih elemenata otpornih na lom i atmosferilije, u skladu s traženjem nadležnog konzervatora. Izvršeno je bojanje unutarnjih zidova ulaznog prostora i hodnika dekorativnim perivim bojama. Za radove je bio proveden postupak jednostavne nabave te su ugovoreni  radovi s najpovoljnijim, ali i jedinim ponuditeljem, tvrtkom Švenda d.o.o.Vrijednost radova bila je 36.604,20 EUR bez PDV-a, a trošak navedenih radova iznosi 44.483,67 EUR.</w:t>
      </w:r>
    </w:p>
    <w:p w14:paraId="0EA8C3AB" w14:textId="77777777" w:rsidR="00427EE6" w:rsidRPr="00427EE6" w:rsidRDefault="00427EE6" w:rsidP="00427EE6">
      <w:pPr>
        <w:spacing w:after="120" w:line="264" w:lineRule="auto"/>
        <w:jc w:val="both"/>
        <w:rPr>
          <w:rFonts w:eastAsia="Calibri"/>
          <w:kern w:val="2"/>
          <w14:ligatures w14:val="standardContextual"/>
        </w:rPr>
      </w:pPr>
      <w:r w:rsidRPr="00427EE6">
        <w:rPr>
          <w:rFonts w:eastAsia="Calibri"/>
          <w:kern w:val="2"/>
          <w14:ligatures w14:val="standardContextual"/>
        </w:rPr>
        <w:t>Izvršene su usluge iz članka 75. stavka 3. točke a) Zakona o PDV-u tako da se primjenjuje prijenos porezne obveze. Za navedene radove 20.000,00 EUR je pokrilo Ministarstvo kulture i medija Republike Hrvatske, 15.000,00 EUR Grad Koprivnica, a ostatak od 9.483,67 EUR bilo je financirano vlastitim sredstvima.</w:t>
      </w:r>
    </w:p>
    <w:p w14:paraId="7B671EE8" w14:textId="77777777" w:rsidR="00427EE6" w:rsidRPr="00427EE6" w:rsidRDefault="00427EE6" w:rsidP="00427EE6">
      <w:pPr>
        <w:numPr>
          <w:ilvl w:val="0"/>
          <w:numId w:val="11"/>
        </w:numPr>
        <w:spacing w:after="120" w:line="264" w:lineRule="auto"/>
        <w:rPr>
          <w:rFonts w:eastAsia="Calibri"/>
          <w:b/>
          <w:bCs/>
          <w:kern w:val="2"/>
          <w14:ligatures w14:val="standardContextual"/>
        </w:rPr>
      </w:pPr>
      <w:r w:rsidRPr="00427EE6">
        <w:rPr>
          <w:rFonts w:eastAsia="Calibri"/>
          <w:b/>
          <w:bCs/>
          <w:kern w:val="2"/>
          <w14:ligatures w14:val="standardContextual"/>
        </w:rPr>
        <w:t>Nabava opreme za razglas i rasvjetu u dvorani „Domoljub“</w:t>
      </w:r>
    </w:p>
    <w:p w14:paraId="3E19956E" w14:textId="77777777" w:rsidR="00427EE6" w:rsidRPr="00427EE6" w:rsidRDefault="00427EE6" w:rsidP="00427EE6">
      <w:pPr>
        <w:spacing w:after="120" w:line="264" w:lineRule="auto"/>
        <w:jc w:val="both"/>
        <w:rPr>
          <w:rFonts w:eastAsia="Calibri"/>
          <w:kern w:val="2"/>
          <w14:ligatures w14:val="standardContextual"/>
        </w:rPr>
      </w:pPr>
      <w:r w:rsidRPr="00427EE6">
        <w:rPr>
          <w:rFonts w:eastAsia="Calibri"/>
          <w:kern w:val="2"/>
          <w14:ligatures w14:val="standardContextual"/>
        </w:rPr>
        <w:t>U prijavi na natječaj za javne potrebe u kulturi Ministarstva kulture i medija Republike Hrvatske prijavljeni su i radovi na sanaciji garderobe, no u razdoblju od predaje prijave do odobrenja sredstava, počeli su se događati problemi s opremom za razglas (radi dotrajalosti), stoga je Ministarstvu upućen upit može li se umjesto radova na sanaciji garderobe obaviti kupovina opreme za razglas i rasvjetu.  Vrijednost ugovora: 23.938,00 EUR bez PDV-a, a ukupni trošak koji je plaćen vlastitim sredstvima iznosi 28.067,30 EUR.</w:t>
      </w:r>
    </w:p>
    <w:p w14:paraId="66A84AA9" w14:textId="6EFA7792" w:rsidR="00CF2293" w:rsidRPr="00CF2293" w:rsidRDefault="00CF2293" w:rsidP="00CF2293">
      <w:pPr>
        <w:pStyle w:val="Odlomakpopisa"/>
        <w:numPr>
          <w:ilvl w:val="0"/>
          <w:numId w:val="11"/>
        </w:numPr>
        <w:spacing w:after="120" w:line="264" w:lineRule="auto"/>
        <w:rPr>
          <w:rFonts w:eastAsia="Calibri"/>
          <w:b/>
          <w:bCs/>
          <w:kern w:val="2"/>
          <w14:ligatures w14:val="standardContextual"/>
        </w:rPr>
      </w:pPr>
      <w:r w:rsidRPr="00CF2293">
        <w:rPr>
          <w:rFonts w:eastAsia="Calibri"/>
          <w:b/>
          <w:bCs/>
          <w:kern w:val="2"/>
          <w14:ligatures w14:val="standardContextual"/>
        </w:rPr>
        <w:t>Zamjena računala u informatičkoj učionici</w:t>
      </w:r>
    </w:p>
    <w:p w14:paraId="614521F7" w14:textId="77777777" w:rsidR="00CF2293" w:rsidRDefault="00CF2293" w:rsidP="00CF2293">
      <w:pPr>
        <w:spacing w:after="120" w:line="264" w:lineRule="auto"/>
        <w:jc w:val="both"/>
        <w:rPr>
          <w:rFonts w:eastAsia="Calibri"/>
          <w:kern w:val="2"/>
          <w14:ligatures w14:val="standardContextual"/>
        </w:rPr>
      </w:pPr>
      <w:r w:rsidRPr="00CF2293">
        <w:rPr>
          <w:rFonts w:eastAsia="Calibri"/>
          <w:kern w:val="2"/>
          <w14:ligatures w14:val="standardContextual"/>
        </w:rPr>
        <w:t>U 2024. godini od računalne opreme nabavljali smo prijenosna računala za potrebe kina i obrazovanja, te stolna računala s Office licencama za učionicu. Nova računala su zamijenila stolna računala nabavljena 2013. godine koja su do sada bila u upotrebi na istim mjestima. Također, u sklopu nabave osigurali smo dodatne periferne uređaje poput tipkovnica, miševa i monitora za radne stanice u učionici, čime smo unaprijedili radne uvjete i omogućili učinkovitije korištenje IT resursa. Vrijednost nabavljene računalne opreme iznosi 20.365,97 EUR. Trošak je plaćen vlastitim sredstvima.</w:t>
      </w:r>
    </w:p>
    <w:p w14:paraId="69D2B899" w14:textId="77777777" w:rsidR="00903C5E" w:rsidRDefault="00903C5E" w:rsidP="00CF2293">
      <w:pPr>
        <w:spacing w:after="120" w:line="264" w:lineRule="auto"/>
        <w:jc w:val="both"/>
        <w:rPr>
          <w:rFonts w:eastAsia="Calibri"/>
          <w:kern w:val="2"/>
          <w14:ligatures w14:val="standardContextual"/>
        </w:rPr>
      </w:pPr>
    </w:p>
    <w:p w14:paraId="3A4F1D1C" w14:textId="77777777" w:rsidR="00903C5E" w:rsidRDefault="00903C5E" w:rsidP="00CF2293">
      <w:pPr>
        <w:spacing w:after="120" w:line="264" w:lineRule="auto"/>
        <w:jc w:val="both"/>
        <w:rPr>
          <w:rFonts w:eastAsia="Calibri"/>
          <w:kern w:val="2"/>
          <w14:ligatures w14:val="standardContextual"/>
        </w:rPr>
      </w:pPr>
    </w:p>
    <w:p w14:paraId="4A2EB58A" w14:textId="77777777" w:rsidR="00903C5E" w:rsidRDefault="00903C5E" w:rsidP="00CF2293">
      <w:pPr>
        <w:spacing w:after="120" w:line="264" w:lineRule="auto"/>
        <w:jc w:val="both"/>
        <w:rPr>
          <w:rFonts w:eastAsia="Calibri"/>
          <w:kern w:val="2"/>
          <w14:ligatures w14:val="standardContextual"/>
        </w:rPr>
      </w:pPr>
    </w:p>
    <w:p w14:paraId="364143EC" w14:textId="77777777" w:rsidR="00903C5E" w:rsidRDefault="00903C5E" w:rsidP="00CF2293">
      <w:pPr>
        <w:spacing w:after="120" w:line="264" w:lineRule="auto"/>
        <w:jc w:val="both"/>
        <w:rPr>
          <w:rFonts w:eastAsia="Calibri"/>
          <w:kern w:val="2"/>
          <w14:ligatures w14:val="standardContextual"/>
        </w:rPr>
      </w:pPr>
    </w:p>
    <w:p w14:paraId="6793F9EF" w14:textId="77777777" w:rsidR="00903C5E" w:rsidRDefault="00903C5E" w:rsidP="00CF2293">
      <w:pPr>
        <w:spacing w:after="120" w:line="264" w:lineRule="auto"/>
        <w:jc w:val="both"/>
        <w:rPr>
          <w:rFonts w:eastAsia="Calibri"/>
          <w:kern w:val="2"/>
          <w14:ligatures w14:val="standardContextual"/>
        </w:rPr>
      </w:pPr>
    </w:p>
    <w:p w14:paraId="4D51E8F5" w14:textId="7540EB75" w:rsidR="00CF2293" w:rsidRPr="00CF2293" w:rsidRDefault="00CF2293" w:rsidP="00CF2293">
      <w:pPr>
        <w:pStyle w:val="Odlomakpopisa"/>
        <w:numPr>
          <w:ilvl w:val="0"/>
          <w:numId w:val="11"/>
        </w:numPr>
        <w:spacing w:after="120" w:line="264" w:lineRule="auto"/>
        <w:jc w:val="both"/>
        <w:rPr>
          <w:rFonts w:eastAsia="Calibri"/>
          <w:b/>
          <w:bCs/>
          <w:kern w:val="2"/>
          <w14:ligatures w14:val="standardContextual"/>
        </w:rPr>
      </w:pPr>
      <w:r w:rsidRPr="00CF2293">
        <w:rPr>
          <w:rFonts w:eastAsia="Calibri"/>
          <w:b/>
          <w:bCs/>
          <w:kern w:val="2"/>
          <w14:ligatures w14:val="standardContextual"/>
        </w:rPr>
        <w:lastRenderedPageBreak/>
        <w:t xml:space="preserve">Kupovina opreme za vanjsko kino </w:t>
      </w:r>
    </w:p>
    <w:p w14:paraId="6C2B5BE6" w14:textId="14074F9A" w:rsidR="00CF2293" w:rsidRPr="00CF2293" w:rsidRDefault="00CF2293" w:rsidP="00CF2293">
      <w:pPr>
        <w:spacing w:after="120" w:line="264" w:lineRule="auto"/>
        <w:jc w:val="both"/>
        <w:rPr>
          <w:rFonts w:eastAsia="Calibri"/>
          <w:kern w:val="2"/>
          <w14:ligatures w14:val="standardContextual"/>
        </w:rPr>
      </w:pPr>
      <w:r w:rsidRPr="00CF2293">
        <w:rPr>
          <w:rFonts w:eastAsia="Calibri"/>
          <w:kern w:val="2"/>
          <w14:ligatures w14:val="standardContextual"/>
        </w:rPr>
        <w:t>Na natječaj Ministarstva kulture i medija Republike Hrvatske prijavljena je nabava opreme za vanjsko kino.  Ljetno kino pod zvijezdama je program koji od samih početaka iziskuje veliki interes i tijekom srpnja i kolovoza Koprivničancima pruža kvalitetan program tijekom ljetnih večeri. Osim navedenog, oprema bi se mogla koristiti za putujuće kino, kao što je to bio slučaj prije nešto više od petnaest godina - s obzirom na novu formu medija s kojeg se filmovi prikazuju (DCP), noviji naslovi ne mogu se puštati s nijednog projektora osim digitalnog. Od Ministarstva kulture i medija Republike Hrvatske odobreno je 20.000,00 EUR za ovu investiciju, Grad Koprivnica sudjelovao je s 20.000,00 EUR, a ostatak od 17.706,24 EUR bilo je financirano vlastitim sredstvima</w:t>
      </w:r>
      <w:r w:rsidR="00903C5E">
        <w:rPr>
          <w:rFonts w:eastAsia="Calibri"/>
          <w:kern w:val="2"/>
          <w14:ligatures w14:val="standardContextual"/>
        </w:rPr>
        <w:t>.</w:t>
      </w:r>
    </w:p>
    <w:p w14:paraId="52B7CFC6" w14:textId="77777777" w:rsidR="00803E66" w:rsidRPr="00803E66" w:rsidRDefault="00803E66" w:rsidP="00803E66">
      <w:pPr>
        <w:spacing w:after="160" w:line="259" w:lineRule="auto"/>
        <w:jc w:val="both"/>
        <w:rPr>
          <w:rFonts w:eastAsia="Calibri"/>
          <w:color w:val="70AD47" w:themeColor="accent6"/>
          <w:kern w:val="2"/>
          <w:sz w:val="22"/>
          <w:szCs w:val="22"/>
          <w14:ligatures w14:val="standardContextual"/>
        </w:rPr>
      </w:pPr>
    </w:p>
    <w:p w14:paraId="4A4DB159" w14:textId="77777777" w:rsidR="005D0A7B" w:rsidRDefault="005D0A7B" w:rsidP="00D37BC7">
      <w:pPr>
        <w:rPr>
          <w:sz w:val="22"/>
          <w:szCs w:val="22"/>
        </w:rPr>
      </w:pPr>
    </w:p>
    <w:p w14:paraId="13E496E8" w14:textId="77777777" w:rsidR="00903C5E" w:rsidRDefault="00903C5E" w:rsidP="00D37BC7">
      <w:pPr>
        <w:rPr>
          <w:sz w:val="22"/>
          <w:szCs w:val="22"/>
        </w:rPr>
      </w:pPr>
    </w:p>
    <w:p w14:paraId="53103C39" w14:textId="77777777" w:rsidR="00903C5E" w:rsidRDefault="00903C5E" w:rsidP="00D37BC7">
      <w:pPr>
        <w:rPr>
          <w:sz w:val="22"/>
          <w:szCs w:val="22"/>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803E66" w:rsidRPr="0021108D" w14:paraId="3D8EDBA9" w14:textId="77777777" w:rsidTr="00370124">
        <w:trPr>
          <w:trHeight w:val="753"/>
        </w:trPr>
        <w:tc>
          <w:tcPr>
            <w:tcW w:w="5228" w:type="dxa"/>
          </w:tcPr>
          <w:p w14:paraId="4F5DA36D" w14:textId="77777777" w:rsidR="00803E66" w:rsidRPr="0021108D" w:rsidRDefault="00803E66" w:rsidP="00370124">
            <w:pPr>
              <w:tabs>
                <w:tab w:val="left" w:pos="4080"/>
              </w:tabs>
              <w:spacing w:line="276" w:lineRule="auto"/>
              <w:jc w:val="both"/>
              <w:rPr>
                <w:color w:val="000000"/>
                <w:sz w:val="22"/>
                <w:szCs w:val="22"/>
              </w:rPr>
            </w:pPr>
          </w:p>
        </w:tc>
        <w:tc>
          <w:tcPr>
            <w:tcW w:w="5228" w:type="dxa"/>
          </w:tcPr>
          <w:p w14:paraId="56536E14" w14:textId="77777777" w:rsidR="00803E66" w:rsidRPr="0021108D" w:rsidRDefault="00803E66" w:rsidP="00370124">
            <w:pPr>
              <w:tabs>
                <w:tab w:val="left" w:pos="4080"/>
              </w:tabs>
              <w:spacing w:line="276" w:lineRule="auto"/>
              <w:jc w:val="center"/>
              <w:rPr>
                <w:color w:val="000000"/>
                <w:sz w:val="22"/>
                <w:szCs w:val="22"/>
              </w:rPr>
            </w:pPr>
            <w:r w:rsidRPr="0021108D">
              <w:rPr>
                <w:color w:val="000000"/>
                <w:sz w:val="22"/>
                <w:szCs w:val="22"/>
              </w:rPr>
              <w:t>Predsjednik Upravnog vijeća:</w:t>
            </w:r>
          </w:p>
          <w:p w14:paraId="59B2DB2B" w14:textId="77777777" w:rsidR="00803E66" w:rsidRPr="0021108D" w:rsidRDefault="00803E66" w:rsidP="00370124">
            <w:pPr>
              <w:tabs>
                <w:tab w:val="left" w:pos="1710"/>
                <w:tab w:val="left" w:pos="4080"/>
              </w:tabs>
              <w:spacing w:line="276" w:lineRule="auto"/>
              <w:jc w:val="center"/>
              <w:rPr>
                <w:color w:val="000000"/>
                <w:sz w:val="22"/>
                <w:szCs w:val="22"/>
              </w:rPr>
            </w:pPr>
            <w:r w:rsidRPr="0021108D">
              <w:rPr>
                <w:color w:val="000000"/>
                <w:sz w:val="22"/>
                <w:szCs w:val="22"/>
              </w:rPr>
              <w:t>Siniša Fabijanec, univ.spec.polit.</w:t>
            </w:r>
          </w:p>
        </w:tc>
      </w:tr>
    </w:tbl>
    <w:p w14:paraId="78618879" w14:textId="77777777" w:rsidR="005D0A7B" w:rsidRDefault="005D0A7B" w:rsidP="00D37BC7">
      <w:pPr>
        <w:rPr>
          <w:sz w:val="22"/>
          <w:szCs w:val="22"/>
        </w:rPr>
      </w:pPr>
    </w:p>
    <w:p w14:paraId="13728CBF" w14:textId="77777777" w:rsidR="005D0A7B" w:rsidRDefault="005D0A7B" w:rsidP="00D37BC7">
      <w:pPr>
        <w:rPr>
          <w:sz w:val="22"/>
          <w:szCs w:val="22"/>
        </w:rPr>
      </w:pPr>
    </w:p>
    <w:p w14:paraId="674F32F2" w14:textId="77777777" w:rsidR="005D0A7B" w:rsidRDefault="005D0A7B" w:rsidP="00D37BC7">
      <w:pPr>
        <w:rPr>
          <w:sz w:val="22"/>
          <w:szCs w:val="22"/>
        </w:rPr>
      </w:pPr>
    </w:p>
    <w:p w14:paraId="2A89DBBA" w14:textId="77777777" w:rsidR="005D0A7B" w:rsidRDefault="005D0A7B" w:rsidP="00D37BC7">
      <w:pPr>
        <w:rPr>
          <w:sz w:val="22"/>
          <w:szCs w:val="22"/>
        </w:rPr>
      </w:pPr>
    </w:p>
    <w:p w14:paraId="11560EDA" w14:textId="77777777" w:rsidR="005D0A7B" w:rsidRDefault="005D0A7B" w:rsidP="00D37BC7">
      <w:pPr>
        <w:rPr>
          <w:sz w:val="22"/>
          <w:szCs w:val="22"/>
        </w:rPr>
      </w:pPr>
    </w:p>
    <w:p w14:paraId="4F90843B" w14:textId="77777777" w:rsidR="005D0A7B" w:rsidRDefault="005D0A7B" w:rsidP="00D37BC7">
      <w:pPr>
        <w:rPr>
          <w:sz w:val="22"/>
          <w:szCs w:val="22"/>
        </w:rPr>
      </w:pPr>
    </w:p>
    <w:p w14:paraId="50D3D878" w14:textId="77777777" w:rsidR="005D0A7B" w:rsidRDefault="005D0A7B" w:rsidP="00D37BC7">
      <w:pPr>
        <w:rPr>
          <w:sz w:val="22"/>
          <w:szCs w:val="22"/>
        </w:rPr>
      </w:pPr>
    </w:p>
    <w:p w14:paraId="117B81CE" w14:textId="77777777" w:rsidR="005D0A7B" w:rsidRDefault="005D0A7B" w:rsidP="00D37BC7">
      <w:pPr>
        <w:rPr>
          <w:sz w:val="22"/>
          <w:szCs w:val="22"/>
        </w:rPr>
      </w:pPr>
    </w:p>
    <w:p w14:paraId="196F1A7F" w14:textId="77777777" w:rsidR="005D0A7B" w:rsidRDefault="005D0A7B" w:rsidP="00D37BC7">
      <w:pPr>
        <w:rPr>
          <w:sz w:val="22"/>
          <w:szCs w:val="22"/>
        </w:rPr>
      </w:pPr>
    </w:p>
    <w:p w14:paraId="0FB27385" w14:textId="77777777" w:rsidR="005D0A7B" w:rsidRDefault="005D0A7B" w:rsidP="00D37BC7">
      <w:pPr>
        <w:rPr>
          <w:sz w:val="22"/>
          <w:szCs w:val="22"/>
        </w:rPr>
      </w:pPr>
    </w:p>
    <w:p w14:paraId="2FC364D4" w14:textId="77777777" w:rsidR="005D0A7B" w:rsidRDefault="005D0A7B" w:rsidP="00D37BC7">
      <w:pPr>
        <w:rPr>
          <w:sz w:val="22"/>
          <w:szCs w:val="22"/>
        </w:rPr>
      </w:pPr>
    </w:p>
    <w:p w14:paraId="769BD2A9" w14:textId="77777777" w:rsidR="005D0A7B" w:rsidRDefault="005D0A7B" w:rsidP="00D37BC7">
      <w:pPr>
        <w:rPr>
          <w:sz w:val="22"/>
          <w:szCs w:val="22"/>
        </w:rPr>
      </w:pPr>
    </w:p>
    <w:p w14:paraId="7DE3E96F" w14:textId="77777777" w:rsidR="005D0A7B" w:rsidRDefault="005D0A7B" w:rsidP="00D37BC7">
      <w:pPr>
        <w:rPr>
          <w:sz w:val="22"/>
          <w:szCs w:val="22"/>
        </w:rPr>
      </w:pPr>
    </w:p>
    <w:p w14:paraId="4B020DB8" w14:textId="77777777" w:rsidR="005D0A7B" w:rsidRDefault="005D0A7B" w:rsidP="00D37BC7">
      <w:pPr>
        <w:rPr>
          <w:sz w:val="22"/>
          <w:szCs w:val="22"/>
        </w:rPr>
      </w:pPr>
    </w:p>
    <w:p w14:paraId="16FBFAC1" w14:textId="77777777" w:rsidR="005D0A7B" w:rsidRDefault="005D0A7B" w:rsidP="00D37BC7">
      <w:pPr>
        <w:rPr>
          <w:sz w:val="22"/>
          <w:szCs w:val="22"/>
        </w:rPr>
      </w:pPr>
    </w:p>
    <w:p w14:paraId="4139D489" w14:textId="77777777" w:rsidR="005D0A7B" w:rsidRDefault="005D0A7B" w:rsidP="00D37BC7">
      <w:pPr>
        <w:rPr>
          <w:sz w:val="22"/>
          <w:szCs w:val="22"/>
        </w:rPr>
      </w:pPr>
    </w:p>
    <w:p w14:paraId="7DC40CC8" w14:textId="77777777" w:rsidR="005D0A7B" w:rsidRDefault="005D0A7B" w:rsidP="00D37BC7">
      <w:pPr>
        <w:rPr>
          <w:sz w:val="22"/>
          <w:szCs w:val="22"/>
        </w:rPr>
      </w:pPr>
    </w:p>
    <w:p w14:paraId="496938D8" w14:textId="77777777" w:rsidR="005D0A7B" w:rsidRDefault="005D0A7B" w:rsidP="00D37BC7">
      <w:pPr>
        <w:rPr>
          <w:sz w:val="22"/>
          <w:szCs w:val="22"/>
        </w:rPr>
      </w:pPr>
    </w:p>
    <w:p w14:paraId="4CB68242" w14:textId="77777777" w:rsidR="005D0A7B" w:rsidRDefault="005D0A7B" w:rsidP="00D37BC7">
      <w:pPr>
        <w:rPr>
          <w:sz w:val="22"/>
          <w:szCs w:val="22"/>
        </w:rPr>
      </w:pPr>
    </w:p>
    <w:p w14:paraId="479257D1" w14:textId="77777777" w:rsidR="005D0A7B" w:rsidRDefault="005D0A7B" w:rsidP="00D37BC7">
      <w:pPr>
        <w:rPr>
          <w:sz w:val="22"/>
          <w:szCs w:val="22"/>
        </w:rPr>
      </w:pPr>
    </w:p>
    <w:p w14:paraId="2D5A4325" w14:textId="77777777" w:rsidR="005D0A7B" w:rsidRDefault="005D0A7B" w:rsidP="00D37BC7">
      <w:pPr>
        <w:rPr>
          <w:sz w:val="22"/>
          <w:szCs w:val="22"/>
        </w:rPr>
      </w:pPr>
    </w:p>
    <w:p w14:paraId="656AE6BC" w14:textId="77777777" w:rsidR="005D0A7B" w:rsidRDefault="005D0A7B" w:rsidP="00D37BC7">
      <w:pPr>
        <w:rPr>
          <w:sz w:val="22"/>
          <w:szCs w:val="22"/>
        </w:rPr>
      </w:pPr>
    </w:p>
    <w:p w14:paraId="23029DB8" w14:textId="77777777" w:rsidR="009E58F9" w:rsidRDefault="009E58F9" w:rsidP="00D37BC7">
      <w:pPr>
        <w:rPr>
          <w:sz w:val="22"/>
          <w:szCs w:val="22"/>
        </w:rPr>
      </w:pPr>
    </w:p>
    <w:p w14:paraId="02793E6E" w14:textId="77777777" w:rsidR="009E58F9" w:rsidRDefault="009E58F9" w:rsidP="00D37BC7">
      <w:pPr>
        <w:rPr>
          <w:sz w:val="22"/>
          <w:szCs w:val="22"/>
        </w:rPr>
      </w:pPr>
    </w:p>
    <w:p w14:paraId="3B58585A" w14:textId="77777777" w:rsidR="009E58F9" w:rsidRDefault="009E58F9" w:rsidP="00D37BC7">
      <w:pPr>
        <w:rPr>
          <w:sz w:val="22"/>
          <w:szCs w:val="22"/>
        </w:rPr>
      </w:pPr>
    </w:p>
    <w:p w14:paraId="57809BC8" w14:textId="77777777" w:rsidR="009E58F9" w:rsidRDefault="009E58F9" w:rsidP="00D37BC7">
      <w:pPr>
        <w:rPr>
          <w:sz w:val="22"/>
          <w:szCs w:val="22"/>
        </w:rPr>
      </w:pPr>
    </w:p>
    <w:p w14:paraId="240E6B19" w14:textId="77777777" w:rsidR="009E58F9" w:rsidRDefault="009E58F9" w:rsidP="00D37BC7">
      <w:pPr>
        <w:rPr>
          <w:sz w:val="22"/>
          <w:szCs w:val="22"/>
        </w:rPr>
      </w:pPr>
    </w:p>
    <w:p w14:paraId="2E40FF9E" w14:textId="77777777" w:rsidR="009E58F9" w:rsidRDefault="009E58F9" w:rsidP="00D37BC7">
      <w:pPr>
        <w:rPr>
          <w:sz w:val="22"/>
          <w:szCs w:val="22"/>
        </w:rPr>
      </w:pPr>
    </w:p>
    <w:p w14:paraId="6F6B91F4" w14:textId="77777777" w:rsidR="009E58F9" w:rsidRDefault="009E58F9" w:rsidP="00D37BC7">
      <w:pPr>
        <w:rPr>
          <w:sz w:val="22"/>
          <w:szCs w:val="22"/>
        </w:rPr>
      </w:pPr>
    </w:p>
    <w:p w14:paraId="56127A44" w14:textId="77777777" w:rsidR="009E58F9" w:rsidRDefault="009E58F9" w:rsidP="00D37BC7">
      <w:pPr>
        <w:rPr>
          <w:sz w:val="22"/>
          <w:szCs w:val="22"/>
        </w:rPr>
      </w:pPr>
    </w:p>
    <w:p w14:paraId="3A6B286B" w14:textId="77777777" w:rsidR="00D37BC7" w:rsidRDefault="00D37BC7" w:rsidP="00D37BC7">
      <w:pPr>
        <w:rPr>
          <w:sz w:val="22"/>
          <w:szCs w:val="22"/>
        </w:rPr>
      </w:pPr>
    </w:p>
    <w:p w14:paraId="24C42C07" w14:textId="77777777" w:rsidR="005C6626" w:rsidRDefault="005C6626" w:rsidP="00D37BC7">
      <w:pPr>
        <w:rPr>
          <w:sz w:val="22"/>
          <w:szCs w:val="22"/>
        </w:rPr>
      </w:pPr>
    </w:p>
    <w:p w14:paraId="00B875DD" w14:textId="77777777" w:rsidR="005C6626" w:rsidRDefault="005C6626" w:rsidP="00D37BC7">
      <w:pPr>
        <w:rPr>
          <w:sz w:val="22"/>
          <w:szCs w:val="22"/>
        </w:rPr>
      </w:pPr>
    </w:p>
    <w:p w14:paraId="50074BA9" w14:textId="77777777" w:rsidR="005C6626" w:rsidRDefault="005C6626" w:rsidP="00D37BC7">
      <w:pPr>
        <w:rPr>
          <w:sz w:val="22"/>
          <w:szCs w:val="22"/>
        </w:rPr>
      </w:pPr>
    </w:p>
    <w:p w14:paraId="52B1E953" w14:textId="77777777" w:rsidR="005C6626" w:rsidRDefault="005C6626" w:rsidP="00D37BC7">
      <w:pPr>
        <w:rPr>
          <w:sz w:val="22"/>
          <w:szCs w:val="22"/>
        </w:rPr>
      </w:pPr>
    </w:p>
    <w:p w14:paraId="558AEE4D" w14:textId="77777777" w:rsidR="005C6626" w:rsidRDefault="005C6626" w:rsidP="00D37BC7">
      <w:pPr>
        <w:rPr>
          <w:sz w:val="22"/>
          <w:szCs w:val="22"/>
        </w:rPr>
      </w:pPr>
    </w:p>
    <w:p w14:paraId="61CF37DA" w14:textId="77777777" w:rsidR="005C6626" w:rsidRDefault="005C6626" w:rsidP="00D37BC7">
      <w:pPr>
        <w:rPr>
          <w:sz w:val="22"/>
          <w:szCs w:val="22"/>
        </w:rPr>
      </w:pPr>
    </w:p>
    <w:p w14:paraId="0D0FE608" w14:textId="77777777" w:rsidR="005C6626" w:rsidRDefault="005C6626" w:rsidP="00D37BC7">
      <w:pPr>
        <w:rPr>
          <w:sz w:val="22"/>
          <w:szCs w:val="22"/>
        </w:rPr>
      </w:pPr>
    </w:p>
    <w:p w14:paraId="170BAB7C" w14:textId="77777777" w:rsidR="005C6626" w:rsidRDefault="005C6626" w:rsidP="00D37BC7">
      <w:pPr>
        <w:rPr>
          <w:sz w:val="22"/>
          <w:szCs w:val="22"/>
        </w:rPr>
      </w:pPr>
    </w:p>
    <w:p w14:paraId="0DC8FD3A" w14:textId="77777777" w:rsidR="00FE0DFC" w:rsidRPr="005E6DDE" w:rsidRDefault="00FE0DFC" w:rsidP="00D37BC7">
      <w:pPr>
        <w:rPr>
          <w:sz w:val="22"/>
          <w:szCs w:val="22"/>
        </w:rPr>
      </w:pPr>
    </w:p>
    <w:p w14:paraId="5891DBDE" w14:textId="68E4D25B" w:rsidR="00FE0DFC" w:rsidRPr="00FE0DFC" w:rsidRDefault="00FE0DFC" w:rsidP="00FE0DFC">
      <w:pPr>
        <w:rPr>
          <w:b/>
          <w:bCs/>
          <w:sz w:val="22"/>
          <w:szCs w:val="22"/>
        </w:rPr>
      </w:pPr>
      <w:r w:rsidRPr="00FE0DFC">
        <w:rPr>
          <w:b/>
          <w:bCs/>
          <w:sz w:val="22"/>
          <w:szCs w:val="22"/>
        </w:rPr>
        <w:lastRenderedPageBreak/>
        <w:t>POSEBNI IZVJEŠTAJI UZ POLUGODIŠNJI IZVJEŠTAJ O IZVRŠENJU FINANCIJSKOG PLANA PUČKOG OTVORENOG UČILIŠTA KOPRIVNICA</w:t>
      </w:r>
    </w:p>
    <w:p w14:paraId="6EACC457" w14:textId="77777777" w:rsidR="00FE0DFC" w:rsidRPr="00FE0DFC" w:rsidRDefault="00FE0DFC" w:rsidP="00FE0DFC">
      <w:pPr>
        <w:rPr>
          <w:b/>
          <w:bCs/>
          <w:sz w:val="22"/>
          <w:szCs w:val="22"/>
        </w:rPr>
      </w:pPr>
    </w:p>
    <w:p w14:paraId="66F84C44" w14:textId="77777777" w:rsidR="004A4609" w:rsidRDefault="004A4609" w:rsidP="00FE0DFC">
      <w:pPr>
        <w:rPr>
          <w:b/>
          <w:bCs/>
          <w:sz w:val="22"/>
          <w:szCs w:val="22"/>
        </w:rPr>
      </w:pPr>
    </w:p>
    <w:p w14:paraId="7DD428E7" w14:textId="77777777" w:rsidR="00FC3D08" w:rsidRPr="00FE0DFC" w:rsidRDefault="00FC3D08" w:rsidP="00FE0DFC">
      <w:pPr>
        <w:rPr>
          <w:b/>
          <w:bCs/>
          <w:sz w:val="22"/>
          <w:szCs w:val="22"/>
        </w:rPr>
      </w:pPr>
    </w:p>
    <w:p w14:paraId="66FA37CC" w14:textId="4EC59EA3" w:rsidR="00A76CF2" w:rsidRPr="00A76CF2" w:rsidRDefault="00A76CF2" w:rsidP="00A76CF2">
      <w:pPr>
        <w:rPr>
          <w:b/>
          <w:bCs/>
          <w:sz w:val="22"/>
          <w:szCs w:val="22"/>
        </w:rPr>
      </w:pPr>
      <w:r w:rsidRPr="00A76CF2">
        <w:rPr>
          <w:b/>
          <w:bCs/>
          <w:sz w:val="22"/>
          <w:szCs w:val="22"/>
        </w:rPr>
        <w:t xml:space="preserve">Izvještaj o </w:t>
      </w:r>
      <w:r>
        <w:rPr>
          <w:b/>
          <w:bCs/>
          <w:sz w:val="22"/>
          <w:szCs w:val="22"/>
        </w:rPr>
        <w:t>zadu</w:t>
      </w:r>
      <w:r w:rsidR="008A228F">
        <w:rPr>
          <w:b/>
          <w:bCs/>
          <w:sz w:val="22"/>
          <w:szCs w:val="22"/>
        </w:rPr>
        <w:t>živanju na domaćem i stranom tržištu</w:t>
      </w:r>
      <w:r w:rsidR="004A4609">
        <w:rPr>
          <w:b/>
          <w:bCs/>
          <w:sz w:val="22"/>
          <w:szCs w:val="22"/>
        </w:rPr>
        <w:t xml:space="preserve"> novaca i kapitala</w:t>
      </w:r>
    </w:p>
    <w:p w14:paraId="74F51EA2" w14:textId="77777777" w:rsidR="00FE0DFC" w:rsidRPr="00FE0DFC" w:rsidRDefault="00FE0DFC" w:rsidP="00FE0DFC">
      <w:pPr>
        <w:rPr>
          <w:bCs/>
          <w:sz w:val="22"/>
          <w:szCs w:val="22"/>
        </w:rPr>
      </w:pPr>
    </w:p>
    <w:p w14:paraId="06EF0E1F" w14:textId="77777777" w:rsidR="008A228F" w:rsidRDefault="00FE0DFC" w:rsidP="00FE0DFC">
      <w:pPr>
        <w:rPr>
          <w:iCs/>
          <w:sz w:val="22"/>
          <w:szCs w:val="22"/>
        </w:rPr>
      </w:pPr>
      <w:r w:rsidRPr="00FE0DFC">
        <w:rPr>
          <w:iCs/>
          <w:sz w:val="22"/>
          <w:szCs w:val="22"/>
        </w:rPr>
        <w:t>POU Koprivnica nema zaduživanje na domaćem i stranom tržištu novaca i kapitala</w:t>
      </w:r>
      <w:r w:rsidR="008A228F">
        <w:rPr>
          <w:iCs/>
          <w:sz w:val="22"/>
          <w:szCs w:val="22"/>
        </w:rPr>
        <w:t>.</w:t>
      </w:r>
    </w:p>
    <w:p w14:paraId="3F6D01BB" w14:textId="77777777" w:rsidR="004A4609" w:rsidRDefault="004A4609" w:rsidP="00FE0DFC">
      <w:pPr>
        <w:rPr>
          <w:iCs/>
          <w:sz w:val="22"/>
          <w:szCs w:val="22"/>
        </w:rPr>
      </w:pPr>
    </w:p>
    <w:p w14:paraId="241A7F6B" w14:textId="7E7149CE" w:rsidR="004A4609" w:rsidRPr="004A4609" w:rsidRDefault="004A4609" w:rsidP="004A4609">
      <w:pPr>
        <w:rPr>
          <w:b/>
          <w:bCs/>
          <w:iCs/>
          <w:sz w:val="22"/>
          <w:szCs w:val="22"/>
        </w:rPr>
      </w:pPr>
      <w:r w:rsidRPr="004A4609">
        <w:rPr>
          <w:b/>
          <w:bCs/>
          <w:iCs/>
          <w:sz w:val="22"/>
          <w:szCs w:val="22"/>
        </w:rPr>
        <w:t xml:space="preserve">Izvještaj o </w:t>
      </w:r>
      <w:r>
        <w:rPr>
          <w:b/>
          <w:bCs/>
          <w:iCs/>
          <w:sz w:val="22"/>
          <w:szCs w:val="22"/>
        </w:rPr>
        <w:t>danim jamstvima i potraživanja po danim jamstvima</w:t>
      </w:r>
    </w:p>
    <w:p w14:paraId="295E97D2" w14:textId="77777777" w:rsidR="008A228F" w:rsidRDefault="008A228F" w:rsidP="00FE0DFC">
      <w:pPr>
        <w:rPr>
          <w:iCs/>
          <w:sz w:val="22"/>
          <w:szCs w:val="22"/>
        </w:rPr>
      </w:pPr>
    </w:p>
    <w:p w14:paraId="7AA535BE" w14:textId="266DCEFB" w:rsidR="00FE0DFC" w:rsidRPr="00FE0DFC" w:rsidRDefault="004A4609" w:rsidP="00FE0DFC">
      <w:pPr>
        <w:rPr>
          <w:iCs/>
          <w:sz w:val="22"/>
          <w:szCs w:val="22"/>
        </w:rPr>
      </w:pPr>
      <w:r w:rsidRPr="004A4609">
        <w:rPr>
          <w:iCs/>
          <w:sz w:val="22"/>
          <w:szCs w:val="22"/>
        </w:rPr>
        <w:t xml:space="preserve">POU Koprivnica </w:t>
      </w:r>
      <w:r>
        <w:rPr>
          <w:iCs/>
          <w:sz w:val="22"/>
          <w:szCs w:val="22"/>
        </w:rPr>
        <w:t>nema</w:t>
      </w:r>
      <w:r w:rsidR="00FE0DFC" w:rsidRPr="00FE0DFC">
        <w:rPr>
          <w:iCs/>
          <w:sz w:val="22"/>
          <w:szCs w:val="22"/>
        </w:rPr>
        <w:t xml:space="preserve"> aktivna dana jamstva i plaćanja po protestiranim jamstvima.</w:t>
      </w:r>
    </w:p>
    <w:p w14:paraId="2F0BB4D5" w14:textId="77777777" w:rsidR="00FE0DFC" w:rsidRPr="00FE0DFC" w:rsidRDefault="00FE0DFC" w:rsidP="00FE0DFC">
      <w:pPr>
        <w:rPr>
          <w:rFonts w:ascii="Arial" w:hAnsi="Arial" w:cs="Arial"/>
          <w:iCs/>
        </w:rPr>
      </w:pPr>
    </w:p>
    <w:p w14:paraId="5ED3C54D" w14:textId="08E53F47" w:rsidR="00D37BC7" w:rsidRDefault="00457D9F" w:rsidP="0017288E">
      <w:pPr>
        <w:spacing w:line="276" w:lineRule="auto"/>
        <w:jc w:val="both"/>
        <w:rPr>
          <w:b/>
          <w:sz w:val="22"/>
          <w:szCs w:val="22"/>
        </w:rPr>
      </w:pPr>
      <w:r w:rsidRPr="00491E3C">
        <w:rPr>
          <w:b/>
          <w:bCs/>
          <w:sz w:val="22"/>
          <w:szCs w:val="22"/>
        </w:rPr>
        <w:t>Izvještaj o st</w:t>
      </w:r>
      <w:r w:rsidR="00310D02" w:rsidRPr="00491E3C">
        <w:rPr>
          <w:b/>
          <w:bCs/>
          <w:sz w:val="22"/>
          <w:szCs w:val="22"/>
        </w:rPr>
        <w:t xml:space="preserve">anju potraživanja i dospjelih obveza te stanje potencijalnih </w:t>
      </w:r>
      <w:r w:rsidR="00491E3C" w:rsidRPr="00491E3C">
        <w:rPr>
          <w:b/>
          <w:bCs/>
          <w:sz w:val="22"/>
          <w:szCs w:val="22"/>
        </w:rPr>
        <w:t>obveza po sudskim sporovima</w:t>
      </w:r>
    </w:p>
    <w:p w14:paraId="03F17DCF" w14:textId="77777777" w:rsidR="00491E3C" w:rsidRPr="00491E3C" w:rsidRDefault="00491E3C" w:rsidP="0017288E">
      <w:pPr>
        <w:spacing w:line="276" w:lineRule="auto"/>
        <w:jc w:val="both"/>
        <w:rPr>
          <w:b/>
          <w:bCs/>
          <w:sz w:val="22"/>
          <w:szCs w:val="22"/>
        </w:rPr>
      </w:pPr>
    </w:p>
    <w:p w14:paraId="265A802A" w14:textId="57BA5F76" w:rsidR="00CB0594" w:rsidRPr="00CB0594" w:rsidRDefault="00CB0594" w:rsidP="00CB0594">
      <w:pPr>
        <w:spacing w:line="276" w:lineRule="auto"/>
        <w:jc w:val="both"/>
        <w:rPr>
          <w:bCs/>
          <w:sz w:val="22"/>
          <w:szCs w:val="22"/>
        </w:rPr>
      </w:pPr>
      <w:r w:rsidRPr="00CB0594">
        <w:rPr>
          <w:bCs/>
          <w:sz w:val="22"/>
          <w:szCs w:val="22"/>
        </w:rPr>
        <w:t xml:space="preserve">Stanje obveza na početku proračunske godine iznosile su 65.257,41 € koje su u toku godine podmirene. Stanje obveza na kraju proračunske godine iznose 63.302,95 €. Navedene obveze su dospjele i nedospjele. </w:t>
      </w:r>
    </w:p>
    <w:p w14:paraId="78F38B05" w14:textId="77777777" w:rsidR="00CB0594" w:rsidRPr="00CB0594" w:rsidRDefault="00CB0594" w:rsidP="00CB0594">
      <w:pPr>
        <w:spacing w:line="276" w:lineRule="auto"/>
        <w:jc w:val="both"/>
        <w:rPr>
          <w:bCs/>
          <w:sz w:val="22"/>
          <w:szCs w:val="22"/>
        </w:rPr>
      </w:pPr>
      <w:r w:rsidRPr="00CB0594">
        <w:rPr>
          <w:bCs/>
          <w:sz w:val="22"/>
          <w:szCs w:val="22"/>
        </w:rPr>
        <w:t xml:space="preserve">Nedospjele obveze odnose se na plaću za 12/2024. i račune s valutom plaćanja u 2024. godini. </w:t>
      </w:r>
    </w:p>
    <w:p w14:paraId="32292EC3" w14:textId="77777777" w:rsidR="00CB0594" w:rsidRPr="00CB0594" w:rsidRDefault="00CB0594" w:rsidP="00CB0594">
      <w:pPr>
        <w:spacing w:line="276" w:lineRule="auto"/>
        <w:jc w:val="both"/>
        <w:rPr>
          <w:bCs/>
          <w:sz w:val="22"/>
          <w:szCs w:val="22"/>
        </w:rPr>
      </w:pPr>
      <w:r w:rsidRPr="00CB0594">
        <w:rPr>
          <w:bCs/>
          <w:sz w:val="22"/>
          <w:szCs w:val="22"/>
        </w:rPr>
        <w:t>Obveze prema zaposlenima su 39.649,86 € i odnose se na plaću za 12. mjesec.</w:t>
      </w:r>
    </w:p>
    <w:p w14:paraId="70F3B0B3" w14:textId="77777777" w:rsidR="00CB0594" w:rsidRPr="00CB0594" w:rsidRDefault="00CB0594" w:rsidP="00CB0594">
      <w:pPr>
        <w:spacing w:line="276" w:lineRule="auto"/>
        <w:jc w:val="both"/>
        <w:rPr>
          <w:bCs/>
          <w:sz w:val="22"/>
          <w:szCs w:val="22"/>
        </w:rPr>
      </w:pPr>
      <w:r w:rsidRPr="00CB0594">
        <w:rPr>
          <w:bCs/>
          <w:sz w:val="22"/>
          <w:szCs w:val="22"/>
        </w:rPr>
        <w:t>Za materijalne i ostale tekuće obveze stanje iznosi 20.301,89 €.</w:t>
      </w:r>
    </w:p>
    <w:p w14:paraId="4FCEB644" w14:textId="77777777" w:rsidR="00CB0594" w:rsidRPr="00CB0594" w:rsidRDefault="00CB0594" w:rsidP="00CB0594">
      <w:pPr>
        <w:spacing w:line="276" w:lineRule="auto"/>
        <w:jc w:val="both"/>
        <w:rPr>
          <w:bCs/>
          <w:sz w:val="22"/>
          <w:szCs w:val="22"/>
        </w:rPr>
      </w:pPr>
      <w:r w:rsidRPr="00CB0594">
        <w:rPr>
          <w:bCs/>
          <w:sz w:val="22"/>
          <w:szCs w:val="22"/>
        </w:rPr>
        <w:t>Obveze za nabavu nefinancijske imovine iznose 3.206,19 € te će biti podmirene  u 2025. godini u skladu s valutom plaćanja.</w:t>
      </w:r>
    </w:p>
    <w:p w14:paraId="483336A1" w14:textId="77777777" w:rsidR="00CB0594" w:rsidRPr="00CB0594" w:rsidRDefault="00CB0594" w:rsidP="00CB0594">
      <w:pPr>
        <w:spacing w:line="276" w:lineRule="auto"/>
        <w:jc w:val="both"/>
        <w:rPr>
          <w:bCs/>
          <w:sz w:val="22"/>
          <w:szCs w:val="22"/>
        </w:rPr>
      </w:pPr>
      <w:r w:rsidRPr="00CB0594">
        <w:rPr>
          <w:bCs/>
          <w:sz w:val="22"/>
          <w:szCs w:val="22"/>
        </w:rPr>
        <w:t>Dospjele obveze iznose 145,01 € i odnose se na neplaćeni račun za javnog bilježnika i račun za uredski materijal čije plaćanje nije bilo u skladu s valutom na računu.</w:t>
      </w:r>
    </w:p>
    <w:p w14:paraId="4A8921B8" w14:textId="72CD695F" w:rsidR="00491E3C" w:rsidRDefault="00491E3C" w:rsidP="00491E3C">
      <w:pPr>
        <w:spacing w:line="276" w:lineRule="auto"/>
        <w:jc w:val="both"/>
        <w:rPr>
          <w:sz w:val="22"/>
          <w:szCs w:val="22"/>
        </w:rPr>
      </w:pPr>
      <w:r w:rsidRPr="00491E3C">
        <w:rPr>
          <w:sz w:val="22"/>
          <w:szCs w:val="22"/>
        </w:rPr>
        <w:t xml:space="preserve">POU Koprivnica nema </w:t>
      </w:r>
      <w:r w:rsidR="00160F32">
        <w:rPr>
          <w:sz w:val="22"/>
          <w:szCs w:val="22"/>
        </w:rPr>
        <w:t>obveza po sudskim sporovima.</w:t>
      </w:r>
    </w:p>
    <w:p w14:paraId="1262A6FF" w14:textId="7B5D39AA" w:rsidR="00034965" w:rsidRDefault="00034965" w:rsidP="00491E3C">
      <w:pPr>
        <w:spacing w:line="276" w:lineRule="auto"/>
        <w:jc w:val="both"/>
        <w:rPr>
          <w:sz w:val="22"/>
          <w:szCs w:val="22"/>
        </w:rPr>
      </w:pPr>
      <w:r>
        <w:rPr>
          <w:sz w:val="22"/>
          <w:szCs w:val="22"/>
        </w:rPr>
        <w:t>Učilište nema vlastiti žiro račun niti stanje po navedenom jer je u riznici Grada Koprivnice od 2015. godine.</w:t>
      </w:r>
    </w:p>
    <w:p w14:paraId="60B98F88" w14:textId="134DE07B" w:rsidR="00034965" w:rsidRDefault="002B4E71" w:rsidP="00491E3C">
      <w:pPr>
        <w:spacing w:line="276" w:lineRule="auto"/>
        <w:jc w:val="both"/>
        <w:rPr>
          <w:sz w:val="22"/>
          <w:szCs w:val="22"/>
        </w:rPr>
      </w:pPr>
      <w:r>
        <w:rPr>
          <w:sz w:val="22"/>
          <w:szCs w:val="22"/>
        </w:rPr>
        <w:t xml:space="preserve">Dospjela potraživanja </w:t>
      </w:r>
      <w:r w:rsidR="00CB75AF">
        <w:rPr>
          <w:sz w:val="22"/>
          <w:szCs w:val="22"/>
        </w:rPr>
        <w:t xml:space="preserve">odnose se na potraživanja prema fizičkim osobama </w:t>
      </w:r>
      <w:r w:rsidR="00632ECC">
        <w:rPr>
          <w:sz w:val="22"/>
          <w:szCs w:val="22"/>
        </w:rPr>
        <w:t>koje smo utužili sukladno propisanim aktima POU Koprivnica. Dio nedo</w:t>
      </w:r>
      <w:r w:rsidR="004458FB">
        <w:rPr>
          <w:sz w:val="22"/>
          <w:szCs w:val="22"/>
        </w:rPr>
        <w:t xml:space="preserve">spjelih potraživanja odnosi se na račune koji su u izdani krajem </w:t>
      </w:r>
      <w:r w:rsidR="00506708">
        <w:rPr>
          <w:sz w:val="22"/>
          <w:szCs w:val="22"/>
        </w:rPr>
        <w:t xml:space="preserve">2024. </w:t>
      </w:r>
      <w:r w:rsidR="004458FB">
        <w:rPr>
          <w:sz w:val="22"/>
          <w:szCs w:val="22"/>
        </w:rPr>
        <w:t xml:space="preserve">godine te je dospijeće </w:t>
      </w:r>
      <w:r w:rsidR="00506708">
        <w:rPr>
          <w:sz w:val="22"/>
          <w:szCs w:val="22"/>
        </w:rPr>
        <w:t xml:space="preserve">računa </w:t>
      </w:r>
      <w:r w:rsidR="004458FB">
        <w:rPr>
          <w:sz w:val="22"/>
          <w:szCs w:val="22"/>
        </w:rPr>
        <w:t xml:space="preserve">u </w:t>
      </w:r>
      <w:r w:rsidR="00506708">
        <w:rPr>
          <w:sz w:val="22"/>
          <w:szCs w:val="22"/>
        </w:rPr>
        <w:t>2025. godin</w:t>
      </w:r>
      <w:r w:rsidR="00C956DF">
        <w:rPr>
          <w:sz w:val="22"/>
          <w:szCs w:val="22"/>
        </w:rPr>
        <w:t>i.</w:t>
      </w:r>
    </w:p>
    <w:p w14:paraId="6F8BDC43" w14:textId="77777777" w:rsidR="009D416E" w:rsidRDefault="009D416E" w:rsidP="00491E3C">
      <w:pPr>
        <w:spacing w:line="276" w:lineRule="auto"/>
        <w:jc w:val="both"/>
        <w:rPr>
          <w:sz w:val="22"/>
          <w:szCs w:val="22"/>
        </w:rPr>
      </w:pPr>
    </w:p>
    <w:p w14:paraId="56AE3609" w14:textId="77777777" w:rsidR="009D416E" w:rsidRPr="00491E3C" w:rsidRDefault="009D416E" w:rsidP="00491E3C">
      <w:pPr>
        <w:spacing w:line="276" w:lineRule="auto"/>
        <w:jc w:val="both"/>
        <w:rPr>
          <w:sz w:val="22"/>
          <w:szCs w:val="22"/>
        </w:rPr>
      </w:pPr>
    </w:p>
    <w:tbl>
      <w:tblPr>
        <w:tblW w:w="5560" w:type="dxa"/>
        <w:jc w:val="center"/>
        <w:tblLook w:val="04A0" w:firstRow="1" w:lastRow="0" w:firstColumn="1" w:lastColumn="0" w:noHBand="0" w:noVBand="1"/>
      </w:tblPr>
      <w:tblGrid>
        <w:gridCol w:w="3640"/>
        <w:gridCol w:w="1920"/>
      </w:tblGrid>
      <w:tr w:rsidR="009D416E" w:rsidRPr="009D416E" w14:paraId="303EF1C8" w14:textId="77777777" w:rsidTr="00B804D3">
        <w:trPr>
          <w:trHeight w:val="300"/>
          <w:jc w:val="center"/>
        </w:trPr>
        <w:tc>
          <w:tcPr>
            <w:tcW w:w="3640" w:type="dxa"/>
            <w:tcBorders>
              <w:top w:val="single" w:sz="4" w:space="0" w:color="auto"/>
              <w:left w:val="single" w:sz="4" w:space="0" w:color="auto"/>
              <w:bottom w:val="single" w:sz="4" w:space="0" w:color="auto"/>
              <w:right w:val="single" w:sz="4" w:space="0" w:color="000000"/>
            </w:tcBorders>
            <w:shd w:val="clear" w:color="000000" w:fill="DCE6F1"/>
            <w:noWrap/>
            <w:vAlign w:val="bottom"/>
            <w:hideMark/>
          </w:tcPr>
          <w:p w14:paraId="0E0A034C" w14:textId="77777777" w:rsidR="009D416E" w:rsidRPr="009D416E" w:rsidRDefault="009D416E" w:rsidP="009D416E">
            <w:pPr>
              <w:spacing w:line="276" w:lineRule="auto"/>
              <w:jc w:val="both"/>
              <w:rPr>
                <w:sz w:val="22"/>
                <w:szCs w:val="22"/>
              </w:rPr>
            </w:pPr>
            <w:r w:rsidRPr="009D416E">
              <w:rPr>
                <w:sz w:val="22"/>
                <w:szCs w:val="22"/>
              </w:rPr>
              <w:t>POU Koprivnica</w:t>
            </w:r>
          </w:p>
        </w:tc>
        <w:tc>
          <w:tcPr>
            <w:tcW w:w="1920" w:type="dxa"/>
            <w:tcBorders>
              <w:top w:val="single" w:sz="4" w:space="0" w:color="auto"/>
              <w:left w:val="nil"/>
              <w:bottom w:val="single" w:sz="4" w:space="0" w:color="auto"/>
              <w:right w:val="single" w:sz="4" w:space="0" w:color="auto"/>
            </w:tcBorders>
            <w:shd w:val="clear" w:color="000000" w:fill="DCE6F1"/>
            <w:noWrap/>
            <w:vAlign w:val="bottom"/>
            <w:hideMark/>
          </w:tcPr>
          <w:p w14:paraId="312D41B8" w14:textId="77777777" w:rsidR="009D416E" w:rsidRPr="009D416E" w:rsidRDefault="009D416E" w:rsidP="009D416E">
            <w:pPr>
              <w:spacing w:line="276" w:lineRule="auto"/>
              <w:jc w:val="both"/>
              <w:rPr>
                <w:sz w:val="22"/>
                <w:szCs w:val="22"/>
              </w:rPr>
            </w:pPr>
            <w:r w:rsidRPr="009D416E">
              <w:rPr>
                <w:sz w:val="22"/>
                <w:szCs w:val="22"/>
              </w:rPr>
              <w:t>Stanje 31.12.2024.</w:t>
            </w:r>
          </w:p>
        </w:tc>
      </w:tr>
      <w:tr w:rsidR="009D416E" w:rsidRPr="009D416E" w14:paraId="1A1E337D" w14:textId="77777777" w:rsidTr="00B804D3">
        <w:trPr>
          <w:trHeight w:val="300"/>
          <w:jc w:val="center"/>
        </w:trPr>
        <w:tc>
          <w:tcPr>
            <w:tcW w:w="364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9CE597F" w14:textId="77777777" w:rsidR="009D416E" w:rsidRPr="009D416E" w:rsidRDefault="009D416E" w:rsidP="009D416E">
            <w:pPr>
              <w:spacing w:line="276" w:lineRule="auto"/>
              <w:jc w:val="both"/>
              <w:rPr>
                <w:sz w:val="22"/>
                <w:szCs w:val="22"/>
              </w:rPr>
            </w:pPr>
            <w:r w:rsidRPr="009D416E">
              <w:rPr>
                <w:sz w:val="22"/>
                <w:szCs w:val="22"/>
              </w:rPr>
              <w:t>Nedospjela nenaplaćena potraživanja</w:t>
            </w:r>
          </w:p>
        </w:tc>
        <w:tc>
          <w:tcPr>
            <w:tcW w:w="1920" w:type="dxa"/>
            <w:tcBorders>
              <w:top w:val="nil"/>
              <w:left w:val="nil"/>
              <w:bottom w:val="single" w:sz="4" w:space="0" w:color="auto"/>
              <w:right w:val="single" w:sz="4" w:space="0" w:color="auto"/>
            </w:tcBorders>
            <w:shd w:val="clear" w:color="auto" w:fill="auto"/>
            <w:noWrap/>
            <w:vAlign w:val="bottom"/>
            <w:hideMark/>
          </w:tcPr>
          <w:p w14:paraId="7C4C6727" w14:textId="62DE86EA" w:rsidR="009D416E" w:rsidRPr="009D416E" w:rsidRDefault="009D416E" w:rsidP="009D416E">
            <w:pPr>
              <w:spacing w:line="276" w:lineRule="auto"/>
              <w:jc w:val="both"/>
              <w:rPr>
                <w:sz w:val="22"/>
                <w:szCs w:val="22"/>
              </w:rPr>
            </w:pPr>
            <w:r w:rsidRPr="009D416E">
              <w:rPr>
                <w:sz w:val="22"/>
                <w:szCs w:val="22"/>
              </w:rPr>
              <w:t xml:space="preserve"> </w:t>
            </w:r>
            <w:r w:rsidR="00D061FF">
              <w:rPr>
                <w:sz w:val="22"/>
                <w:szCs w:val="22"/>
              </w:rPr>
              <w:t xml:space="preserve">10.913,81 </w:t>
            </w:r>
            <w:r w:rsidRPr="009D416E">
              <w:rPr>
                <w:sz w:val="22"/>
                <w:szCs w:val="22"/>
              </w:rPr>
              <w:t>EUR</w:t>
            </w:r>
          </w:p>
        </w:tc>
      </w:tr>
      <w:tr w:rsidR="009D416E" w:rsidRPr="009D416E" w14:paraId="2BC7C35D" w14:textId="77777777" w:rsidTr="00B804D3">
        <w:trPr>
          <w:trHeight w:val="300"/>
          <w:jc w:val="center"/>
        </w:trPr>
        <w:tc>
          <w:tcPr>
            <w:tcW w:w="364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3AA00AE" w14:textId="77777777" w:rsidR="009D416E" w:rsidRPr="009D416E" w:rsidRDefault="009D416E" w:rsidP="009D416E">
            <w:pPr>
              <w:spacing w:line="276" w:lineRule="auto"/>
              <w:jc w:val="both"/>
              <w:rPr>
                <w:sz w:val="22"/>
                <w:szCs w:val="22"/>
              </w:rPr>
            </w:pPr>
            <w:r w:rsidRPr="009D416E">
              <w:rPr>
                <w:sz w:val="22"/>
                <w:szCs w:val="22"/>
              </w:rPr>
              <w:t>Dospjela nenaplaćena potraživanja</w:t>
            </w:r>
          </w:p>
        </w:tc>
        <w:tc>
          <w:tcPr>
            <w:tcW w:w="1920" w:type="dxa"/>
            <w:tcBorders>
              <w:top w:val="nil"/>
              <w:left w:val="nil"/>
              <w:bottom w:val="single" w:sz="4" w:space="0" w:color="auto"/>
              <w:right w:val="single" w:sz="4" w:space="0" w:color="auto"/>
            </w:tcBorders>
            <w:shd w:val="clear" w:color="auto" w:fill="auto"/>
            <w:noWrap/>
            <w:vAlign w:val="bottom"/>
            <w:hideMark/>
          </w:tcPr>
          <w:p w14:paraId="7BE8C483" w14:textId="4080BC35" w:rsidR="009D416E" w:rsidRPr="009D416E" w:rsidRDefault="009D416E" w:rsidP="009D416E">
            <w:pPr>
              <w:spacing w:line="276" w:lineRule="auto"/>
              <w:jc w:val="both"/>
              <w:rPr>
                <w:sz w:val="22"/>
                <w:szCs w:val="22"/>
              </w:rPr>
            </w:pPr>
            <w:r w:rsidRPr="009D416E">
              <w:rPr>
                <w:sz w:val="22"/>
                <w:szCs w:val="22"/>
              </w:rPr>
              <w:t xml:space="preserve"> </w:t>
            </w:r>
            <w:r w:rsidR="002B4E71">
              <w:rPr>
                <w:sz w:val="22"/>
                <w:szCs w:val="22"/>
              </w:rPr>
              <w:t xml:space="preserve">  </w:t>
            </w:r>
            <w:r w:rsidR="005E5296">
              <w:rPr>
                <w:sz w:val="22"/>
                <w:szCs w:val="22"/>
              </w:rPr>
              <w:t xml:space="preserve">2.599,04 </w:t>
            </w:r>
            <w:r w:rsidRPr="009D416E">
              <w:rPr>
                <w:sz w:val="22"/>
                <w:szCs w:val="22"/>
              </w:rPr>
              <w:t>EUR</w:t>
            </w:r>
          </w:p>
        </w:tc>
      </w:tr>
      <w:tr w:rsidR="009D416E" w:rsidRPr="009D416E" w14:paraId="4D5D5893" w14:textId="77777777" w:rsidTr="00B804D3">
        <w:trPr>
          <w:trHeight w:val="300"/>
          <w:jc w:val="center"/>
        </w:trPr>
        <w:tc>
          <w:tcPr>
            <w:tcW w:w="364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99E7E4F" w14:textId="77777777" w:rsidR="009D416E" w:rsidRPr="009D416E" w:rsidRDefault="009D416E" w:rsidP="009D416E">
            <w:pPr>
              <w:spacing w:line="276" w:lineRule="auto"/>
              <w:jc w:val="both"/>
              <w:rPr>
                <w:sz w:val="22"/>
                <w:szCs w:val="22"/>
              </w:rPr>
            </w:pPr>
            <w:r w:rsidRPr="009D416E">
              <w:rPr>
                <w:sz w:val="22"/>
                <w:szCs w:val="22"/>
              </w:rPr>
              <w:t>Dospjele obveze</w:t>
            </w:r>
          </w:p>
        </w:tc>
        <w:tc>
          <w:tcPr>
            <w:tcW w:w="1920" w:type="dxa"/>
            <w:tcBorders>
              <w:top w:val="nil"/>
              <w:left w:val="nil"/>
              <w:bottom w:val="single" w:sz="4" w:space="0" w:color="auto"/>
              <w:right w:val="single" w:sz="4" w:space="0" w:color="auto"/>
            </w:tcBorders>
            <w:shd w:val="clear" w:color="auto" w:fill="auto"/>
            <w:noWrap/>
            <w:vAlign w:val="bottom"/>
            <w:hideMark/>
          </w:tcPr>
          <w:p w14:paraId="40606707" w14:textId="35B40F32" w:rsidR="009D416E" w:rsidRPr="009D416E" w:rsidRDefault="002B4E71" w:rsidP="009D416E">
            <w:pPr>
              <w:spacing w:line="276" w:lineRule="auto"/>
              <w:jc w:val="both"/>
              <w:rPr>
                <w:sz w:val="22"/>
                <w:szCs w:val="22"/>
              </w:rPr>
            </w:pPr>
            <w:r>
              <w:rPr>
                <w:sz w:val="22"/>
                <w:szCs w:val="22"/>
              </w:rPr>
              <w:t xml:space="preserve">     </w:t>
            </w:r>
            <w:r w:rsidR="002645B8">
              <w:rPr>
                <w:sz w:val="22"/>
                <w:szCs w:val="22"/>
              </w:rPr>
              <w:t xml:space="preserve">145,01 </w:t>
            </w:r>
            <w:r w:rsidR="009D416E" w:rsidRPr="009D416E">
              <w:rPr>
                <w:sz w:val="22"/>
                <w:szCs w:val="22"/>
              </w:rPr>
              <w:t xml:space="preserve"> EUR</w:t>
            </w:r>
          </w:p>
        </w:tc>
      </w:tr>
      <w:tr w:rsidR="009D416E" w:rsidRPr="009D416E" w14:paraId="28F875FB" w14:textId="77777777" w:rsidTr="00B804D3">
        <w:trPr>
          <w:trHeight w:val="300"/>
          <w:jc w:val="center"/>
        </w:trPr>
        <w:tc>
          <w:tcPr>
            <w:tcW w:w="364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11BE1DC" w14:textId="77777777" w:rsidR="009D416E" w:rsidRPr="009D416E" w:rsidRDefault="009D416E" w:rsidP="009D416E">
            <w:pPr>
              <w:spacing w:line="276" w:lineRule="auto"/>
              <w:jc w:val="both"/>
              <w:rPr>
                <w:sz w:val="22"/>
                <w:szCs w:val="22"/>
              </w:rPr>
            </w:pPr>
            <w:r w:rsidRPr="009D416E">
              <w:rPr>
                <w:sz w:val="22"/>
                <w:szCs w:val="22"/>
              </w:rPr>
              <w:t>Nedospjele obveze</w:t>
            </w:r>
          </w:p>
        </w:tc>
        <w:tc>
          <w:tcPr>
            <w:tcW w:w="1920" w:type="dxa"/>
            <w:tcBorders>
              <w:top w:val="nil"/>
              <w:left w:val="nil"/>
              <w:bottom w:val="single" w:sz="4" w:space="0" w:color="auto"/>
              <w:right w:val="single" w:sz="4" w:space="0" w:color="auto"/>
            </w:tcBorders>
            <w:shd w:val="clear" w:color="auto" w:fill="auto"/>
            <w:noWrap/>
            <w:vAlign w:val="bottom"/>
            <w:hideMark/>
          </w:tcPr>
          <w:p w14:paraId="75B48252" w14:textId="510FC094" w:rsidR="009D416E" w:rsidRPr="009D416E" w:rsidRDefault="009D416E" w:rsidP="009D416E">
            <w:pPr>
              <w:spacing w:line="276" w:lineRule="auto"/>
              <w:jc w:val="both"/>
              <w:rPr>
                <w:sz w:val="22"/>
                <w:szCs w:val="22"/>
              </w:rPr>
            </w:pPr>
            <w:r w:rsidRPr="009D416E">
              <w:rPr>
                <w:sz w:val="22"/>
                <w:szCs w:val="22"/>
              </w:rPr>
              <w:t xml:space="preserve"> </w:t>
            </w:r>
            <w:r w:rsidR="005E5296">
              <w:rPr>
                <w:sz w:val="22"/>
                <w:szCs w:val="22"/>
              </w:rPr>
              <w:t>63.</w:t>
            </w:r>
            <w:r w:rsidR="002645B8">
              <w:rPr>
                <w:sz w:val="22"/>
                <w:szCs w:val="22"/>
              </w:rPr>
              <w:t>157,94</w:t>
            </w:r>
            <w:r w:rsidR="00EA0C6B">
              <w:rPr>
                <w:sz w:val="22"/>
                <w:szCs w:val="22"/>
              </w:rPr>
              <w:t xml:space="preserve"> </w:t>
            </w:r>
            <w:r w:rsidRPr="009D416E">
              <w:rPr>
                <w:sz w:val="22"/>
                <w:szCs w:val="22"/>
              </w:rPr>
              <w:t>EUR</w:t>
            </w:r>
          </w:p>
        </w:tc>
      </w:tr>
    </w:tbl>
    <w:p w14:paraId="59BD13C3" w14:textId="09DF6916" w:rsidR="00073566" w:rsidRPr="0021108D" w:rsidRDefault="00073566" w:rsidP="0017288E">
      <w:pPr>
        <w:spacing w:line="276" w:lineRule="auto"/>
        <w:jc w:val="both"/>
        <w:rPr>
          <w:sz w:val="22"/>
          <w:szCs w:val="22"/>
        </w:rPr>
      </w:pPr>
    </w:p>
    <w:p w14:paraId="04582AC4" w14:textId="77777777" w:rsidR="005D0A7B" w:rsidRPr="0021108D" w:rsidRDefault="005D0A7B" w:rsidP="0017288E">
      <w:pPr>
        <w:spacing w:line="276" w:lineRule="auto"/>
        <w:jc w:val="both"/>
        <w:rPr>
          <w:sz w:val="22"/>
          <w:szCs w:val="22"/>
        </w:rPr>
      </w:pPr>
    </w:p>
    <w:p w14:paraId="5D7B22A9" w14:textId="3DB129C3" w:rsidR="00F46131" w:rsidRPr="0021108D" w:rsidRDefault="00F46131" w:rsidP="00E13005">
      <w:pPr>
        <w:tabs>
          <w:tab w:val="left" w:pos="4080"/>
        </w:tabs>
        <w:spacing w:line="276" w:lineRule="auto"/>
        <w:jc w:val="both"/>
        <w:rPr>
          <w:color w:val="000000"/>
          <w:sz w:val="22"/>
          <w:szCs w:val="22"/>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E13005" w:rsidRPr="0021108D" w14:paraId="161F9208" w14:textId="77777777" w:rsidTr="00E13005">
        <w:trPr>
          <w:trHeight w:val="753"/>
        </w:trPr>
        <w:tc>
          <w:tcPr>
            <w:tcW w:w="5228" w:type="dxa"/>
          </w:tcPr>
          <w:p w14:paraId="100E1CC2" w14:textId="77777777" w:rsidR="00E13005" w:rsidRPr="0021108D" w:rsidRDefault="00E13005" w:rsidP="00E13005">
            <w:pPr>
              <w:tabs>
                <w:tab w:val="left" w:pos="4080"/>
              </w:tabs>
              <w:spacing w:line="276" w:lineRule="auto"/>
              <w:jc w:val="both"/>
              <w:rPr>
                <w:color w:val="000000"/>
                <w:sz w:val="22"/>
                <w:szCs w:val="22"/>
              </w:rPr>
            </w:pPr>
          </w:p>
        </w:tc>
        <w:tc>
          <w:tcPr>
            <w:tcW w:w="5228" w:type="dxa"/>
          </w:tcPr>
          <w:p w14:paraId="1A7FF981" w14:textId="2B271F6E" w:rsidR="00E13005" w:rsidRPr="0021108D" w:rsidRDefault="00115D4C" w:rsidP="00E13005">
            <w:pPr>
              <w:tabs>
                <w:tab w:val="left" w:pos="4080"/>
              </w:tabs>
              <w:spacing w:line="276" w:lineRule="auto"/>
              <w:jc w:val="center"/>
              <w:rPr>
                <w:color w:val="000000"/>
                <w:sz w:val="22"/>
                <w:szCs w:val="22"/>
              </w:rPr>
            </w:pPr>
            <w:r w:rsidRPr="0021108D">
              <w:rPr>
                <w:color w:val="000000"/>
                <w:sz w:val="22"/>
                <w:szCs w:val="22"/>
              </w:rPr>
              <w:t>Predsjednik Upravnog vijeća</w:t>
            </w:r>
            <w:r w:rsidR="00662EC9" w:rsidRPr="0021108D">
              <w:rPr>
                <w:color w:val="000000"/>
                <w:sz w:val="22"/>
                <w:szCs w:val="22"/>
              </w:rPr>
              <w:t>:</w:t>
            </w:r>
          </w:p>
          <w:p w14:paraId="0871F062" w14:textId="352795CB" w:rsidR="00E13005" w:rsidRPr="0021108D" w:rsidRDefault="00662EC9" w:rsidP="00803E66">
            <w:pPr>
              <w:tabs>
                <w:tab w:val="left" w:pos="1710"/>
                <w:tab w:val="left" w:pos="4080"/>
              </w:tabs>
              <w:spacing w:line="276" w:lineRule="auto"/>
              <w:jc w:val="center"/>
              <w:rPr>
                <w:color w:val="000000"/>
                <w:sz w:val="22"/>
                <w:szCs w:val="22"/>
              </w:rPr>
            </w:pPr>
            <w:r w:rsidRPr="0021108D">
              <w:rPr>
                <w:color w:val="000000"/>
                <w:sz w:val="22"/>
                <w:szCs w:val="22"/>
              </w:rPr>
              <w:t>Siniša Fabijanec,</w:t>
            </w:r>
            <w:r w:rsidR="008D104D" w:rsidRPr="0021108D">
              <w:rPr>
                <w:color w:val="000000"/>
                <w:sz w:val="22"/>
                <w:szCs w:val="22"/>
              </w:rPr>
              <w:t xml:space="preserve"> </w:t>
            </w:r>
            <w:r w:rsidRPr="0021108D">
              <w:rPr>
                <w:color w:val="000000"/>
                <w:sz w:val="22"/>
                <w:szCs w:val="22"/>
              </w:rPr>
              <w:t>univ.spec.polit.</w:t>
            </w:r>
          </w:p>
        </w:tc>
      </w:tr>
    </w:tbl>
    <w:p w14:paraId="509C0371" w14:textId="3A939039" w:rsidR="00E13005" w:rsidRPr="0021108D" w:rsidRDefault="00E13005" w:rsidP="00E13005">
      <w:pPr>
        <w:tabs>
          <w:tab w:val="left" w:pos="4080"/>
        </w:tabs>
        <w:spacing w:line="276" w:lineRule="auto"/>
        <w:jc w:val="both"/>
        <w:rPr>
          <w:color w:val="000000"/>
          <w:sz w:val="22"/>
          <w:szCs w:val="22"/>
        </w:rPr>
      </w:pPr>
    </w:p>
    <w:p w14:paraId="43757921" w14:textId="695C3E68" w:rsidR="000B5684" w:rsidRPr="00BB067B" w:rsidRDefault="00DF7F31" w:rsidP="00CD37EA">
      <w:pPr>
        <w:tabs>
          <w:tab w:val="left" w:pos="4080"/>
        </w:tabs>
        <w:spacing w:line="276" w:lineRule="auto"/>
        <w:jc w:val="center"/>
        <w:rPr>
          <w:sz w:val="22"/>
          <w:szCs w:val="22"/>
        </w:rPr>
      </w:pPr>
      <w:r w:rsidRPr="0021108D">
        <w:rPr>
          <w:color w:val="000000"/>
          <w:sz w:val="22"/>
          <w:szCs w:val="22"/>
        </w:rPr>
        <w:tab/>
      </w:r>
      <w:r w:rsidRPr="00BE4EA7">
        <w:rPr>
          <w:color w:val="000000"/>
          <w:sz w:val="22"/>
          <w:szCs w:val="22"/>
        </w:rPr>
        <w:tab/>
      </w:r>
      <w:r w:rsidRPr="00BE4EA7">
        <w:rPr>
          <w:color w:val="000000"/>
          <w:sz w:val="22"/>
          <w:szCs w:val="22"/>
        </w:rPr>
        <w:tab/>
      </w:r>
    </w:p>
    <w:sectPr w:rsidR="000B5684" w:rsidRPr="00BB067B" w:rsidSect="00A94FE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07A5B" w14:textId="77777777" w:rsidR="00474345" w:rsidRPr="00BE4EA7" w:rsidRDefault="00474345" w:rsidP="00613455">
      <w:r w:rsidRPr="00BE4EA7">
        <w:separator/>
      </w:r>
    </w:p>
  </w:endnote>
  <w:endnote w:type="continuationSeparator" w:id="0">
    <w:p w14:paraId="54876CEF" w14:textId="77777777" w:rsidR="00474345" w:rsidRPr="00BE4EA7" w:rsidRDefault="00474345" w:rsidP="00613455">
      <w:r w:rsidRPr="00BE4EA7">
        <w:continuationSeparator/>
      </w:r>
    </w:p>
  </w:endnote>
  <w:endnote w:type="continuationNotice" w:id="1">
    <w:p w14:paraId="2447C09A" w14:textId="77777777" w:rsidR="00474345" w:rsidRDefault="004743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86921D" w14:textId="77777777" w:rsidR="00474345" w:rsidRPr="00BE4EA7" w:rsidRDefault="00474345" w:rsidP="00613455">
      <w:r w:rsidRPr="00BE4EA7">
        <w:separator/>
      </w:r>
    </w:p>
  </w:footnote>
  <w:footnote w:type="continuationSeparator" w:id="0">
    <w:p w14:paraId="3DF4862F" w14:textId="77777777" w:rsidR="00474345" w:rsidRPr="00BE4EA7" w:rsidRDefault="00474345" w:rsidP="00613455">
      <w:r w:rsidRPr="00BE4EA7">
        <w:continuationSeparator/>
      </w:r>
    </w:p>
  </w:footnote>
  <w:footnote w:type="continuationNotice" w:id="1">
    <w:p w14:paraId="0A4CB6C5" w14:textId="77777777" w:rsidR="00474345" w:rsidRDefault="0047434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D019C"/>
    <w:multiLevelType w:val="multilevel"/>
    <w:tmpl w:val="7EACF6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B30D11"/>
    <w:multiLevelType w:val="hybridMultilevel"/>
    <w:tmpl w:val="61822DDE"/>
    <w:lvl w:ilvl="0" w:tplc="8EC475A6">
      <w:start w:val="6"/>
      <w:numFmt w:val="decimal"/>
      <w:lvlText w:val="%1."/>
      <w:lvlJc w:val="left"/>
      <w:pPr>
        <w:tabs>
          <w:tab w:val="num" w:pos="720"/>
        </w:tabs>
        <w:ind w:left="720" w:hanging="375"/>
      </w:pPr>
      <w:rPr>
        <w:rFonts w:hint="default"/>
      </w:rPr>
    </w:lvl>
    <w:lvl w:ilvl="1" w:tplc="A85084A8">
      <w:start w:val="1"/>
      <w:numFmt w:val="upperLetter"/>
      <w:lvlText w:val="%2."/>
      <w:lvlJc w:val="left"/>
      <w:pPr>
        <w:tabs>
          <w:tab w:val="num" w:pos="1425"/>
        </w:tabs>
        <w:ind w:left="1425" w:hanging="360"/>
      </w:pPr>
      <w:rPr>
        <w:rFonts w:hint="default"/>
      </w:rPr>
    </w:lvl>
    <w:lvl w:ilvl="2" w:tplc="18BC43E8">
      <w:start w:val="1"/>
      <w:numFmt w:val="upperLetter"/>
      <w:lvlText w:val="%3)"/>
      <w:lvlJc w:val="left"/>
      <w:pPr>
        <w:tabs>
          <w:tab w:val="num" w:pos="2325"/>
        </w:tabs>
        <w:ind w:left="2325" w:hanging="360"/>
      </w:pPr>
      <w:rPr>
        <w:rFonts w:hint="default"/>
      </w:rPr>
    </w:lvl>
    <w:lvl w:ilvl="3" w:tplc="041A000F">
      <w:start w:val="1"/>
      <w:numFmt w:val="decimal"/>
      <w:lvlText w:val="%4."/>
      <w:lvlJc w:val="left"/>
      <w:pPr>
        <w:tabs>
          <w:tab w:val="num" w:pos="2865"/>
        </w:tabs>
        <w:ind w:left="2865" w:hanging="360"/>
      </w:pPr>
    </w:lvl>
    <w:lvl w:ilvl="4" w:tplc="041A0019">
      <w:start w:val="1"/>
      <w:numFmt w:val="lowerLetter"/>
      <w:lvlText w:val="%5."/>
      <w:lvlJc w:val="left"/>
      <w:pPr>
        <w:tabs>
          <w:tab w:val="num" w:pos="3585"/>
        </w:tabs>
        <w:ind w:left="3585" w:hanging="360"/>
      </w:pPr>
    </w:lvl>
    <w:lvl w:ilvl="5" w:tplc="041A001B">
      <w:start w:val="1"/>
      <w:numFmt w:val="lowerRoman"/>
      <w:lvlText w:val="%6."/>
      <w:lvlJc w:val="right"/>
      <w:pPr>
        <w:tabs>
          <w:tab w:val="num" w:pos="4305"/>
        </w:tabs>
        <w:ind w:left="4305" w:hanging="180"/>
      </w:pPr>
    </w:lvl>
    <w:lvl w:ilvl="6" w:tplc="041A000F">
      <w:start w:val="1"/>
      <w:numFmt w:val="decimal"/>
      <w:lvlText w:val="%7."/>
      <w:lvlJc w:val="left"/>
      <w:pPr>
        <w:tabs>
          <w:tab w:val="num" w:pos="5025"/>
        </w:tabs>
        <w:ind w:left="5025" w:hanging="360"/>
      </w:pPr>
    </w:lvl>
    <w:lvl w:ilvl="7" w:tplc="041A0019">
      <w:start w:val="1"/>
      <w:numFmt w:val="lowerLetter"/>
      <w:lvlText w:val="%8."/>
      <w:lvlJc w:val="left"/>
      <w:pPr>
        <w:tabs>
          <w:tab w:val="num" w:pos="5745"/>
        </w:tabs>
        <w:ind w:left="5745" w:hanging="360"/>
      </w:pPr>
    </w:lvl>
    <w:lvl w:ilvl="8" w:tplc="041A001B">
      <w:start w:val="1"/>
      <w:numFmt w:val="lowerRoman"/>
      <w:lvlText w:val="%9."/>
      <w:lvlJc w:val="right"/>
      <w:pPr>
        <w:tabs>
          <w:tab w:val="num" w:pos="6465"/>
        </w:tabs>
        <w:ind w:left="6465" w:hanging="180"/>
      </w:pPr>
    </w:lvl>
  </w:abstractNum>
  <w:abstractNum w:abstractNumId="2" w15:restartNumberingAfterBreak="0">
    <w:nsid w:val="10176EDB"/>
    <w:multiLevelType w:val="hybridMultilevel"/>
    <w:tmpl w:val="3B3AAC6C"/>
    <w:lvl w:ilvl="0" w:tplc="7A8CB71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10472FA1"/>
    <w:multiLevelType w:val="hybridMultilevel"/>
    <w:tmpl w:val="23DAD324"/>
    <w:lvl w:ilvl="0" w:tplc="041A0017">
      <w:start w:val="1"/>
      <w:numFmt w:val="lowerLetter"/>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4" w15:restartNumberingAfterBreak="0">
    <w:nsid w:val="36AA6392"/>
    <w:multiLevelType w:val="hybridMultilevel"/>
    <w:tmpl w:val="D1202E4E"/>
    <w:lvl w:ilvl="0" w:tplc="041A0017">
      <w:start w:val="1"/>
      <w:numFmt w:val="lowerLetter"/>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5" w15:restartNumberingAfterBreak="0">
    <w:nsid w:val="37491F86"/>
    <w:multiLevelType w:val="hybridMultilevel"/>
    <w:tmpl w:val="17A454D6"/>
    <w:lvl w:ilvl="0" w:tplc="EDB032B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44773D3A"/>
    <w:multiLevelType w:val="hybridMultilevel"/>
    <w:tmpl w:val="733C316A"/>
    <w:lvl w:ilvl="0" w:tplc="041A0001">
      <w:start w:val="1"/>
      <w:numFmt w:val="bullet"/>
      <w:lvlText w:val=""/>
      <w:lvlJc w:val="left"/>
      <w:pPr>
        <w:tabs>
          <w:tab w:val="num" w:pos="502"/>
        </w:tabs>
        <w:ind w:left="502"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7" w15:restartNumberingAfterBreak="0">
    <w:nsid w:val="45C14333"/>
    <w:multiLevelType w:val="hybridMultilevel"/>
    <w:tmpl w:val="B7221BCC"/>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B2A5E72"/>
    <w:multiLevelType w:val="hybridMultilevel"/>
    <w:tmpl w:val="68E245E4"/>
    <w:lvl w:ilvl="0" w:tplc="BB10C538">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9" w15:restartNumberingAfterBreak="0">
    <w:nsid w:val="4B3E404C"/>
    <w:multiLevelType w:val="hybridMultilevel"/>
    <w:tmpl w:val="D5387700"/>
    <w:lvl w:ilvl="0" w:tplc="52B6A12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FB92996"/>
    <w:multiLevelType w:val="hybridMultilevel"/>
    <w:tmpl w:val="5868EB5E"/>
    <w:lvl w:ilvl="0" w:tplc="03A89CBC">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51B84B0D"/>
    <w:multiLevelType w:val="multilevel"/>
    <w:tmpl w:val="D70A18C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79D05D9"/>
    <w:multiLevelType w:val="hybridMultilevel"/>
    <w:tmpl w:val="D6C24B4C"/>
    <w:lvl w:ilvl="0" w:tplc="F21E3394">
      <w:start w:val="1"/>
      <w:numFmt w:val="decimal"/>
      <w:lvlText w:val="%1."/>
      <w:lvlJc w:val="left"/>
      <w:pPr>
        <w:ind w:left="1080" w:hanging="360"/>
      </w:pPr>
      <w:rPr>
        <w:rFonts w:ascii="Times New Roman" w:eastAsia="Calibri" w:hAnsi="Times New Roman" w:cs="Times New Roman"/>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2035500549">
    <w:abstractNumId w:val="9"/>
  </w:num>
  <w:num w:numId="2" w16cid:durableId="1621843142">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93946517">
    <w:abstractNumId w:val="6"/>
  </w:num>
  <w:num w:numId="4" w16cid:durableId="723941621">
    <w:abstractNumId w:val="7"/>
  </w:num>
  <w:num w:numId="5" w16cid:durableId="2092121337">
    <w:abstractNumId w:val="0"/>
  </w:num>
  <w:num w:numId="6" w16cid:durableId="9053813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79169995">
    <w:abstractNumId w:val="11"/>
  </w:num>
  <w:num w:numId="8" w16cid:durableId="361169537">
    <w:abstractNumId w:val="12"/>
  </w:num>
  <w:num w:numId="9" w16cid:durableId="502206225">
    <w:abstractNumId w:val="5"/>
  </w:num>
  <w:num w:numId="10" w16cid:durableId="1729842354">
    <w:abstractNumId w:val="10"/>
  </w:num>
  <w:num w:numId="11" w16cid:durableId="8116015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459889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433252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3F6"/>
    <w:rsid w:val="0000010B"/>
    <w:rsid w:val="00001476"/>
    <w:rsid w:val="0000178B"/>
    <w:rsid w:val="00001D1D"/>
    <w:rsid w:val="00002CAE"/>
    <w:rsid w:val="0000317A"/>
    <w:rsid w:val="00003CE7"/>
    <w:rsid w:val="0000476E"/>
    <w:rsid w:val="00005A34"/>
    <w:rsid w:val="00005EC5"/>
    <w:rsid w:val="00005EDE"/>
    <w:rsid w:val="0000601A"/>
    <w:rsid w:val="0001062A"/>
    <w:rsid w:val="00012B4B"/>
    <w:rsid w:val="00013563"/>
    <w:rsid w:val="00013718"/>
    <w:rsid w:val="00013944"/>
    <w:rsid w:val="00013D0B"/>
    <w:rsid w:val="00015511"/>
    <w:rsid w:val="00015A30"/>
    <w:rsid w:val="0001622F"/>
    <w:rsid w:val="00016D57"/>
    <w:rsid w:val="00016E20"/>
    <w:rsid w:val="000171EE"/>
    <w:rsid w:val="00017AB8"/>
    <w:rsid w:val="00020FB8"/>
    <w:rsid w:val="00021535"/>
    <w:rsid w:val="00021FE2"/>
    <w:rsid w:val="00022CE2"/>
    <w:rsid w:val="0002315D"/>
    <w:rsid w:val="000253E8"/>
    <w:rsid w:val="00025A68"/>
    <w:rsid w:val="00026A5A"/>
    <w:rsid w:val="0002791C"/>
    <w:rsid w:val="00030236"/>
    <w:rsid w:val="00030A3C"/>
    <w:rsid w:val="0003147A"/>
    <w:rsid w:val="000316E9"/>
    <w:rsid w:val="0003198C"/>
    <w:rsid w:val="0003243D"/>
    <w:rsid w:val="00033C7A"/>
    <w:rsid w:val="00034965"/>
    <w:rsid w:val="000367E4"/>
    <w:rsid w:val="00036863"/>
    <w:rsid w:val="00040704"/>
    <w:rsid w:val="000408C2"/>
    <w:rsid w:val="0004103D"/>
    <w:rsid w:val="000419B0"/>
    <w:rsid w:val="00041FD7"/>
    <w:rsid w:val="00043DBE"/>
    <w:rsid w:val="000441B6"/>
    <w:rsid w:val="000449E9"/>
    <w:rsid w:val="00045780"/>
    <w:rsid w:val="0004587D"/>
    <w:rsid w:val="00045F19"/>
    <w:rsid w:val="00046A25"/>
    <w:rsid w:val="00046D96"/>
    <w:rsid w:val="00046EB3"/>
    <w:rsid w:val="000476D8"/>
    <w:rsid w:val="00047915"/>
    <w:rsid w:val="00047963"/>
    <w:rsid w:val="00050C63"/>
    <w:rsid w:val="00051055"/>
    <w:rsid w:val="0005126C"/>
    <w:rsid w:val="000518CD"/>
    <w:rsid w:val="00051B71"/>
    <w:rsid w:val="00051F82"/>
    <w:rsid w:val="0005228E"/>
    <w:rsid w:val="00052A39"/>
    <w:rsid w:val="0005322C"/>
    <w:rsid w:val="00053377"/>
    <w:rsid w:val="000546C1"/>
    <w:rsid w:val="00055486"/>
    <w:rsid w:val="000555E3"/>
    <w:rsid w:val="00060753"/>
    <w:rsid w:val="00060D23"/>
    <w:rsid w:val="00060F2F"/>
    <w:rsid w:val="00061020"/>
    <w:rsid w:val="000630E0"/>
    <w:rsid w:val="000635CD"/>
    <w:rsid w:val="000637A5"/>
    <w:rsid w:val="00063ADC"/>
    <w:rsid w:val="00064D88"/>
    <w:rsid w:val="00065134"/>
    <w:rsid w:val="0006520C"/>
    <w:rsid w:val="0006594E"/>
    <w:rsid w:val="00065D52"/>
    <w:rsid w:val="00071169"/>
    <w:rsid w:val="00072311"/>
    <w:rsid w:val="00072517"/>
    <w:rsid w:val="0007299E"/>
    <w:rsid w:val="00073566"/>
    <w:rsid w:val="0007377F"/>
    <w:rsid w:val="0007420C"/>
    <w:rsid w:val="00074F01"/>
    <w:rsid w:val="000755BA"/>
    <w:rsid w:val="00076B3C"/>
    <w:rsid w:val="00077C1F"/>
    <w:rsid w:val="00080115"/>
    <w:rsid w:val="00080462"/>
    <w:rsid w:val="00080564"/>
    <w:rsid w:val="000829DE"/>
    <w:rsid w:val="00083637"/>
    <w:rsid w:val="00084E22"/>
    <w:rsid w:val="00085735"/>
    <w:rsid w:val="000862D8"/>
    <w:rsid w:val="00086A4C"/>
    <w:rsid w:val="00086CA5"/>
    <w:rsid w:val="00087632"/>
    <w:rsid w:val="00090327"/>
    <w:rsid w:val="000904D6"/>
    <w:rsid w:val="00092241"/>
    <w:rsid w:val="00092A97"/>
    <w:rsid w:val="00092D2F"/>
    <w:rsid w:val="00093C29"/>
    <w:rsid w:val="00094890"/>
    <w:rsid w:val="000958FE"/>
    <w:rsid w:val="000967A0"/>
    <w:rsid w:val="0009743D"/>
    <w:rsid w:val="00097544"/>
    <w:rsid w:val="000A0F95"/>
    <w:rsid w:val="000A10CD"/>
    <w:rsid w:val="000A1237"/>
    <w:rsid w:val="000A1314"/>
    <w:rsid w:val="000A1CE0"/>
    <w:rsid w:val="000A2469"/>
    <w:rsid w:val="000A2673"/>
    <w:rsid w:val="000A28E1"/>
    <w:rsid w:val="000A4116"/>
    <w:rsid w:val="000A4F7F"/>
    <w:rsid w:val="000A6EAD"/>
    <w:rsid w:val="000B04FE"/>
    <w:rsid w:val="000B09B2"/>
    <w:rsid w:val="000B0A88"/>
    <w:rsid w:val="000B13CF"/>
    <w:rsid w:val="000B147E"/>
    <w:rsid w:val="000B2E8D"/>
    <w:rsid w:val="000B3235"/>
    <w:rsid w:val="000B3677"/>
    <w:rsid w:val="000B4482"/>
    <w:rsid w:val="000B5684"/>
    <w:rsid w:val="000B5CA7"/>
    <w:rsid w:val="000B608F"/>
    <w:rsid w:val="000B68B5"/>
    <w:rsid w:val="000B72BF"/>
    <w:rsid w:val="000B7AC7"/>
    <w:rsid w:val="000C0251"/>
    <w:rsid w:val="000C17A7"/>
    <w:rsid w:val="000C17B2"/>
    <w:rsid w:val="000C225C"/>
    <w:rsid w:val="000C3041"/>
    <w:rsid w:val="000C307F"/>
    <w:rsid w:val="000C35A4"/>
    <w:rsid w:val="000C44C3"/>
    <w:rsid w:val="000C45D9"/>
    <w:rsid w:val="000C4DC9"/>
    <w:rsid w:val="000C5336"/>
    <w:rsid w:val="000C578E"/>
    <w:rsid w:val="000C5867"/>
    <w:rsid w:val="000C5F07"/>
    <w:rsid w:val="000C6A75"/>
    <w:rsid w:val="000C716B"/>
    <w:rsid w:val="000C7259"/>
    <w:rsid w:val="000D0144"/>
    <w:rsid w:val="000D05A3"/>
    <w:rsid w:val="000D064C"/>
    <w:rsid w:val="000D1472"/>
    <w:rsid w:val="000D2221"/>
    <w:rsid w:val="000D2401"/>
    <w:rsid w:val="000D2532"/>
    <w:rsid w:val="000D31F4"/>
    <w:rsid w:val="000D3B49"/>
    <w:rsid w:val="000D44A1"/>
    <w:rsid w:val="000D4C56"/>
    <w:rsid w:val="000E00AD"/>
    <w:rsid w:val="000E0235"/>
    <w:rsid w:val="000E0309"/>
    <w:rsid w:val="000E0320"/>
    <w:rsid w:val="000E210D"/>
    <w:rsid w:val="000E22C0"/>
    <w:rsid w:val="000E30DC"/>
    <w:rsid w:val="000E30FC"/>
    <w:rsid w:val="000E3578"/>
    <w:rsid w:val="000E798D"/>
    <w:rsid w:val="000F0242"/>
    <w:rsid w:val="000F0660"/>
    <w:rsid w:val="000F06ED"/>
    <w:rsid w:val="000F2102"/>
    <w:rsid w:val="000F349E"/>
    <w:rsid w:val="000F360F"/>
    <w:rsid w:val="000F37A3"/>
    <w:rsid w:val="000F3E3E"/>
    <w:rsid w:val="000F4E37"/>
    <w:rsid w:val="00100ABC"/>
    <w:rsid w:val="00100DEC"/>
    <w:rsid w:val="0010105D"/>
    <w:rsid w:val="00101791"/>
    <w:rsid w:val="00101CEC"/>
    <w:rsid w:val="00101F02"/>
    <w:rsid w:val="0010237D"/>
    <w:rsid w:val="0010391B"/>
    <w:rsid w:val="00104364"/>
    <w:rsid w:val="0010487F"/>
    <w:rsid w:val="00105130"/>
    <w:rsid w:val="0010541B"/>
    <w:rsid w:val="00105B28"/>
    <w:rsid w:val="00106E38"/>
    <w:rsid w:val="00107A8F"/>
    <w:rsid w:val="001104C0"/>
    <w:rsid w:val="001121AC"/>
    <w:rsid w:val="00112BF5"/>
    <w:rsid w:val="0011468D"/>
    <w:rsid w:val="00114781"/>
    <w:rsid w:val="00114A89"/>
    <w:rsid w:val="00115601"/>
    <w:rsid w:val="00115D4C"/>
    <w:rsid w:val="00117538"/>
    <w:rsid w:val="00117863"/>
    <w:rsid w:val="0011789A"/>
    <w:rsid w:val="00120122"/>
    <w:rsid w:val="001203C3"/>
    <w:rsid w:val="00123F08"/>
    <w:rsid w:val="0012489A"/>
    <w:rsid w:val="00125720"/>
    <w:rsid w:val="0012645D"/>
    <w:rsid w:val="00126CCD"/>
    <w:rsid w:val="0012760A"/>
    <w:rsid w:val="00127EB6"/>
    <w:rsid w:val="001312A0"/>
    <w:rsid w:val="00133462"/>
    <w:rsid w:val="00133BE5"/>
    <w:rsid w:val="0013475F"/>
    <w:rsid w:val="001348AA"/>
    <w:rsid w:val="00134BB2"/>
    <w:rsid w:val="00136E24"/>
    <w:rsid w:val="0014106D"/>
    <w:rsid w:val="001412D9"/>
    <w:rsid w:val="00141341"/>
    <w:rsid w:val="001422A8"/>
    <w:rsid w:val="00142A5E"/>
    <w:rsid w:val="00144152"/>
    <w:rsid w:val="00145A99"/>
    <w:rsid w:val="0014625B"/>
    <w:rsid w:val="001468F3"/>
    <w:rsid w:val="00146991"/>
    <w:rsid w:val="00146E97"/>
    <w:rsid w:val="00147085"/>
    <w:rsid w:val="0015161A"/>
    <w:rsid w:val="00151B8B"/>
    <w:rsid w:val="00152E95"/>
    <w:rsid w:val="001532AD"/>
    <w:rsid w:val="001535D6"/>
    <w:rsid w:val="001538B4"/>
    <w:rsid w:val="001539D2"/>
    <w:rsid w:val="00154289"/>
    <w:rsid w:val="0015463F"/>
    <w:rsid w:val="001556A9"/>
    <w:rsid w:val="00155CD2"/>
    <w:rsid w:val="0015621E"/>
    <w:rsid w:val="00156CD8"/>
    <w:rsid w:val="00156FE5"/>
    <w:rsid w:val="00157370"/>
    <w:rsid w:val="00160489"/>
    <w:rsid w:val="0016072F"/>
    <w:rsid w:val="00160F32"/>
    <w:rsid w:val="001610B3"/>
    <w:rsid w:val="00162DB0"/>
    <w:rsid w:val="00165479"/>
    <w:rsid w:val="0016730B"/>
    <w:rsid w:val="00167873"/>
    <w:rsid w:val="00167DA4"/>
    <w:rsid w:val="00167E9A"/>
    <w:rsid w:val="001700B6"/>
    <w:rsid w:val="001724F0"/>
    <w:rsid w:val="0017288E"/>
    <w:rsid w:val="00173314"/>
    <w:rsid w:val="001744C6"/>
    <w:rsid w:val="0017452E"/>
    <w:rsid w:val="001747D6"/>
    <w:rsid w:val="00175966"/>
    <w:rsid w:val="00175E0B"/>
    <w:rsid w:val="00176484"/>
    <w:rsid w:val="001767C9"/>
    <w:rsid w:val="00180923"/>
    <w:rsid w:val="00180EB3"/>
    <w:rsid w:val="0018214C"/>
    <w:rsid w:val="00182875"/>
    <w:rsid w:val="001832CC"/>
    <w:rsid w:val="0018629C"/>
    <w:rsid w:val="00187001"/>
    <w:rsid w:val="0018746F"/>
    <w:rsid w:val="00187927"/>
    <w:rsid w:val="00187F77"/>
    <w:rsid w:val="0019098A"/>
    <w:rsid w:val="0019157E"/>
    <w:rsid w:val="00192ADD"/>
    <w:rsid w:val="00194254"/>
    <w:rsid w:val="0019540C"/>
    <w:rsid w:val="0019543A"/>
    <w:rsid w:val="00195596"/>
    <w:rsid w:val="00195B8F"/>
    <w:rsid w:val="0019671E"/>
    <w:rsid w:val="001A084D"/>
    <w:rsid w:val="001A092B"/>
    <w:rsid w:val="001A149D"/>
    <w:rsid w:val="001A35F1"/>
    <w:rsid w:val="001A4143"/>
    <w:rsid w:val="001A4752"/>
    <w:rsid w:val="001A5D80"/>
    <w:rsid w:val="001A743D"/>
    <w:rsid w:val="001A7D7C"/>
    <w:rsid w:val="001B0567"/>
    <w:rsid w:val="001B096E"/>
    <w:rsid w:val="001B0BBE"/>
    <w:rsid w:val="001B170A"/>
    <w:rsid w:val="001B222D"/>
    <w:rsid w:val="001B316A"/>
    <w:rsid w:val="001B39FD"/>
    <w:rsid w:val="001B6309"/>
    <w:rsid w:val="001B641A"/>
    <w:rsid w:val="001B68EA"/>
    <w:rsid w:val="001B6BF9"/>
    <w:rsid w:val="001B7ED0"/>
    <w:rsid w:val="001C0477"/>
    <w:rsid w:val="001C05B9"/>
    <w:rsid w:val="001C0986"/>
    <w:rsid w:val="001C0DB8"/>
    <w:rsid w:val="001C1A1A"/>
    <w:rsid w:val="001C2536"/>
    <w:rsid w:val="001C3EC6"/>
    <w:rsid w:val="001C4529"/>
    <w:rsid w:val="001C4C60"/>
    <w:rsid w:val="001C7245"/>
    <w:rsid w:val="001C7B6B"/>
    <w:rsid w:val="001D139C"/>
    <w:rsid w:val="001D2573"/>
    <w:rsid w:val="001D3154"/>
    <w:rsid w:val="001D31CC"/>
    <w:rsid w:val="001D3E96"/>
    <w:rsid w:val="001D433A"/>
    <w:rsid w:val="001D5489"/>
    <w:rsid w:val="001D5C0B"/>
    <w:rsid w:val="001D76F4"/>
    <w:rsid w:val="001E0767"/>
    <w:rsid w:val="001E0CB4"/>
    <w:rsid w:val="001E200D"/>
    <w:rsid w:val="001E2E29"/>
    <w:rsid w:val="001E5FA8"/>
    <w:rsid w:val="001E74A7"/>
    <w:rsid w:val="001E7A63"/>
    <w:rsid w:val="001E7E80"/>
    <w:rsid w:val="001F0AAF"/>
    <w:rsid w:val="001F2DC1"/>
    <w:rsid w:val="001F3496"/>
    <w:rsid w:val="001F4EFB"/>
    <w:rsid w:val="001F510C"/>
    <w:rsid w:val="001F6802"/>
    <w:rsid w:val="001F71F1"/>
    <w:rsid w:val="001F7C09"/>
    <w:rsid w:val="00200231"/>
    <w:rsid w:val="002002C1"/>
    <w:rsid w:val="0020051F"/>
    <w:rsid w:val="0020057C"/>
    <w:rsid w:val="002016D4"/>
    <w:rsid w:val="002030E0"/>
    <w:rsid w:val="0020349F"/>
    <w:rsid w:val="00203DE7"/>
    <w:rsid w:val="0020459E"/>
    <w:rsid w:val="0020626E"/>
    <w:rsid w:val="0021108D"/>
    <w:rsid w:val="00211879"/>
    <w:rsid w:val="002123FA"/>
    <w:rsid w:val="00212B4A"/>
    <w:rsid w:val="00212E42"/>
    <w:rsid w:val="002138BE"/>
    <w:rsid w:val="002146E3"/>
    <w:rsid w:val="00215129"/>
    <w:rsid w:val="00215909"/>
    <w:rsid w:val="00217668"/>
    <w:rsid w:val="00217DC0"/>
    <w:rsid w:val="00220C21"/>
    <w:rsid w:val="0022148C"/>
    <w:rsid w:val="0022158E"/>
    <w:rsid w:val="002215BA"/>
    <w:rsid w:val="00221A60"/>
    <w:rsid w:val="002231C6"/>
    <w:rsid w:val="00223D79"/>
    <w:rsid w:val="00225E31"/>
    <w:rsid w:val="00226587"/>
    <w:rsid w:val="002267D6"/>
    <w:rsid w:val="002273EC"/>
    <w:rsid w:val="00227844"/>
    <w:rsid w:val="00227B5C"/>
    <w:rsid w:val="0023068E"/>
    <w:rsid w:val="00230CFE"/>
    <w:rsid w:val="00231593"/>
    <w:rsid w:val="00231B2D"/>
    <w:rsid w:val="00232D8F"/>
    <w:rsid w:val="00233328"/>
    <w:rsid w:val="00234073"/>
    <w:rsid w:val="002355E9"/>
    <w:rsid w:val="002373BE"/>
    <w:rsid w:val="0023742B"/>
    <w:rsid w:val="002376A4"/>
    <w:rsid w:val="00237D72"/>
    <w:rsid w:val="00237F97"/>
    <w:rsid w:val="00241BE7"/>
    <w:rsid w:val="002444D9"/>
    <w:rsid w:val="0024576E"/>
    <w:rsid w:val="0024698E"/>
    <w:rsid w:val="00247A87"/>
    <w:rsid w:val="002507EA"/>
    <w:rsid w:val="002518FB"/>
    <w:rsid w:val="00252021"/>
    <w:rsid w:val="002521CD"/>
    <w:rsid w:val="002536F3"/>
    <w:rsid w:val="00253C25"/>
    <w:rsid w:val="00254416"/>
    <w:rsid w:val="00254A2B"/>
    <w:rsid w:val="00256332"/>
    <w:rsid w:val="00257913"/>
    <w:rsid w:val="00260C48"/>
    <w:rsid w:val="00261297"/>
    <w:rsid w:val="0026199D"/>
    <w:rsid w:val="002627E6"/>
    <w:rsid w:val="00264160"/>
    <w:rsid w:val="002645B8"/>
    <w:rsid w:val="00264F3F"/>
    <w:rsid w:val="0026536C"/>
    <w:rsid w:val="00265954"/>
    <w:rsid w:val="00266335"/>
    <w:rsid w:val="00266E08"/>
    <w:rsid w:val="00267B2E"/>
    <w:rsid w:val="00270FC5"/>
    <w:rsid w:val="00271871"/>
    <w:rsid w:val="0027470B"/>
    <w:rsid w:val="00274F18"/>
    <w:rsid w:val="002769FA"/>
    <w:rsid w:val="0027716F"/>
    <w:rsid w:val="00277B76"/>
    <w:rsid w:val="00280101"/>
    <w:rsid w:val="00280368"/>
    <w:rsid w:val="00280E25"/>
    <w:rsid w:val="002815B5"/>
    <w:rsid w:val="002830F7"/>
    <w:rsid w:val="002842C5"/>
    <w:rsid w:val="00284610"/>
    <w:rsid w:val="00285341"/>
    <w:rsid w:val="00285503"/>
    <w:rsid w:val="002857A6"/>
    <w:rsid w:val="00285D01"/>
    <w:rsid w:val="00286D71"/>
    <w:rsid w:val="00286E6A"/>
    <w:rsid w:val="0028778E"/>
    <w:rsid w:val="00290EDE"/>
    <w:rsid w:val="00291693"/>
    <w:rsid w:val="00292753"/>
    <w:rsid w:val="0029351E"/>
    <w:rsid w:val="00293929"/>
    <w:rsid w:val="00294F90"/>
    <w:rsid w:val="00295843"/>
    <w:rsid w:val="00296B8F"/>
    <w:rsid w:val="00297060"/>
    <w:rsid w:val="00297FD1"/>
    <w:rsid w:val="002A0833"/>
    <w:rsid w:val="002A1341"/>
    <w:rsid w:val="002A2BE4"/>
    <w:rsid w:val="002A3921"/>
    <w:rsid w:val="002A3FE6"/>
    <w:rsid w:val="002A46ED"/>
    <w:rsid w:val="002A4D1C"/>
    <w:rsid w:val="002A535E"/>
    <w:rsid w:val="002A5BBC"/>
    <w:rsid w:val="002A6413"/>
    <w:rsid w:val="002A6947"/>
    <w:rsid w:val="002A72AB"/>
    <w:rsid w:val="002A7C3C"/>
    <w:rsid w:val="002A7E35"/>
    <w:rsid w:val="002B0CD4"/>
    <w:rsid w:val="002B11CD"/>
    <w:rsid w:val="002B29EC"/>
    <w:rsid w:val="002B364D"/>
    <w:rsid w:val="002B410C"/>
    <w:rsid w:val="002B4986"/>
    <w:rsid w:val="002B4E71"/>
    <w:rsid w:val="002B4EF0"/>
    <w:rsid w:val="002B582D"/>
    <w:rsid w:val="002B5B17"/>
    <w:rsid w:val="002B5D0E"/>
    <w:rsid w:val="002B680F"/>
    <w:rsid w:val="002B6994"/>
    <w:rsid w:val="002B772A"/>
    <w:rsid w:val="002C067A"/>
    <w:rsid w:val="002C1797"/>
    <w:rsid w:val="002C2A0D"/>
    <w:rsid w:val="002C3A2B"/>
    <w:rsid w:val="002C41D2"/>
    <w:rsid w:val="002C4256"/>
    <w:rsid w:val="002C48C8"/>
    <w:rsid w:val="002C5C50"/>
    <w:rsid w:val="002C60E1"/>
    <w:rsid w:val="002C6106"/>
    <w:rsid w:val="002C6409"/>
    <w:rsid w:val="002C777A"/>
    <w:rsid w:val="002C7A0C"/>
    <w:rsid w:val="002C7CD0"/>
    <w:rsid w:val="002D023D"/>
    <w:rsid w:val="002D0CB9"/>
    <w:rsid w:val="002D269C"/>
    <w:rsid w:val="002D2D2E"/>
    <w:rsid w:val="002D4878"/>
    <w:rsid w:val="002D4EED"/>
    <w:rsid w:val="002D559B"/>
    <w:rsid w:val="002D5F77"/>
    <w:rsid w:val="002D6B12"/>
    <w:rsid w:val="002E0053"/>
    <w:rsid w:val="002E1BA4"/>
    <w:rsid w:val="002E2614"/>
    <w:rsid w:val="002E339E"/>
    <w:rsid w:val="002E343A"/>
    <w:rsid w:val="002E34D9"/>
    <w:rsid w:val="002E5BA2"/>
    <w:rsid w:val="002E5C25"/>
    <w:rsid w:val="002E65C9"/>
    <w:rsid w:val="002E717B"/>
    <w:rsid w:val="002F2346"/>
    <w:rsid w:val="002F2A89"/>
    <w:rsid w:val="002F432C"/>
    <w:rsid w:val="002F7A32"/>
    <w:rsid w:val="003009D1"/>
    <w:rsid w:val="003021BA"/>
    <w:rsid w:val="00302752"/>
    <w:rsid w:val="00302CFD"/>
    <w:rsid w:val="00304B31"/>
    <w:rsid w:val="00304F98"/>
    <w:rsid w:val="00305021"/>
    <w:rsid w:val="003054C5"/>
    <w:rsid w:val="00305B71"/>
    <w:rsid w:val="00306325"/>
    <w:rsid w:val="0030754B"/>
    <w:rsid w:val="0031002F"/>
    <w:rsid w:val="00310D02"/>
    <w:rsid w:val="003135E9"/>
    <w:rsid w:val="0031494C"/>
    <w:rsid w:val="0031763F"/>
    <w:rsid w:val="00317C68"/>
    <w:rsid w:val="00320A89"/>
    <w:rsid w:val="00320BFE"/>
    <w:rsid w:val="00323125"/>
    <w:rsid w:val="0033016C"/>
    <w:rsid w:val="003305DF"/>
    <w:rsid w:val="00330666"/>
    <w:rsid w:val="00331140"/>
    <w:rsid w:val="00331FEF"/>
    <w:rsid w:val="00333537"/>
    <w:rsid w:val="003340D8"/>
    <w:rsid w:val="003346BB"/>
    <w:rsid w:val="003361EB"/>
    <w:rsid w:val="003402A2"/>
    <w:rsid w:val="003405AD"/>
    <w:rsid w:val="003405DC"/>
    <w:rsid w:val="003407B7"/>
    <w:rsid w:val="00341B17"/>
    <w:rsid w:val="00341E83"/>
    <w:rsid w:val="003420F3"/>
    <w:rsid w:val="00342AF7"/>
    <w:rsid w:val="003430C8"/>
    <w:rsid w:val="00343D46"/>
    <w:rsid w:val="00343F14"/>
    <w:rsid w:val="00344189"/>
    <w:rsid w:val="00344817"/>
    <w:rsid w:val="003450C0"/>
    <w:rsid w:val="00346961"/>
    <w:rsid w:val="00347D1A"/>
    <w:rsid w:val="00353703"/>
    <w:rsid w:val="00353B1B"/>
    <w:rsid w:val="00354EF0"/>
    <w:rsid w:val="003553BE"/>
    <w:rsid w:val="00355F56"/>
    <w:rsid w:val="0036033E"/>
    <w:rsid w:val="00360AAF"/>
    <w:rsid w:val="003610A7"/>
    <w:rsid w:val="00361C83"/>
    <w:rsid w:val="003620B3"/>
    <w:rsid w:val="00362794"/>
    <w:rsid w:val="003642B5"/>
    <w:rsid w:val="00364964"/>
    <w:rsid w:val="00364DAD"/>
    <w:rsid w:val="00364DFF"/>
    <w:rsid w:val="003651B4"/>
    <w:rsid w:val="00365730"/>
    <w:rsid w:val="0036589B"/>
    <w:rsid w:val="003669AE"/>
    <w:rsid w:val="00371B23"/>
    <w:rsid w:val="00371DDB"/>
    <w:rsid w:val="0037241F"/>
    <w:rsid w:val="00373357"/>
    <w:rsid w:val="00374481"/>
    <w:rsid w:val="00374C98"/>
    <w:rsid w:val="0037648B"/>
    <w:rsid w:val="0038261F"/>
    <w:rsid w:val="0038276B"/>
    <w:rsid w:val="00382CDE"/>
    <w:rsid w:val="00382CF8"/>
    <w:rsid w:val="00384B5D"/>
    <w:rsid w:val="00385756"/>
    <w:rsid w:val="0038646A"/>
    <w:rsid w:val="00387072"/>
    <w:rsid w:val="00387611"/>
    <w:rsid w:val="00390170"/>
    <w:rsid w:val="0039192A"/>
    <w:rsid w:val="00391A61"/>
    <w:rsid w:val="00391B89"/>
    <w:rsid w:val="0039361C"/>
    <w:rsid w:val="003942A7"/>
    <w:rsid w:val="00394BEB"/>
    <w:rsid w:val="00395A80"/>
    <w:rsid w:val="003A0A1E"/>
    <w:rsid w:val="003A1E04"/>
    <w:rsid w:val="003A20CB"/>
    <w:rsid w:val="003A3505"/>
    <w:rsid w:val="003A3524"/>
    <w:rsid w:val="003A3671"/>
    <w:rsid w:val="003A3734"/>
    <w:rsid w:val="003A4285"/>
    <w:rsid w:val="003A72E9"/>
    <w:rsid w:val="003A7307"/>
    <w:rsid w:val="003B1A7A"/>
    <w:rsid w:val="003B1CC8"/>
    <w:rsid w:val="003B1E90"/>
    <w:rsid w:val="003B23F3"/>
    <w:rsid w:val="003B381E"/>
    <w:rsid w:val="003B3BAB"/>
    <w:rsid w:val="003B3E56"/>
    <w:rsid w:val="003B4BB5"/>
    <w:rsid w:val="003B4DB1"/>
    <w:rsid w:val="003B5978"/>
    <w:rsid w:val="003B5A7A"/>
    <w:rsid w:val="003B5F95"/>
    <w:rsid w:val="003B6137"/>
    <w:rsid w:val="003B6671"/>
    <w:rsid w:val="003B6785"/>
    <w:rsid w:val="003B7906"/>
    <w:rsid w:val="003C0D3B"/>
    <w:rsid w:val="003C0DB2"/>
    <w:rsid w:val="003C133F"/>
    <w:rsid w:val="003C1ACC"/>
    <w:rsid w:val="003C2D0F"/>
    <w:rsid w:val="003C3C20"/>
    <w:rsid w:val="003C4567"/>
    <w:rsid w:val="003C4B08"/>
    <w:rsid w:val="003C56D0"/>
    <w:rsid w:val="003C6581"/>
    <w:rsid w:val="003C65D9"/>
    <w:rsid w:val="003C6C03"/>
    <w:rsid w:val="003D0F95"/>
    <w:rsid w:val="003D16D3"/>
    <w:rsid w:val="003D2DCC"/>
    <w:rsid w:val="003D2FA8"/>
    <w:rsid w:val="003D4891"/>
    <w:rsid w:val="003D4951"/>
    <w:rsid w:val="003D595C"/>
    <w:rsid w:val="003D5F60"/>
    <w:rsid w:val="003D6930"/>
    <w:rsid w:val="003D6B53"/>
    <w:rsid w:val="003D7039"/>
    <w:rsid w:val="003E0147"/>
    <w:rsid w:val="003E01B0"/>
    <w:rsid w:val="003E0334"/>
    <w:rsid w:val="003E2477"/>
    <w:rsid w:val="003E45B8"/>
    <w:rsid w:val="003E5113"/>
    <w:rsid w:val="003E5521"/>
    <w:rsid w:val="003E6BD9"/>
    <w:rsid w:val="003E7127"/>
    <w:rsid w:val="003E7C49"/>
    <w:rsid w:val="003E7DEE"/>
    <w:rsid w:val="003F046E"/>
    <w:rsid w:val="003F0D0E"/>
    <w:rsid w:val="003F1803"/>
    <w:rsid w:val="003F19AA"/>
    <w:rsid w:val="003F3FA2"/>
    <w:rsid w:val="003F4296"/>
    <w:rsid w:val="003F446B"/>
    <w:rsid w:val="003F5073"/>
    <w:rsid w:val="003F53F8"/>
    <w:rsid w:val="003F6198"/>
    <w:rsid w:val="003F7802"/>
    <w:rsid w:val="0040014A"/>
    <w:rsid w:val="0040634A"/>
    <w:rsid w:val="004068C9"/>
    <w:rsid w:val="00407B99"/>
    <w:rsid w:val="00407CC8"/>
    <w:rsid w:val="0041101D"/>
    <w:rsid w:val="00411F84"/>
    <w:rsid w:val="0041257B"/>
    <w:rsid w:val="0041273E"/>
    <w:rsid w:val="004131D1"/>
    <w:rsid w:val="004136BC"/>
    <w:rsid w:val="0041444B"/>
    <w:rsid w:val="004152F1"/>
    <w:rsid w:val="004155A2"/>
    <w:rsid w:val="00415D7C"/>
    <w:rsid w:val="0041642B"/>
    <w:rsid w:val="00417331"/>
    <w:rsid w:val="00417871"/>
    <w:rsid w:val="00421648"/>
    <w:rsid w:val="00421A3B"/>
    <w:rsid w:val="00422A16"/>
    <w:rsid w:val="00425DA7"/>
    <w:rsid w:val="00425DBD"/>
    <w:rsid w:val="004260A9"/>
    <w:rsid w:val="0042693B"/>
    <w:rsid w:val="00427EE6"/>
    <w:rsid w:val="00430CEA"/>
    <w:rsid w:val="00430F82"/>
    <w:rsid w:val="00431446"/>
    <w:rsid w:val="00431893"/>
    <w:rsid w:val="0043265E"/>
    <w:rsid w:val="0043305E"/>
    <w:rsid w:val="004335C0"/>
    <w:rsid w:val="00434558"/>
    <w:rsid w:val="0043538A"/>
    <w:rsid w:val="004360EE"/>
    <w:rsid w:val="00436244"/>
    <w:rsid w:val="00437661"/>
    <w:rsid w:val="00437818"/>
    <w:rsid w:val="00437A45"/>
    <w:rsid w:val="0044009E"/>
    <w:rsid w:val="00440D02"/>
    <w:rsid w:val="00443926"/>
    <w:rsid w:val="00443B25"/>
    <w:rsid w:val="00443B2D"/>
    <w:rsid w:val="00443F69"/>
    <w:rsid w:val="004447DC"/>
    <w:rsid w:val="004458FB"/>
    <w:rsid w:val="00446112"/>
    <w:rsid w:val="0044660B"/>
    <w:rsid w:val="00447865"/>
    <w:rsid w:val="00450211"/>
    <w:rsid w:val="0045466F"/>
    <w:rsid w:val="004546FC"/>
    <w:rsid w:val="00455944"/>
    <w:rsid w:val="004561C6"/>
    <w:rsid w:val="004565CA"/>
    <w:rsid w:val="004568B4"/>
    <w:rsid w:val="0045748C"/>
    <w:rsid w:val="00457D9F"/>
    <w:rsid w:val="00457EF9"/>
    <w:rsid w:val="00461C2F"/>
    <w:rsid w:val="00462783"/>
    <w:rsid w:val="004645DE"/>
    <w:rsid w:val="00464BD8"/>
    <w:rsid w:val="00465760"/>
    <w:rsid w:val="00465A86"/>
    <w:rsid w:val="0046694C"/>
    <w:rsid w:val="004670FE"/>
    <w:rsid w:val="00467838"/>
    <w:rsid w:val="00470158"/>
    <w:rsid w:val="00471588"/>
    <w:rsid w:val="0047166E"/>
    <w:rsid w:val="0047227F"/>
    <w:rsid w:val="0047272B"/>
    <w:rsid w:val="00474345"/>
    <w:rsid w:val="00474D13"/>
    <w:rsid w:val="0047543B"/>
    <w:rsid w:val="00475B0F"/>
    <w:rsid w:val="00475B1D"/>
    <w:rsid w:val="004767D8"/>
    <w:rsid w:val="00476C3B"/>
    <w:rsid w:val="00477261"/>
    <w:rsid w:val="004772D7"/>
    <w:rsid w:val="0047730B"/>
    <w:rsid w:val="00477973"/>
    <w:rsid w:val="00481C5D"/>
    <w:rsid w:val="00481EBF"/>
    <w:rsid w:val="0048207F"/>
    <w:rsid w:val="00483553"/>
    <w:rsid w:val="00483E4B"/>
    <w:rsid w:val="004841C1"/>
    <w:rsid w:val="00485E9F"/>
    <w:rsid w:val="00485FB0"/>
    <w:rsid w:val="00487195"/>
    <w:rsid w:val="00487A4F"/>
    <w:rsid w:val="00487B0E"/>
    <w:rsid w:val="00487EC1"/>
    <w:rsid w:val="0049043D"/>
    <w:rsid w:val="00490E55"/>
    <w:rsid w:val="0049117C"/>
    <w:rsid w:val="004918FE"/>
    <w:rsid w:val="00491E3C"/>
    <w:rsid w:val="00493B22"/>
    <w:rsid w:val="00493D5D"/>
    <w:rsid w:val="00494B2D"/>
    <w:rsid w:val="004952E2"/>
    <w:rsid w:val="0049647B"/>
    <w:rsid w:val="004A0483"/>
    <w:rsid w:val="004A2736"/>
    <w:rsid w:val="004A348E"/>
    <w:rsid w:val="004A37F1"/>
    <w:rsid w:val="004A3CF9"/>
    <w:rsid w:val="004A4609"/>
    <w:rsid w:val="004A4F77"/>
    <w:rsid w:val="004A5886"/>
    <w:rsid w:val="004A5DE5"/>
    <w:rsid w:val="004A670A"/>
    <w:rsid w:val="004A7AE1"/>
    <w:rsid w:val="004B0505"/>
    <w:rsid w:val="004B08B6"/>
    <w:rsid w:val="004B2E89"/>
    <w:rsid w:val="004B3969"/>
    <w:rsid w:val="004B3E26"/>
    <w:rsid w:val="004B6037"/>
    <w:rsid w:val="004B618A"/>
    <w:rsid w:val="004B75BC"/>
    <w:rsid w:val="004B7626"/>
    <w:rsid w:val="004C05DA"/>
    <w:rsid w:val="004C1C68"/>
    <w:rsid w:val="004C21D9"/>
    <w:rsid w:val="004C2855"/>
    <w:rsid w:val="004C4502"/>
    <w:rsid w:val="004C4EE7"/>
    <w:rsid w:val="004C50CB"/>
    <w:rsid w:val="004C7057"/>
    <w:rsid w:val="004D068C"/>
    <w:rsid w:val="004D0F68"/>
    <w:rsid w:val="004D108C"/>
    <w:rsid w:val="004D1257"/>
    <w:rsid w:val="004D13E1"/>
    <w:rsid w:val="004D21F3"/>
    <w:rsid w:val="004D2B2B"/>
    <w:rsid w:val="004D326B"/>
    <w:rsid w:val="004D3E54"/>
    <w:rsid w:val="004D46BC"/>
    <w:rsid w:val="004D5E30"/>
    <w:rsid w:val="004D64BA"/>
    <w:rsid w:val="004D65DE"/>
    <w:rsid w:val="004D747D"/>
    <w:rsid w:val="004D74FF"/>
    <w:rsid w:val="004D7B08"/>
    <w:rsid w:val="004E15C1"/>
    <w:rsid w:val="004E19A9"/>
    <w:rsid w:val="004E2188"/>
    <w:rsid w:val="004E22CA"/>
    <w:rsid w:val="004E2BD4"/>
    <w:rsid w:val="004E4D9B"/>
    <w:rsid w:val="004E5338"/>
    <w:rsid w:val="004E53C0"/>
    <w:rsid w:val="004E596A"/>
    <w:rsid w:val="004E67D0"/>
    <w:rsid w:val="004F0B37"/>
    <w:rsid w:val="004F2211"/>
    <w:rsid w:val="004F2CE3"/>
    <w:rsid w:val="004F66B8"/>
    <w:rsid w:val="004F7493"/>
    <w:rsid w:val="00500708"/>
    <w:rsid w:val="0050075D"/>
    <w:rsid w:val="005016E2"/>
    <w:rsid w:val="00501EFA"/>
    <w:rsid w:val="00502355"/>
    <w:rsid w:val="005024A3"/>
    <w:rsid w:val="005030D5"/>
    <w:rsid w:val="005035F8"/>
    <w:rsid w:val="00503BE6"/>
    <w:rsid w:val="005043E3"/>
    <w:rsid w:val="005045AD"/>
    <w:rsid w:val="00504BBB"/>
    <w:rsid w:val="00504D20"/>
    <w:rsid w:val="00505E22"/>
    <w:rsid w:val="00505EE0"/>
    <w:rsid w:val="00506708"/>
    <w:rsid w:val="00506C23"/>
    <w:rsid w:val="00506D50"/>
    <w:rsid w:val="00506F6A"/>
    <w:rsid w:val="00507178"/>
    <w:rsid w:val="00507991"/>
    <w:rsid w:val="00507B1A"/>
    <w:rsid w:val="005101B6"/>
    <w:rsid w:val="005108FB"/>
    <w:rsid w:val="00512038"/>
    <w:rsid w:val="005124B3"/>
    <w:rsid w:val="00512966"/>
    <w:rsid w:val="005129E0"/>
    <w:rsid w:val="00513900"/>
    <w:rsid w:val="00513927"/>
    <w:rsid w:val="0051478A"/>
    <w:rsid w:val="00517FE5"/>
    <w:rsid w:val="005203B4"/>
    <w:rsid w:val="0052216C"/>
    <w:rsid w:val="00524845"/>
    <w:rsid w:val="0052509A"/>
    <w:rsid w:val="00525727"/>
    <w:rsid w:val="00525DD1"/>
    <w:rsid w:val="00526A11"/>
    <w:rsid w:val="00526E40"/>
    <w:rsid w:val="00527095"/>
    <w:rsid w:val="00527774"/>
    <w:rsid w:val="0052789D"/>
    <w:rsid w:val="005304FB"/>
    <w:rsid w:val="0053292A"/>
    <w:rsid w:val="00533729"/>
    <w:rsid w:val="00533806"/>
    <w:rsid w:val="00535A5D"/>
    <w:rsid w:val="005364BF"/>
    <w:rsid w:val="005404CE"/>
    <w:rsid w:val="0054284C"/>
    <w:rsid w:val="0054342B"/>
    <w:rsid w:val="00543B0A"/>
    <w:rsid w:val="00544FA2"/>
    <w:rsid w:val="00545255"/>
    <w:rsid w:val="0054642E"/>
    <w:rsid w:val="0054692D"/>
    <w:rsid w:val="00547097"/>
    <w:rsid w:val="00547D83"/>
    <w:rsid w:val="00550EF7"/>
    <w:rsid w:val="005525B8"/>
    <w:rsid w:val="00554115"/>
    <w:rsid w:val="00554FC8"/>
    <w:rsid w:val="005553D1"/>
    <w:rsid w:val="0055734D"/>
    <w:rsid w:val="00557479"/>
    <w:rsid w:val="00560DC0"/>
    <w:rsid w:val="00561AAB"/>
    <w:rsid w:val="00562CAB"/>
    <w:rsid w:val="00562ED5"/>
    <w:rsid w:val="00563585"/>
    <w:rsid w:val="00563C68"/>
    <w:rsid w:val="005641FA"/>
    <w:rsid w:val="00565104"/>
    <w:rsid w:val="00570EA6"/>
    <w:rsid w:val="005711B4"/>
    <w:rsid w:val="005714F1"/>
    <w:rsid w:val="00571E9D"/>
    <w:rsid w:val="00572C2F"/>
    <w:rsid w:val="00573305"/>
    <w:rsid w:val="00573783"/>
    <w:rsid w:val="0057425A"/>
    <w:rsid w:val="00574329"/>
    <w:rsid w:val="00574BB3"/>
    <w:rsid w:val="00574E9A"/>
    <w:rsid w:val="00575536"/>
    <w:rsid w:val="005755BF"/>
    <w:rsid w:val="0057664A"/>
    <w:rsid w:val="005807E1"/>
    <w:rsid w:val="0058099C"/>
    <w:rsid w:val="00580B08"/>
    <w:rsid w:val="00581AC1"/>
    <w:rsid w:val="00582114"/>
    <w:rsid w:val="00582521"/>
    <w:rsid w:val="00582FD9"/>
    <w:rsid w:val="00583D43"/>
    <w:rsid w:val="00585635"/>
    <w:rsid w:val="00587CA2"/>
    <w:rsid w:val="00590064"/>
    <w:rsid w:val="0059054A"/>
    <w:rsid w:val="005915B4"/>
    <w:rsid w:val="00592744"/>
    <w:rsid w:val="005929CD"/>
    <w:rsid w:val="00594437"/>
    <w:rsid w:val="00594469"/>
    <w:rsid w:val="00594CCE"/>
    <w:rsid w:val="00595643"/>
    <w:rsid w:val="00595A0F"/>
    <w:rsid w:val="005967EA"/>
    <w:rsid w:val="00597626"/>
    <w:rsid w:val="005A00D1"/>
    <w:rsid w:val="005A05B3"/>
    <w:rsid w:val="005A175F"/>
    <w:rsid w:val="005A1A49"/>
    <w:rsid w:val="005A49B7"/>
    <w:rsid w:val="005A5109"/>
    <w:rsid w:val="005A567E"/>
    <w:rsid w:val="005A5E20"/>
    <w:rsid w:val="005A6194"/>
    <w:rsid w:val="005A7442"/>
    <w:rsid w:val="005A798D"/>
    <w:rsid w:val="005B02A1"/>
    <w:rsid w:val="005B0A0B"/>
    <w:rsid w:val="005B0F5D"/>
    <w:rsid w:val="005B13AD"/>
    <w:rsid w:val="005B1535"/>
    <w:rsid w:val="005B256C"/>
    <w:rsid w:val="005B36BD"/>
    <w:rsid w:val="005B5279"/>
    <w:rsid w:val="005B542B"/>
    <w:rsid w:val="005B62F9"/>
    <w:rsid w:val="005B70FD"/>
    <w:rsid w:val="005B768F"/>
    <w:rsid w:val="005C0F8B"/>
    <w:rsid w:val="005C2368"/>
    <w:rsid w:val="005C33A5"/>
    <w:rsid w:val="005C3B01"/>
    <w:rsid w:val="005C6626"/>
    <w:rsid w:val="005C77E6"/>
    <w:rsid w:val="005D03C4"/>
    <w:rsid w:val="005D0A7B"/>
    <w:rsid w:val="005D1007"/>
    <w:rsid w:val="005D3DFB"/>
    <w:rsid w:val="005D4502"/>
    <w:rsid w:val="005D4F88"/>
    <w:rsid w:val="005D5958"/>
    <w:rsid w:val="005D5B8C"/>
    <w:rsid w:val="005E069D"/>
    <w:rsid w:val="005E16DC"/>
    <w:rsid w:val="005E2149"/>
    <w:rsid w:val="005E24C2"/>
    <w:rsid w:val="005E324E"/>
    <w:rsid w:val="005E35A9"/>
    <w:rsid w:val="005E3668"/>
    <w:rsid w:val="005E4E8E"/>
    <w:rsid w:val="005E5296"/>
    <w:rsid w:val="005E5CFE"/>
    <w:rsid w:val="005E6DDE"/>
    <w:rsid w:val="005E74E2"/>
    <w:rsid w:val="005E7ECD"/>
    <w:rsid w:val="005F00AF"/>
    <w:rsid w:val="005F045B"/>
    <w:rsid w:val="005F206F"/>
    <w:rsid w:val="005F2F57"/>
    <w:rsid w:val="005F3A68"/>
    <w:rsid w:val="005F4EE5"/>
    <w:rsid w:val="005F4F3F"/>
    <w:rsid w:val="005F535C"/>
    <w:rsid w:val="005F5D49"/>
    <w:rsid w:val="005F6529"/>
    <w:rsid w:val="005F6FA5"/>
    <w:rsid w:val="005F7291"/>
    <w:rsid w:val="005F7E02"/>
    <w:rsid w:val="00603888"/>
    <w:rsid w:val="00605DB6"/>
    <w:rsid w:val="006064F2"/>
    <w:rsid w:val="00610E72"/>
    <w:rsid w:val="00612209"/>
    <w:rsid w:val="00612AC7"/>
    <w:rsid w:val="00612B57"/>
    <w:rsid w:val="00613455"/>
    <w:rsid w:val="00613F55"/>
    <w:rsid w:val="0061579B"/>
    <w:rsid w:val="0061693B"/>
    <w:rsid w:val="00616C3C"/>
    <w:rsid w:val="006179D4"/>
    <w:rsid w:val="00617FED"/>
    <w:rsid w:val="00620768"/>
    <w:rsid w:val="00620986"/>
    <w:rsid w:val="00621421"/>
    <w:rsid w:val="006233CC"/>
    <w:rsid w:val="0062380D"/>
    <w:rsid w:val="00623BAB"/>
    <w:rsid w:val="00623F29"/>
    <w:rsid w:val="006242C1"/>
    <w:rsid w:val="00625541"/>
    <w:rsid w:val="00626391"/>
    <w:rsid w:val="006302F8"/>
    <w:rsid w:val="00630722"/>
    <w:rsid w:val="00630979"/>
    <w:rsid w:val="0063147A"/>
    <w:rsid w:val="00631B20"/>
    <w:rsid w:val="00632ECC"/>
    <w:rsid w:val="00633737"/>
    <w:rsid w:val="00633F29"/>
    <w:rsid w:val="0063467C"/>
    <w:rsid w:val="006347E4"/>
    <w:rsid w:val="00636019"/>
    <w:rsid w:val="00636244"/>
    <w:rsid w:val="006364AE"/>
    <w:rsid w:val="00636700"/>
    <w:rsid w:val="006411BB"/>
    <w:rsid w:val="00641203"/>
    <w:rsid w:val="006422DA"/>
    <w:rsid w:val="006427B8"/>
    <w:rsid w:val="0064319B"/>
    <w:rsid w:val="00644662"/>
    <w:rsid w:val="00644CD2"/>
    <w:rsid w:val="0064531A"/>
    <w:rsid w:val="00645603"/>
    <w:rsid w:val="00645BFF"/>
    <w:rsid w:val="00646CE9"/>
    <w:rsid w:val="00646F98"/>
    <w:rsid w:val="0065008A"/>
    <w:rsid w:val="00651385"/>
    <w:rsid w:val="0065158C"/>
    <w:rsid w:val="00651867"/>
    <w:rsid w:val="00654024"/>
    <w:rsid w:val="00655208"/>
    <w:rsid w:val="006562C2"/>
    <w:rsid w:val="0065649B"/>
    <w:rsid w:val="0065742F"/>
    <w:rsid w:val="00657755"/>
    <w:rsid w:val="00657B19"/>
    <w:rsid w:val="0066078E"/>
    <w:rsid w:val="00662EC9"/>
    <w:rsid w:val="00663201"/>
    <w:rsid w:val="006638EB"/>
    <w:rsid w:val="00666711"/>
    <w:rsid w:val="00666C12"/>
    <w:rsid w:val="00666E66"/>
    <w:rsid w:val="006678D4"/>
    <w:rsid w:val="00671403"/>
    <w:rsid w:val="00672E73"/>
    <w:rsid w:val="00674256"/>
    <w:rsid w:val="00674ACD"/>
    <w:rsid w:val="00675452"/>
    <w:rsid w:val="00675605"/>
    <w:rsid w:val="00676D96"/>
    <w:rsid w:val="00677B77"/>
    <w:rsid w:val="00677F94"/>
    <w:rsid w:val="00680B5A"/>
    <w:rsid w:val="00680B79"/>
    <w:rsid w:val="00682163"/>
    <w:rsid w:val="00682D63"/>
    <w:rsid w:val="00682F61"/>
    <w:rsid w:val="006832AA"/>
    <w:rsid w:val="00683E89"/>
    <w:rsid w:val="00684446"/>
    <w:rsid w:val="00684A71"/>
    <w:rsid w:val="00685873"/>
    <w:rsid w:val="00686577"/>
    <w:rsid w:val="00686F4E"/>
    <w:rsid w:val="00687CCB"/>
    <w:rsid w:val="00691DAE"/>
    <w:rsid w:val="00692200"/>
    <w:rsid w:val="00693903"/>
    <w:rsid w:val="0069417B"/>
    <w:rsid w:val="00694543"/>
    <w:rsid w:val="006947DE"/>
    <w:rsid w:val="006958B2"/>
    <w:rsid w:val="00696DF6"/>
    <w:rsid w:val="00696E4A"/>
    <w:rsid w:val="00696EA3"/>
    <w:rsid w:val="00696FB0"/>
    <w:rsid w:val="006A04BB"/>
    <w:rsid w:val="006A1136"/>
    <w:rsid w:val="006A1E0B"/>
    <w:rsid w:val="006A21F2"/>
    <w:rsid w:val="006A2B23"/>
    <w:rsid w:val="006A4225"/>
    <w:rsid w:val="006A448D"/>
    <w:rsid w:val="006A51E0"/>
    <w:rsid w:val="006A5378"/>
    <w:rsid w:val="006A5494"/>
    <w:rsid w:val="006A5B32"/>
    <w:rsid w:val="006A6F5D"/>
    <w:rsid w:val="006A78E7"/>
    <w:rsid w:val="006A7AAF"/>
    <w:rsid w:val="006B14CD"/>
    <w:rsid w:val="006B5BD3"/>
    <w:rsid w:val="006B787F"/>
    <w:rsid w:val="006B7D1F"/>
    <w:rsid w:val="006C06A8"/>
    <w:rsid w:val="006C0AC9"/>
    <w:rsid w:val="006C1CE9"/>
    <w:rsid w:val="006C1E1C"/>
    <w:rsid w:val="006C4127"/>
    <w:rsid w:val="006C4CD7"/>
    <w:rsid w:val="006C4D05"/>
    <w:rsid w:val="006C5035"/>
    <w:rsid w:val="006C68EB"/>
    <w:rsid w:val="006C6965"/>
    <w:rsid w:val="006C6ACA"/>
    <w:rsid w:val="006D0CBC"/>
    <w:rsid w:val="006D1B21"/>
    <w:rsid w:val="006D1CA8"/>
    <w:rsid w:val="006D1EBD"/>
    <w:rsid w:val="006D20B5"/>
    <w:rsid w:val="006D334E"/>
    <w:rsid w:val="006D389E"/>
    <w:rsid w:val="006D38C4"/>
    <w:rsid w:val="006D4883"/>
    <w:rsid w:val="006D4A75"/>
    <w:rsid w:val="006D6B3A"/>
    <w:rsid w:val="006E0082"/>
    <w:rsid w:val="006E0840"/>
    <w:rsid w:val="006E09E2"/>
    <w:rsid w:val="006E0F1D"/>
    <w:rsid w:val="006E102B"/>
    <w:rsid w:val="006E12DB"/>
    <w:rsid w:val="006E194C"/>
    <w:rsid w:val="006E339B"/>
    <w:rsid w:val="006E4B14"/>
    <w:rsid w:val="006E6055"/>
    <w:rsid w:val="006F1012"/>
    <w:rsid w:val="006F1EE2"/>
    <w:rsid w:val="006F4244"/>
    <w:rsid w:val="006F58F4"/>
    <w:rsid w:val="006F5F56"/>
    <w:rsid w:val="006F6E15"/>
    <w:rsid w:val="006F792A"/>
    <w:rsid w:val="006F7C99"/>
    <w:rsid w:val="006F7F2F"/>
    <w:rsid w:val="007009D8"/>
    <w:rsid w:val="00700A30"/>
    <w:rsid w:val="00700B87"/>
    <w:rsid w:val="00700FB2"/>
    <w:rsid w:val="00701A93"/>
    <w:rsid w:val="007020E5"/>
    <w:rsid w:val="0070255C"/>
    <w:rsid w:val="00703698"/>
    <w:rsid w:val="00703B8E"/>
    <w:rsid w:val="007042E5"/>
    <w:rsid w:val="007044D3"/>
    <w:rsid w:val="0070560C"/>
    <w:rsid w:val="00705D29"/>
    <w:rsid w:val="00705DC4"/>
    <w:rsid w:val="0070614E"/>
    <w:rsid w:val="007064E8"/>
    <w:rsid w:val="0071147B"/>
    <w:rsid w:val="007119E6"/>
    <w:rsid w:val="00713425"/>
    <w:rsid w:val="0071410A"/>
    <w:rsid w:val="00714267"/>
    <w:rsid w:val="007165F4"/>
    <w:rsid w:val="00716A4F"/>
    <w:rsid w:val="00716E55"/>
    <w:rsid w:val="0071753F"/>
    <w:rsid w:val="00717E33"/>
    <w:rsid w:val="0072010B"/>
    <w:rsid w:val="00720CAA"/>
    <w:rsid w:val="007216A8"/>
    <w:rsid w:val="00721F37"/>
    <w:rsid w:val="00721F83"/>
    <w:rsid w:val="00722DE6"/>
    <w:rsid w:val="0072444F"/>
    <w:rsid w:val="00724F74"/>
    <w:rsid w:val="007265DB"/>
    <w:rsid w:val="00726DFB"/>
    <w:rsid w:val="007275D0"/>
    <w:rsid w:val="00727BB6"/>
    <w:rsid w:val="00732413"/>
    <w:rsid w:val="0073300F"/>
    <w:rsid w:val="007332A4"/>
    <w:rsid w:val="00733F7E"/>
    <w:rsid w:val="00734373"/>
    <w:rsid w:val="007355F9"/>
    <w:rsid w:val="007379DC"/>
    <w:rsid w:val="007379EE"/>
    <w:rsid w:val="007418D0"/>
    <w:rsid w:val="00741B3C"/>
    <w:rsid w:val="00744B18"/>
    <w:rsid w:val="007459E8"/>
    <w:rsid w:val="007463B0"/>
    <w:rsid w:val="00746B2C"/>
    <w:rsid w:val="00746EC3"/>
    <w:rsid w:val="007473BE"/>
    <w:rsid w:val="00750931"/>
    <w:rsid w:val="00751355"/>
    <w:rsid w:val="00751AA5"/>
    <w:rsid w:val="00754505"/>
    <w:rsid w:val="0075604B"/>
    <w:rsid w:val="00757F54"/>
    <w:rsid w:val="007603B9"/>
    <w:rsid w:val="00760E07"/>
    <w:rsid w:val="00761253"/>
    <w:rsid w:val="00765670"/>
    <w:rsid w:val="007670A7"/>
    <w:rsid w:val="00767AD2"/>
    <w:rsid w:val="00770527"/>
    <w:rsid w:val="00770F03"/>
    <w:rsid w:val="00770FFE"/>
    <w:rsid w:val="00771D92"/>
    <w:rsid w:val="0077257F"/>
    <w:rsid w:val="00772F58"/>
    <w:rsid w:val="00773791"/>
    <w:rsid w:val="00774ADF"/>
    <w:rsid w:val="00774E16"/>
    <w:rsid w:val="007750E1"/>
    <w:rsid w:val="00775B7E"/>
    <w:rsid w:val="00775E42"/>
    <w:rsid w:val="00776236"/>
    <w:rsid w:val="00776737"/>
    <w:rsid w:val="00776A3C"/>
    <w:rsid w:val="00777B91"/>
    <w:rsid w:val="00781411"/>
    <w:rsid w:val="007819F6"/>
    <w:rsid w:val="00782665"/>
    <w:rsid w:val="00783485"/>
    <w:rsid w:val="007855BA"/>
    <w:rsid w:val="00790343"/>
    <w:rsid w:val="007929D9"/>
    <w:rsid w:val="0079316D"/>
    <w:rsid w:val="00793E48"/>
    <w:rsid w:val="007941FB"/>
    <w:rsid w:val="00794267"/>
    <w:rsid w:val="007942CA"/>
    <w:rsid w:val="00794B51"/>
    <w:rsid w:val="007976E0"/>
    <w:rsid w:val="007A2375"/>
    <w:rsid w:val="007A3529"/>
    <w:rsid w:val="007A354A"/>
    <w:rsid w:val="007A3614"/>
    <w:rsid w:val="007A422A"/>
    <w:rsid w:val="007A476F"/>
    <w:rsid w:val="007A5340"/>
    <w:rsid w:val="007A5AE2"/>
    <w:rsid w:val="007A5E6E"/>
    <w:rsid w:val="007A6E5E"/>
    <w:rsid w:val="007A6E97"/>
    <w:rsid w:val="007A7855"/>
    <w:rsid w:val="007A78A2"/>
    <w:rsid w:val="007A7A23"/>
    <w:rsid w:val="007A7E58"/>
    <w:rsid w:val="007B02BE"/>
    <w:rsid w:val="007B071A"/>
    <w:rsid w:val="007B0A42"/>
    <w:rsid w:val="007B1141"/>
    <w:rsid w:val="007B164B"/>
    <w:rsid w:val="007B1A6C"/>
    <w:rsid w:val="007B295C"/>
    <w:rsid w:val="007B48FA"/>
    <w:rsid w:val="007B5193"/>
    <w:rsid w:val="007B5BDB"/>
    <w:rsid w:val="007B5F74"/>
    <w:rsid w:val="007B5F8E"/>
    <w:rsid w:val="007B7735"/>
    <w:rsid w:val="007B783E"/>
    <w:rsid w:val="007C082B"/>
    <w:rsid w:val="007C0AA0"/>
    <w:rsid w:val="007C0E86"/>
    <w:rsid w:val="007C2CC5"/>
    <w:rsid w:val="007C41CE"/>
    <w:rsid w:val="007C52B3"/>
    <w:rsid w:val="007C5FBA"/>
    <w:rsid w:val="007C615A"/>
    <w:rsid w:val="007C62ED"/>
    <w:rsid w:val="007C6618"/>
    <w:rsid w:val="007C6885"/>
    <w:rsid w:val="007C7045"/>
    <w:rsid w:val="007C76E1"/>
    <w:rsid w:val="007C79C0"/>
    <w:rsid w:val="007D1C40"/>
    <w:rsid w:val="007D1DC6"/>
    <w:rsid w:val="007D2669"/>
    <w:rsid w:val="007D3534"/>
    <w:rsid w:val="007D4858"/>
    <w:rsid w:val="007D69C3"/>
    <w:rsid w:val="007D75F6"/>
    <w:rsid w:val="007E0644"/>
    <w:rsid w:val="007E11AA"/>
    <w:rsid w:val="007E1BC2"/>
    <w:rsid w:val="007E1CB5"/>
    <w:rsid w:val="007E1F31"/>
    <w:rsid w:val="007E221E"/>
    <w:rsid w:val="007E2CCF"/>
    <w:rsid w:val="007E31EE"/>
    <w:rsid w:val="007E38D9"/>
    <w:rsid w:val="007E39B0"/>
    <w:rsid w:val="007E50BF"/>
    <w:rsid w:val="007E7F87"/>
    <w:rsid w:val="007F0772"/>
    <w:rsid w:val="007F1BB3"/>
    <w:rsid w:val="007F4173"/>
    <w:rsid w:val="007F41C0"/>
    <w:rsid w:val="007F4777"/>
    <w:rsid w:val="007F4C3A"/>
    <w:rsid w:val="007F56FC"/>
    <w:rsid w:val="007F5794"/>
    <w:rsid w:val="00800238"/>
    <w:rsid w:val="008013F3"/>
    <w:rsid w:val="00801DED"/>
    <w:rsid w:val="0080224C"/>
    <w:rsid w:val="00802A21"/>
    <w:rsid w:val="00802C83"/>
    <w:rsid w:val="008035C1"/>
    <w:rsid w:val="00803D21"/>
    <w:rsid w:val="00803E07"/>
    <w:rsid w:val="00803E66"/>
    <w:rsid w:val="00804542"/>
    <w:rsid w:val="008054C4"/>
    <w:rsid w:val="0080595A"/>
    <w:rsid w:val="00806969"/>
    <w:rsid w:val="00806D34"/>
    <w:rsid w:val="00806DAA"/>
    <w:rsid w:val="00810C63"/>
    <w:rsid w:val="00810F2F"/>
    <w:rsid w:val="00811841"/>
    <w:rsid w:val="00811DB1"/>
    <w:rsid w:val="00812589"/>
    <w:rsid w:val="008140E9"/>
    <w:rsid w:val="00814641"/>
    <w:rsid w:val="00815229"/>
    <w:rsid w:val="00815B84"/>
    <w:rsid w:val="00815F4D"/>
    <w:rsid w:val="00816EB6"/>
    <w:rsid w:val="00820F76"/>
    <w:rsid w:val="008224FC"/>
    <w:rsid w:val="00822EC4"/>
    <w:rsid w:val="00823063"/>
    <w:rsid w:val="008230F4"/>
    <w:rsid w:val="0082323A"/>
    <w:rsid w:val="00823447"/>
    <w:rsid w:val="008240E2"/>
    <w:rsid w:val="008260B7"/>
    <w:rsid w:val="008270D1"/>
    <w:rsid w:val="0082789B"/>
    <w:rsid w:val="008314A7"/>
    <w:rsid w:val="0083264A"/>
    <w:rsid w:val="00832851"/>
    <w:rsid w:val="00832A3E"/>
    <w:rsid w:val="00832BCD"/>
    <w:rsid w:val="00833335"/>
    <w:rsid w:val="0083387B"/>
    <w:rsid w:val="00834AA4"/>
    <w:rsid w:val="00834DA9"/>
    <w:rsid w:val="0083587D"/>
    <w:rsid w:val="00837FCF"/>
    <w:rsid w:val="008417C5"/>
    <w:rsid w:val="008424C8"/>
    <w:rsid w:val="0084312A"/>
    <w:rsid w:val="00843A48"/>
    <w:rsid w:val="00843B7B"/>
    <w:rsid w:val="00844421"/>
    <w:rsid w:val="00844FEF"/>
    <w:rsid w:val="00845EA4"/>
    <w:rsid w:val="00850CE6"/>
    <w:rsid w:val="0085131F"/>
    <w:rsid w:val="00851477"/>
    <w:rsid w:val="00851A55"/>
    <w:rsid w:val="00851BDA"/>
    <w:rsid w:val="00852231"/>
    <w:rsid w:val="008524F8"/>
    <w:rsid w:val="00854402"/>
    <w:rsid w:val="008544DE"/>
    <w:rsid w:val="00854CC0"/>
    <w:rsid w:val="0085606E"/>
    <w:rsid w:val="00857EB9"/>
    <w:rsid w:val="008610B1"/>
    <w:rsid w:val="008612EC"/>
    <w:rsid w:val="00861DC6"/>
    <w:rsid w:val="00862286"/>
    <w:rsid w:val="0086290B"/>
    <w:rsid w:val="0086333F"/>
    <w:rsid w:val="00863394"/>
    <w:rsid w:val="0086483D"/>
    <w:rsid w:val="0086522F"/>
    <w:rsid w:val="008652CD"/>
    <w:rsid w:val="0086538D"/>
    <w:rsid w:val="008665D0"/>
    <w:rsid w:val="00866EE5"/>
    <w:rsid w:val="00866F6A"/>
    <w:rsid w:val="008675C0"/>
    <w:rsid w:val="008701BA"/>
    <w:rsid w:val="00870B4F"/>
    <w:rsid w:val="00872AC5"/>
    <w:rsid w:val="00872DC9"/>
    <w:rsid w:val="008738AA"/>
    <w:rsid w:val="008742B7"/>
    <w:rsid w:val="00874685"/>
    <w:rsid w:val="00874CA7"/>
    <w:rsid w:val="00875154"/>
    <w:rsid w:val="008758C6"/>
    <w:rsid w:val="00876245"/>
    <w:rsid w:val="0087637C"/>
    <w:rsid w:val="00876C19"/>
    <w:rsid w:val="00876FBD"/>
    <w:rsid w:val="00877DB4"/>
    <w:rsid w:val="008805A3"/>
    <w:rsid w:val="008811EA"/>
    <w:rsid w:val="00881872"/>
    <w:rsid w:val="008827DB"/>
    <w:rsid w:val="00885495"/>
    <w:rsid w:val="00886820"/>
    <w:rsid w:val="00887760"/>
    <w:rsid w:val="00887C8E"/>
    <w:rsid w:val="00890723"/>
    <w:rsid w:val="00890CB3"/>
    <w:rsid w:val="00891EDD"/>
    <w:rsid w:val="00892235"/>
    <w:rsid w:val="00892B14"/>
    <w:rsid w:val="00893B99"/>
    <w:rsid w:val="008949C4"/>
    <w:rsid w:val="00894AE6"/>
    <w:rsid w:val="0089560A"/>
    <w:rsid w:val="00895C77"/>
    <w:rsid w:val="00896111"/>
    <w:rsid w:val="0089720D"/>
    <w:rsid w:val="008973CC"/>
    <w:rsid w:val="00897426"/>
    <w:rsid w:val="008979A9"/>
    <w:rsid w:val="008A00BB"/>
    <w:rsid w:val="008A027A"/>
    <w:rsid w:val="008A1226"/>
    <w:rsid w:val="008A1BAA"/>
    <w:rsid w:val="008A228F"/>
    <w:rsid w:val="008A23B9"/>
    <w:rsid w:val="008A280C"/>
    <w:rsid w:val="008A320C"/>
    <w:rsid w:val="008A321F"/>
    <w:rsid w:val="008A3F22"/>
    <w:rsid w:val="008A46A8"/>
    <w:rsid w:val="008A4761"/>
    <w:rsid w:val="008A6C1A"/>
    <w:rsid w:val="008A6D22"/>
    <w:rsid w:val="008A77F5"/>
    <w:rsid w:val="008A7A21"/>
    <w:rsid w:val="008B101D"/>
    <w:rsid w:val="008B1697"/>
    <w:rsid w:val="008B28A0"/>
    <w:rsid w:val="008B45E5"/>
    <w:rsid w:val="008B4CC6"/>
    <w:rsid w:val="008B6226"/>
    <w:rsid w:val="008B659D"/>
    <w:rsid w:val="008B7524"/>
    <w:rsid w:val="008C0A5D"/>
    <w:rsid w:val="008C0F24"/>
    <w:rsid w:val="008C1383"/>
    <w:rsid w:val="008C1992"/>
    <w:rsid w:val="008C2EDB"/>
    <w:rsid w:val="008C374A"/>
    <w:rsid w:val="008C4071"/>
    <w:rsid w:val="008C432D"/>
    <w:rsid w:val="008C521C"/>
    <w:rsid w:val="008C5C25"/>
    <w:rsid w:val="008C6C6E"/>
    <w:rsid w:val="008C6D76"/>
    <w:rsid w:val="008D104D"/>
    <w:rsid w:val="008D1B46"/>
    <w:rsid w:val="008D26C3"/>
    <w:rsid w:val="008D4AA7"/>
    <w:rsid w:val="008D56CA"/>
    <w:rsid w:val="008D5D2E"/>
    <w:rsid w:val="008D714F"/>
    <w:rsid w:val="008E00DA"/>
    <w:rsid w:val="008E05B4"/>
    <w:rsid w:val="008E0A4E"/>
    <w:rsid w:val="008E0B89"/>
    <w:rsid w:val="008E0F9D"/>
    <w:rsid w:val="008E178B"/>
    <w:rsid w:val="008E2618"/>
    <w:rsid w:val="008E37E6"/>
    <w:rsid w:val="008E3CE0"/>
    <w:rsid w:val="008E5B49"/>
    <w:rsid w:val="008F0659"/>
    <w:rsid w:val="008F074D"/>
    <w:rsid w:val="008F0ABF"/>
    <w:rsid w:val="008F1D3E"/>
    <w:rsid w:val="008F1D6D"/>
    <w:rsid w:val="008F1E83"/>
    <w:rsid w:val="008F2130"/>
    <w:rsid w:val="008F21DA"/>
    <w:rsid w:val="008F2301"/>
    <w:rsid w:val="008F288C"/>
    <w:rsid w:val="008F311F"/>
    <w:rsid w:val="008F353F"/>
    <w:rsid w:val="008F39A8"/>
    <w:rsid w:val="008F4289"/>
    <w:rsid w:val="008F460B"/>
    <w:rsid w:val="008F55F0"/>
    <w:rsid w:val="00900486"/>
    <w:rsid w:val="009007B6"/>
    <w:rsid w:val="00900AB2"/>
    <w:rsid w:val="00901953"/>
    <w:rsid w:val="00902E85"/>
    <w:rsid w:val="00903C5E"/>
    <w:rsid w:val="00904B45"/>
    <w:rsid w:val="00904C29"/>
    <w:rsid w:val="00904D16"/>
    <w:rsid w:val="00904E99"/>
    <w:rsid w:val="00905809"/>
    <w:rsid w:val="00906A83"/>
    <w:rsid w:val="00906AAA"/>
    <w:rsid w:val="00907773"/>
    <w:rsid w:val="00907B7F"/>
    <w:rsid w:val="0091007B"/>
    <w:rsid w:val="009104F0"/>
    <w:rsid w:val="009116B3"/>
    <w:rsid w:val="009118F8"/>
    <w:rsid w:val="00912A3D"/>
    <w:rsid w:val="00912BA4"/>
    <w:rsid w:val="00912F08"/>
    <w:rsid w:val="0091325F"/>
    <w:rsid w:val="009136F3"/>
    <w:rsid w:val="00914873"/>
    <w:rsid w:val="009148C7"/>
    <w:rsid w:val="009149FD"/>
    <w:rsid w:val="009150A8"/>
    <w:rsid w:val="00916B95"/>
    <w:rsid w:val="00917B2D"/>
    <w:rsid w:val="00917DB1"/>
    <w:rsid w:val="0092070C"/>
    <w:rsid w:val="00921195"/>
    <w:rsid w:val="00921277"/>
    <w:rsid w:val="00921508"/>
    <w:rsid w:val="00921ACF"/>
    <w:rsid w:val="0092222D"/>
    <w:rsid w:val="009233B5"/>
    <w:rsid w:val="00923C34"/>
    <w:rsid w:val="00924DCF"/>
    <w:rsid w:val="00924E84"/>
    <w:rsid w:val="0092753B"/>
    <w:rsid w:val="00927C05"/>
    <w:rsid w:val="00931115"/>
    <w:rsid w:val="00931E21"/>
    <w:rsid w:val="00932A87"/>
    <w:rsid w:val="0093304E"/>
    <w:rsid w:val="00933F9F"/>
    <w:rsid w:val="00934D66"/>
    <w:rsid w:val="009357EA"/>
    <w:rsid w:val="00935F85"/>
    <w:rsid w:val="009362E2"/>
    <w:rsid w:val="00941E5F"/>
    <w:rsid w:val="00943B60"/>
    <w:rsid w:val="0094471B"/>
    <w:rsid w:val="00945197"/>
    <w:rsid w:val="00946028"/>
    <w:rsid w:val="00946544"/>
    <w:rsid w:val="00946962"/>
    <w:rsid w:val="00947CF3"/>
    <w:rsid w:val="0095010D"/>
    <w:rsid w:val="00950951"/>
    <w:rsid w:val="00952CDE"/>
    <w:rsid w:val="00953058"/>
    <w:rsid w:val="009532FC"/>
    <w:rsid w:val="009533C1"/>
    <w:rsid w:val="009534A1"/>
    <w:rsid w:val="009540AE"/>
    <w:rsid w:val="009544B6"/>
    <w:rsid w:val="00955520"/>
    <w:rsid w:val="00957721"/>
    <w:rsid w:val="00957C25"/>
    <w:rsid w:val="00960AEB"/>
    <w:rsid w:val="00960CB7"/>
    <w:rsid w:val="009630C1"/>
    <w:rsid w:val="00963464"/>
    <w:rsid w:val="009643F5"/>
    <w:rsid w:val="009645DD"/>
    <w:rsid w:val="00965828"/>
    <w:rsid w:val="009659B1"/>
    <w:rsid w:val="00970539"/>
    <w:rsid w:val="0097187E"/>
    <w:rsid w:val="00971D2E"/>
    <w:rsid w:val="00972625"/>
    <w:rsid w:val="009727FE"/>
    <w:rsid w:val="00972C86"/>
    <w:rsid w:val="009746C0"/>
    <w:rsid w:val="00974A95"/>
    <w:rsid w:val="00975BDC"/>
    <w:rsid w:val="009800E9"/>
    <w:rsid w:val="00980382"/>
    <w:rsid w:val="0098076E"/>
    <w:rsid w:val="00982651"/>
    <w:rsid w:val="009826A7"/>
    <w:rsid w:val="00982789"/>
    <w:rsid w:val="009832AE"/>
    <w:rsid w:val="009855A1"/>
    <w:rsid w:val="00985B10"/>
    <w:rsid w:val="00987AA2"/>
    <w:rsid w:val="00987D11"/>
    <w:rsid w:val="00990004"/>
    <w:rsid w:val="0099026A"/>
    <w:rsid w:val="00990B76"/>
    <w:rsid w:val="00991627"/>
    <w:rsid w:val="00992A3C"/>
    <w:rsid w:val="00992F57"/>
    <w:rsid w:val="00993AE5"/>
    <w:rsid w:val="00995866"/>
    <w:rsid w:val="00995DE7"/>
    <w:rsid w:val="009965B2"/>
    <w:rsid w:val="0099783C"/>
    <w:rsid w:val="009A0E09"/>
    <w:rsid w:val="009A0E6C"/>
    <w:rsid w:val="009A1AB0"/>
    <w:rsid w:val="009A1AC7"/>
    <w:rsid w:val="009A1E71"/>
    <w:rsid w:val="009A4108"/>
    <w:rsid w:val="009A471B"/>
    <w:rsid w:val="009A713E"/>
    <w:rsid w:val="009B02BD"/>
    <w:rsid w:val="009B0E42"/>
    <w:rsid w:val="009B0FB9"/>
    <w:rsid w:val="009B1451"/>
    <w:rsid w:val="009B1715"/>
    <w:rsid w:val="009B2ACC"/>
    <w:rsid w:val="009B32B3"/>
    <w:rsid w:val="009B3C6F"/>
    <w:rsid w:val="009B4273"/>
    <w:rsid w:val="009B5070"/>
    <w:rsid w:val="009B5B1A"/>
    <w:rsid w:val="009B6995"/>
    <w:rsid w:val="009B73DE"/>
    <w:rsid w:val="009C2BF2"/>
    <w:rsid w:val="009C2EA9"/>
    <w:rsid w:val="009C2F1A"/>
    <w:rsid w:val="009C320A"/>
    <w:rsid w:val="009C3958"/>
    <w:rsid w:val="009C3D92"/>
    <w:rsid w:val="009C449C"/>
    <w:rsid w:val="009C4E0F"/>
    <w:rsid w:val="009C51F1"/>
    <w:rsid w:val="009C65DA"/>
    <w:rsid w:val="009D09B1"/>
    <w:rsid w:val="009D09D8"/>
    <w:rsid w:val="009D0CB8"/>
    <w:rsid w:val="009D1122"/>
    <w:rsid w:val="009D1B46"/>
    <w:rsid w:val="009D1C0F"/>
    <w:rsid w:val="009D1DBD"/>
    <w:rsid w:val="009D29A3"/>
    <w:rsid w:val="009D2EA4"/>
    <w:rsid w:val="009D3722"/>
    <w:rsid w:val="009D416E"/>
    <w:rsid w:val="009D524E"/>
    <w:rsid w:val="009D5F79"/>
    <w:rsid w:val="009D679C"/>
    <w:rsid w:val="009D6CDE"/>
    <w:rsid w:val="009D726E"/>
    <w:rsid w:val="009D7694"/>
    <w:rsid w:val="009D7822"/>
    <w:rsid w:val="009D7F2E"/>
    <w:rsid w:val="009E1044"/>
    <w:rsid w:val="009E1AB5"/>
    <w:rsid w:val="009E27C2"/>
    <w:rsid w:val="009E2CE0"/>
    <w:rsid w:val="009E423F"/>
    <w:rsid w:val="009E4240"/>
    <w:rsid w:val="009E4735"/>
    <w:rsid w:val="009E4E2B"/>
    <w:rsid w:val="009E5123"/>
    <w:rsid w:val="009E568C"/>
    <w:rsid w:val="009E58F9"/>
    <w:rsid w:val="009E7C5E"/>
    <w:rsid w:val="009F0687"/>
    <w:rsid w:val="009F1195"/>
    <w:rsid w:val="009F1620"/>
    <w:rsid w:val="009F1653"/>
    <w:rsid w:val="009F1FE6"/>
    <w:rsid w:val="009F3099"/>
    <w:rsid w:val="009F4D95"/>
    <w:rsid w:val="009F511E"/>
    <w:rsid w:val="009F604A"/>
    <w:rsid w:val="009F61B8"/>
    <w:rsid w:val="009F6565"/>
    <w:rsid w:val="00A00784"/>
    <w:rsid w:val="00A00993"/>
    <w:rsid w:val="00A012C2"/>
    <w:rsid w:val="00A012E4"/>
    <w:rsid w:val="00A01AA8"/>
    <w:rsid w:val="00A04211"/>
    <w:rsid w:val="00A04EC4"/>
    <w:rsid w:val="00A05313"/>
    <w:rsid w:val="00A053A4"/>
    <w:rsid w:val="00A053AD"/>
    <w:rsid w:val="00A05933"/>
    <w:rsid w:val="00A06113"/>
    <w:rsid w:val="00A071A7"/>
    <w:rsid w:val="00A10E0A"/>
    <w:rsid w:val="00A10FB2"/>
    <w:rsid w:val="00A114B9"/>
    <w:rsid w:val="00A11CBD"/>
    <w:rsid w:val="00A120C2"/>
    <w:rsid w:val="00A127DD"/>
    <w:rsid w:val="00A1303F"/>
    <w:rsid w:val="00A135CB"/>
    <w:rsid w:val="00A140D2"/>
    <w:rsid w:val="00A147C4"/>
    <w:rsid w:val="00A150B6"/>
    <w:rsid w:val="00A16CC5"/>
    <w:rsid w:val="00A173E0"/>
    <w:rsid w:val="00A176ED"/>
    <w:rsid w:val="00A2064F"/>
    <w:rsid w:val="00A2086F"/>
    <w:rsid w:val="00A20AE6"/>
    <w:rsid w:val="00A23790"/>
    <w:rsid w:val="00A2593E"/>
    <w:rsid w:val="00A27386"/>
    <w:rsid w:val="00A308CB"/>
    <w:rsid w:val="00A30B13"/>
    <w:rsid w:val="00A3112B"/>
    <w:rsid w:val="00A3146A"/>
    <w:rsid w:val="00A31636"/>
    <w:rsid w:val="00A319FB"/>
    <w:rsid w:val="00A3240C"/>
    <w:rsid w:val="00A32837"/>
    <w:rsid w:val="00A3338C"/>
    <w:rsid w:val="00A33DB9"/>
    <w:rsid w:val="00A348F6"/>
    <w:rsid w:val="00A34A2D"/>
    <w:rsid w:val="00A34B88"/>
    <w:rsid w:val="00A34C52"/>
    <w:rsid w:val="00A36FA8"/>
    <w:rsid w:val="00A3795D"/>
    <w:rsid w:val="00A3795F"/>
    <w:rsid w:val="00A4080F"/>
    <w:rsid w:val="00A43428"/>
    <w:rsid w:val="00A43B2A"/>
    <w:rsid w:val="00A44166"/>
    <w:rsid w:val="00A44F1A"/>
    <w:rsid w:val="00A44F63"/>
    <w:rsid w:val="00A454A5"/>
    <w:rsid w:val="00A4660F"/>
    <w:rsid w:val="00A50C67"/>
    <w:rsid w:val="00A50E8D"/>
    <w:rsid w:val="00A51688"/>
    <w:rsid w:val="00A5239A"/>
    <w:rsid w:val="00A52572"/>
    <w:rsid w:val="00A52679"/>
    <w:rsid w:val="00A527E7"/>
    <w:rsid w:val="00A52F3A"/>
    <w:rsid w:val="00A53708"/>
    <w:rsid w:val="00A54BC4"/>
    <w:rsid w:val="00A55DD5"/>
    <w:rsid w:val="00A56433"/>
    <w:rsid w:val="00A57AE5"/>
    <w:rsid w:val="00A57FD8"/>
    <w:rsid w:val="00A609F7"/>
    <w:rsid w:val="00A60DD4"/>
    <w:rsid w:val="00A6173B"/>
    <w:rsid w:val="00A61979"/>
    <w:rsid w:val="00A61C04"/>
    <w:rsid w:val="00A62453"/>
    <w:rsid w:val="00A62FA3"/>
    <w:rsid w:val="00A6347E"/>
    <w:rsid w:val="00A640C3"/>
    <w:rsid w:val="00A65751"/>
    <w:rsid w:val="00A667A9"/>
    <w:rsid w:val="00A677C5"/>
    <w:rsid w:val="00A67A7D"/>
    <w:rsid w:val="00A70DDF"/>
    <w:rsid w:val="00A714A3"/>
    <w:rsid w:val="00A72686"/>
    <w:rsid w:val="00A72CBE"/>
    <w:rsid w:val="00A735E1"/>
    <w:rsid w:val="00A76CF2"/>
    <w:rsid w:val="00A77250"/>
    <w:rsid w:val="00A774F4"/>
    <w:rsid w:val="00A77688"/>
    <w:rsid w:val="00A809F1"/>
    <w:rsid w:val="00A8166D"/>
    <w:rsid w:val="00A8392C"/>
    <w:rsid w:val="00A83EA4"/>
    <w:rsid w:val="00A844F3"/>
    <w:rsid w:val="00A8477A"/>
    <w:rsid w:val="00A84813"/>
    <w:rsid w:val="00A84BA2"/>
    <w:rsid w:val="00A84D74"/>
    <w:rsid w:val="00A84E6B"/>
    <w:rsid w:val="00A859BA"/>
    <w:rsid w:val="00A86587"/>
    <w:rsid w:val="00A86AAF"/>
    <w:rsid w:val="00A86F90"/>
    <w:rsid w:val="00A87CBA"/>
    <w:rsid w:val="00A91FB5"/>
    <w:rsid w:val="00A92E04"/>
    <w:rsid w:val="00A93275"/>
    <w:rsid w:val="00A9469E"/>
    <w:rsid w:val="00A94FE3"/>
    <w:rsid w:val="00A95246"/>
    <w:rsid w:val="00A95B0C"/>
    <w:rsid w:val="00A96146"/>
    <w:rsid w:val="00A96652"/>
    <w:rsid w:val="00AA0BC3"/>
    <w:rsid w:val="00AA114C"/>
    <w:rsid w:val="00AA1562"/>
    <w:rsid w:val="00AA172C"/>
    <w:rsid w:val="00AA269E"/>
    <w:rsid w:val="00AA2C2E"/>
    <w:rsid w:val="00AA2C8C"/>
    <w:rsid w:val="00AA36B0"/>
    <w:rsid w:val="00AA36D6"/>
    <w:rsid w:val="00AA3A8C"/>
    <w:rsid w:val="00AA42AB"/>
    <w:rsid w:val="00AA4F81"/>
    <w:rsid w:val="00AA6131"/>
    <w:rsid w:val="00AA65C2"/>
    <w:rsid w:val="00AA6D93"/>
    <w:rsid w:val="00AB07DF"/>
    <w:rsid w:val="00AB0BE5"/>
    <w:rsid w:val="00AB35BA"/>
    <w:rsid w:val="00AB4161"/>
    <w:rsid w:val="00AB4F6C"/>
    <w:rsid w:val="00AB5497"/>
    <w:rsid w:val="00AB567C"/>
    <w:rsid w:val="00AB655B"/>
    <w:rsid w:val="00AC0349"/>
    <w:rsid w:val="00AC0682"/>
    <w:rsid w:val="00AC09D6"/>
    <w:rsid w:val="00AC0AA2"/>
    <w:rsid w:val="00AC0BF1"/>
    <w:rsid w:val="00AC1289"/>
    <w:rsid w:val="00AC235E"/>
    <w:rsid w:val="00AC3D11"/>
    <w:rsid w:val="00AC428C"/>
    <w:rsid w:val="00AC509D"/>
    <w:rsid w:val="00AC54AE"/>
    <w:rsid w:val="00AD0D19"/>
    <w:rsid w:val="00AD1CEE"/>
    <w:rsid w:val="00AD203E"/>
    <w:rsid w:val="00AD2D5C"/>
    <w:rsid w:val="00AD359E"/>
    <w:rsid w:val="00AD466C"/>
    <w:rsid w:val="00AD4B41"/>
    <w:rsid w:val="00AD6BD7"/>
    <w:rsid w:val="00AD6E6B"/>
    <w:rsid w:val="00AD75F2"/>
    <w:rsid w:val="00AE0027"/>
    <w:rsid w:val="00AE0E1D"/>
    <w:rsid w:val="00AE1B30"/>
    <w:rsid w:val="00AE2977"/>
    <w:rsid w:val="00AE317B"/>
    <w:rsid w:val="00AE437F"/>
    <w:rsid w:val="00AE4968"/>
    <w:rsid w:val="00AE52BF"/>
    <w:rsid w:val="00AE66F6"/>
    <w:rsid w:val="00AF0171"/>
    <w:rsid w:val="00AF204E"/>
    <w:rsid w:val="00AF2857"/>
    <w:rsid w:val="00AF3914"/>
    <w:rsid w:val="00AF590C"/>
    <w:rsid w:val="00AF69EE"/>
    <w:rsid w:val="00AF74CE"/>
    <w:rsid w:val="00AF74F0"/>
    <w:rsid w:val="00AF7510"/>
    <w:rsid w:val="00AF7D9A"/>
    <w:rsid w:val="00AF7FF6"/>
    <w:rsid w:val="00B013DC"/>
    <w:rsid w:val="00B01C54"/>
    <w:rsid w:val="00B02E5E"/>
    <w:rsid w:val="00B02FE2"/>
    <w:rsid w:val="00B045BF"/>
    <w:rsid w:val="00B04D1E"/>
    <w:rsid w:val="00B05ACA"/>
    <w:rsid w:val="00B05B77"/>
    <w:rsid w:val="00B05C04"/>
    <w:rsid w:val="00B07BFD"/>
    <w:rsid w:val="00B10442"/>
    <w:rsid w:val="00B10938"/>
    <w:rsid w:val="00B13839"/>
    <w:rsid w:val="00B14C82"/>
    <w:rsid w:val="00B16863"/>
    <w:rsid w:val="00B168AA"/>
    <w:rsid w:val="00B209EF"/>
    <w:rsid w:val="00B21F06"/>
    <w:rsid w:val="00B225DC"/>
    <w:rsid w:val="00B22836"/>
    <w:rsid w:val="00B2299A"/>
    <w:rsid w:val="00B23B43"/>
    <w:rsid w:val="00B23D10"/>
    <w:rsid w:val="00B24063"/>
    <w:rsid w:val="00B24B5A"/>
    <w:rsid w:val="00B26632"/>
    <w:rsid w:val="00B2676E"/>
    <w:rsid w:val="00B27B29"/>
    <w:rsid w:val="00B31307"/>
    <w:rsid w:val="00B33A6F"/>
    <w:rsid w:val="00B33EAB"/>
    <w:rsid w:val="00B356E1"/>
    <w:rsid w:val="00B35FC5"/>
    <w:rsid w:val="00B40429"/>
    <w:rsid w:val="00B40F01"/>
    <w:rsid w:val="00B43B9D"/>
    <w:rsid w:val="00B44021"/>
    <w:rsid w:val="00B45DF1"/>
    <w:rsid w:val="00B47096"/>
    <w:rsid w:val="00B47293"/>
    <w:rsid w:val="00B4755B"/>
    <w:rsid w:val="00B475AC"/>
    <w:rsid w:val="00B52235"/>
    <w:rsid w:val="00B52F91"/>
    <w:rsid w:val="00B54679"/>
    <w:rsid w:val="00B54A84"/>
    <w:rsid w:val="00B5591E"/>
    <w:rsid w:val="00B55E3A"/>
    <w:rsid w:val="00B5679D"/>
    <w:rsid w:val="00B56BDD"/>
    <w:rsid w:val="00B56EB7"/>
    <w:rsid w:val="00B579BA"/>
    <w:rsid w:val="00B61182"/>
    <w:rsid w:val="00B6151D"/>
    <w:rsid w:val="00B61559"/>
    <w:rsid w:val="00B62917"/>
    <w:rsid w:val="00B62CAC"/>
    <w:rsid w:val="00B676AD"/>
    <w:rsid w:val="00B70296"/>
    <w:rsid w:val="00B71622"/>
    <w:rsid w:val="00B725C1"/>
    <w:rsid w:val="00B72802"/>
    <w:rsid w:val="00B730BA"/>
    <w:rsid w:val="00B7433C"/>
    <w:rsid w:val="00B75188"/>
    <w:rsid w:val="00B75A94"/>
    <w:rsid w:val="00B75FF1"/>
    <w:rsid w:val="00B763D9"/>
    <w:rsid w:val="00B76590"/>
    <w:rsid w:val="00B7660C"/>
    <w:rsid w:val="00B76A11"/>
    <w:rsid w:val="00B77F43"/>
    <w:rsid w:val="00B80B38"/>
    <w:rsid w:val="00B80C3C"/>
    <w:rsid w:val="00B80F92"/>
    <w:rsid w:val="00B824FA"/>
    <w:rsid w:val="00B82D1C"/>
    <w:rsid w:val="00B83A06"/>
    <w:rsid w:val="00B8544A"/>
    <w:rsid w:val="00B8595D"/>
    <w:rsid w:val="00B860BF"/>
    <w:rsid w:val="00B86B06"/>
    <w:rsid w:val="00B86B4B"/>
    <w:rsid w:val="00B86C50"/>
    <w:rsid w:val="00B873C9"/>
    <w:rsid w:val="00B87D34"/>
    <w:rsid w:val="00B87E40"/>
    <w:rsid w:val="00B91646"/>
    <w:rsid w:val="00B920F2"/>
    <w:rsid w:val="00B9249F"/>
    <w:rsid w:val="00B9262C"/>
    <w:rsid w:val="00B936A9"/>
    <w:rsid w:val="00B93D46"/>
    <w:rsid w:val="00B94D63"/>
    <w:rsid w:val="00B96DCD"/>
    <w:rsid w:val="00B970EB"/>
    <w:rsid w:val="00BA20B3"/>
    <w:rsid w:val="00BA2430"/>
    <w:rsid w:val="00BA417E"/>
    <w:rsid w:val="00BA4875"/>
    <w:rsid w:val="00BA5236"/>
    <w:rsid w:val="00BA5E31"/>
    <w:rsid w:val="00BB067B"/>
    <w:rsid w:val="00BB0C88"/>
    <w:rsid w:val="00BB0DD2"/>
    <w:rsid w:val="00BB10DE"/>
    <w:rsid w:val="00BB15FF"/>
    <w:rsid w:val="00BB1A1C"/>
    <w:rsid w:val="00BB25C8"/>
    <w:rsid w:val="00BB2EE0"/>
    <w:rsid w:val="00BB310A"/>
    <w:rsid w:val="00BB46D3"/>
    <w:rsid w:val="00BB5F64"/>
    <w:rsid w:val="00BC09AC"/>
    <w:rsid w:val="00BC1892"/>
    <w:rsid w:val="00BC1ADC"/>
    <w:rsid w:val="00BC2DAA"/>
    <w:rsid w:val="00BC4552"/>
    <w:rsid w:val="00BC48AF"/>
    <w:rsid w:val="00BC495A"/>
    <w:rsid w:val="00BC497A"/>
    <w:rsid w:val="00BC5896"/>
    <w:rsid w:val="00BC5D18"/>
    <w:rsid w:val="00BD0B3D"/>
    <w:rsid w:val="00BD1D66"/>
    <w:rsid w:val="00BD232D"/>
    <w:rsid w:val="00BD3120"/>
    <w:rsid w:val="00BD3409"/>
    <w:rsid w:val="00BD4C85"/>
    <w:rsid w:val="00BD591B"/>
    <w:rsid w:val="00BD6501"/>
    <w:rsid w:val="00BD7291"/>
    <w:rsid w:val="00BD7D53"/>
    <w:rsid w:val="00BE03E0"/>
    <w:rsid w:val="00BE050C"/>
    <w:rsid w:val="00BE0DF9"/>
    <w:rsid w:val="00BE1AFA"/>
    <w:rsid w:val="00BE302E"/>
    <w:rsid w:val="00BE3138"/>
    <w:rsid w:val="00BE33A8"/>
    <w:rsid w:val="00BE36D3"/>
    <w:rsid w:val="00BE4EA7"/>
    <w:rsid w:val="00BE5218"/>
    <w:rsid w:val="00BE5A80"/>
    <w:rsid w:val="00BE5F48"/>
    <w:rsid w:val="00BE625D"/>
    <w:rsid w:val="00BE6FE0"/>
    <w:rsid w:val="00BE712C"/>
    <w:rsid w:val="00BF01D6"/>
    <w:rsid w:val="00BF0506"/>
    <w:rsid w:val="00BF0E9C"/>
    <w:rsid w:val="00BF1AB7"/>
    <w:rsid w:val="00BF1BA8"/>
    <w:rsid w:val="00BF1C3C"/>
    <w:rsid w:val="00BF229F"/>
    <w:rsid w:val="00BF32DA"/>
    <w:rsid w:val="00BF3C9E"/>
    <w:rsid w:val="00BF40B6"/>
    <w:rsid w:val="00BF4DC6"/>
    <w:rsid w:val="00BF5AE2"/>
    <w:rsid w:val="00BF5F84"/>
    <w:rsid w:val="00BF7B96"/>
    <w:rsid w:val="00C00CA9"/>
    <w:rsid w:val="00C01585"/>
    <w:rsid w:val="00C0248F"/>
    <w:rsid w:val="00C02577"/>
    <w:rsid w:val="00C03166"/>
    <w:rsid w:val="00C039D8"/>
    <w:rsid w:val="00C03D72"/>
    <w:rsid w:val="00C0445A"/>
    <w:rsid w:val="00C04A1B"/>
    <w:rsid w:val="00C05327"/>
    <w:rsid w:val="00C05676"/>
    <w:rsid w:val="00C10AD0"/>
    <w:rsid w:val="00C1248D"/>
    <w:rsid w:val="00C129B6"/>
    <w:rsid w:val="00C13549"/>
    <w:rsid w:val="00C148DB"/>
    <w:rsid w:val="00C14991"/>
    <w:rsid w:val="00C15165"/>
    <w:rsid w:val="00C153B5"/>
    <w:rsid w:val="00C21600"/>
    <w:rsid w:val="00C22C61"/>
    <w:rsid w:val="00C22FCB"/>
    <w:rsid w:val="00C23FF6"/>
    <w:rsid w:val="00C26B38"/>
    <w:rsid w:val="00C305DC"/>
    <w:rsid w:val="00C308A5"/>
    <w:rsid w:val="00C30937"/>
    <w:rsid w:val="00C34117"/>
    <w:rsid w:val="00C342D0"/>
    <w:rsid w:val="00C35C38"/>
    <w:rsid w:val="00C362E0"/>
    <w:rsid w:val="00C36798"/>
    <w:rsid w:val="00C3686B"/>
    <w:rsid w:val="00C36916"/>
    <w:rsid w:val="00C405C7"/>
    <w:rsid w:val="00C40852"/>
    <w:rsid w:val="00C40E71"/>
    <w:rsid w:val="00C413D7"/>
    <w:rsid w:val="00C416BF"/>
    <w:rsid w:val="00C41F28"/>
    <w:rsid w:val="00C4387E"/>
    <w:rsid w:val="00C43A3B"/>
    <w:rsid w:val="00C447BD"/>
    <w:rsid w:val="00C44DBD"/>
    <w:rsid w:val="00C45C00"/>
    <w:rsid w:val="00C47CD4"/>
    <w:rsid w:val="00C5112C"/>
    <w:rsid w:val="00C51AC1"/>
    <w:rsid w:val="00C52298"/>
    <w:rsid w:val="00C5271B"/>
    <w:rsid w:val="00C52D62"/>
    <w:rsid w:val="00C52F90"/>
    <w:rsid w:val="00C53547"/>
    <w:rsid w:val="00C542F1"/>
    <w:rsid w:val="00C5520E"/>
    <w:rsid w:val="00C55C3D"/>
    <w:rsid w:val="00C56083"/>
    <w:rsid w:val="00C57774"/>
    <w:rsid w:val="00C615A5"/>
    <w:rsid w:val="00C6163B"/>
    <w:rsid w:val="00C61B36"/>
    <w:rsid w:val="00C62EAA"/>
    <w:rsid w:val="00C630BE"/>
    <w:rsid w:val="00C646DA"/>
    <w:rsid w:val="00C65B50"/>
    <w:rsid w:val="00C6658B"/>
    <w:rsid w:val="00C66966"/>
    <w:rsid w:val="00C66A69"/>
    <w:rsid w:val="00C678CD"/>
    <w:rsid w:val="00C67AA6"/>
    <w:rsid w:val="00C67D7B"/>
    <w:rsid w:val="00C70B66"/>
    <w:rsid w:val="00C71F61"/>
    <w:rsid w:val="00C72217"/>
    <w:rsid w:val="00C726B1"/>
    <w:rsid w:val="00C7278C"/>
    <w:rsid w:val="00C73703"/>
    <w:rsid w:val="00C73D3D"/>
    <w:rsid w:val="00C74851"/>
    <w:rsid w:val="00C762DD"/>
    <w:rsid w:val="00C7724A"/>
    <w:rsid w:val="00C778A4"/>
    <w:rsid w:val="00C8135A"/>
    <w:rsid w:val="00C81C2E"/>
    <w:rsid w:val="00C81D63"/>
    <w:rsid w:val="00C81EC1"/>
    <w:rsid w:val="00C841CA"/>
    <w:rsid w:val="00C84F9C"/>
    <w:rsid w:val="00C8695D"/>
    <w:rsid w:val="00C87E28"/>
    <w:rsid w:val="00C9007B"/>
    <w:rsid w:val="00C90CA4"/>
    <w:rsid w:val="00C9246F"/>
    <w:rsid w:val="00C92C5E"/>
    <w:rsid w:val="00C93590"/>
    <w:rsid w:val="00C939A7"/>
    <w:rsid w:val="00C93F25"/>
    <w:rsid w:val="00C94771"/>
    <w:rsid w:val="00C956DF"/>
    <w:rsid w:val="00C958BA"/>
    <w:rsid w:val="00C96A59"/>
    <w:rsid w:val="00C96EE5"/>
    <w:rsid w:val="00C97E6D"/>
    <w:rsid w:val="00CA003F"/>
    <w:rsid w:val="00CA00B1"/>
    <w:rsid w:val="00CA0579"/>
    <w:rsid w:val="00CA05BD"/>
    <w:rsid w:val="00CA0F91"/>
    <w:rsid w:val="00CA23E8"/>
    <w:rsid w:val="00CA4281"/>
    <w:rsid w:val="00CA522A"/>
    <w:rsid w:val="00CA5B81"/>
    <w:rsid w:val="00CA5C7A"/>
    <w:rsid w:val="00CA6258"/>
    <w:rsid w:val="00CA666E"/>
    <w:rsid w:val="00CB0594"/>
    <w:rsid w:val="00CB0AB2"/>
    <w:rsid w:val="00CB191E"/>
    <w:rsid w:val="00CB1EBE"/>
    <w:rsid w:val="00CB3100"/>
    <w:rsid w:val="00CB5B95"/>
    <w:rsid w:val="00CB75AF"/>
    <w:rsid w:val="00CB7C78"/>
    <w:rsid w:val="00CC28A7"/>
    <w:rsid w:val="00CC2A7E"/>
    <w:rsid w:val="00CC3842"/>
    <w:rsid w:val="00CC3888"/>
    <w:rsid w:val="00CC3C7A"/>
    <w:rsid w:val="00CC4EEA"/>
    <w:rsid w:val="00CC55C9"/>
    <w:rsid w:val="00CC61F6"/>
    <w:rsid w:val="00CD0591"/>
    <w:rsid w:val="00CD097B"/>
    <w:rsid w:val="00CD1708"/>
    <w:rsid w:val="00CD37EA"/>
    <w:rsid w:val="00CD3DDC"/>
    <w:rsid w:val="00CD4A91"/>
    <w:rsid w:val="00CD4F66"/>
    <w:rsid w:val="00CD511C"/>
    <w:rsid w:val="00CD5BE7"/>
    <w:rsid w:val="00CD5D04"/>
    <w:rsid w:val="00CD6B06"/>
    <w:rsid w:val="00CD6F7C"/>
    <w:rsid w:val="00CD7802"/>
    <w:rsid w:val="00CE0B17"/>
    <w:rsid w:val="00CE1121"/>
    <w:rsid w:val="00CE1461"/>
    <w:rsid w:val="00CE268D"/>
    <w:rsid w:val="00CE2793"/>
    <w:rsid w:val="00CE28CD"/>
    <w:rsid w:val="00CE2934"/>
    <w:rsid w:val="00CE2C58"/>
    <w:rsid w:val="00CE2C98"/>
    <w:rsid w:val="00CE2CB3"/>
    <w:rsid w:val="00CE325F"/>
    <w:rsid w:val="00CE36E9"/>
    <w:rsid w:val="00CE3764"/>
    <w:rsid w:val="00CE3B3F"/>
    <w:rsid w:val="00CE470D"/>
    <w:rsid w:val="00CE4F42"/>
    <w:rsid w:val="00CE50F5"/>
    <w:rsid w:val="00CE5429"/>
    <w:rsid w:val="00CE5CD4"/>
    <w:rsid w:val="00CE6DCD"/>
    <w:rsid w:val="00CE7F5F"/>
    <w:rsid w:val="00CF0B79"/>
    <w:rsid w:val="00CF14AD"/>
    <w:rsid w:val="00CF1901"/>
    <w:rsid w:val="00CF2293"/>
    <w:rsid w:val="00CF3128"/>
    <w:rsid w:val="00CF32A9"/>
    <w:rsid w:val="00CF3954"/>
    <w:rsid w:val="00CF3B19"/>
    <w:rsid w:val="00CF428E"/>
    <w:rsid w:val="00CF5C5A"/>
    <w:rsid w:val="00CF5DAF"/>
    <w:rsid w:val="00CF635B"/>
    <w:rsid w:val="00D012F9"/>
    <w:rsid w:val="00D01324"/>
    <w:rsid w:val="00D01659"/>
    <w:rsid w:val="00D01676"/>
    <w:rsid w:val="00D01965"/>
    <w:rsid w:val="00D026E3"/>
    <w:rsid w:val="00D02CDD"/>
    <w:rsid w:val="00D02F04"/>
    <w:rsid w:val="00D03EEA"/>
    <w:rsid w:val="00D04078"/>
    <w:rsid w:val="00D0516B"/>
    <w:rsid w:val="00D061FF"/>
    <w:rsid w:val="00D068AE"/>
    <w:rsid w:val="00D06EB9"/>
    <w:rsid w:val="00D070FF"/>
    <w:rsid w:val="00D0738C"/>
    <w:rsid w:val="00D1025F"/>
    <w:rsid w:val="00D11188"/>
    <w:rsid w:val="00D13941"/>
    <w:rsid w:val="00D13C4C"/>
    <w:rsid w:val="00D144D4"/>
    <w:rsid w:val="00D14631"/>
    <w:rsid w:val="00D16AC8"/>
    <w:rsid w:val="00D21C4B"/>
    <w:rsid w:val="00D22574"/>
    <w:rsid w:val="00D245D6"/>
    <w:rsid w:val="00D24795"/>
    <w:rsid w:val="00D26738"/>
    <w:rsid w:val="00D26B2A"/>
    <w:rsid w:val="00D27A70"/>
    <w:rsid w:val="00D27DA7"/>
    <w:rsid w:val="00D3148D"/>
    <w:rsid w:val="00D31BEA"/>
    <w:rsid w:val="00D324A7"/>
    <w:rsid w:val="00D353F6"/>
    <w:rsid w:val="00D36E1D"/>
    <w:rsid w:val="00D37BC7"/>
    <w:rsid w:val="00D40670"/>
    <w:rsid w:val="00D407CE"/>
    <w:rsid w:val="00D41457"/>
    <w:rsid w:val="00D418BA"/>
    <w:rsid w:val="00D41E92"/>
    <w:rsid w:val="00D41E93"/>
    <w:rsid w:val="00D42389"/>
    <w:rsid w:val="00D43C84"/>
    <w:rsid w:val="00D44917"/>
    <w:rsid w:val="00D451FE"/>
    <w:rsid w:val="00D45960"/>
    <w:rsid w:val="00D464D6"/>
    <w:rsid w:val="00D46E2C"/>
    <w:rsid w:val="00D5016B"/>
    <w:rsid w:val="00D513AB"/>
    <w:rsid w:val="00D523E5"/>
    <w:rsid w:val="00D5268F"/>
    <w:rsid w:val="00D52AD9"/>
    <w:rsid w:val="00D52E2E"/>
    <w:rsid w:val="00D5356D"/>
    <w:rsid w:val="00D536B3"/>
    <w:rsid w:val="00D54715"/>
    <w:rsid w:val="00D54DD2"/>
    <w:rsid w:val="00D5502A"/>
    <w:rsid w:val="00D554E8"/>
    <w:rsid w:val="00D57CAC"/>
    <w:rsid w:val="00D61AC8"/>
    <w:rsid w:val="00D61E13"/>
    <w:rsid w:val="00D642FB"/>
    <w:rsid w:val="00D64F7B"/>
    <w:rsid w:val="00D65781"/>
    <w:rsid w:val="00D6733A"/>
    <w:rsid w:val="00D70E82"/>
    <w:rsid w:val="00D70FEC"/>
    <w:rsid w:val="00D721C9"/>
    <w:rsid w:val="00D73694"/>
    <w:rsid w:val="00D73D67"/>
    <w:rsid w:val="00D741A7"/>
    <w:rsid w:val="00D744E7"/>
    <w:rsid w:val="00D747E4"/>
    <w:rsid w:val="00D748D7"/>
    <w:rsid w:val="00D77BBE"/>
    <w:rsid w:val="00D8029F"/>
    <w:rsid w:val="00D802E0"/>
    <w:rsid w:val="00D80F62"/>
    <w:rsid w:val="00D81D44"/>
    <w:rsid w:val="00D81FB5"/>
    <w:rsid w:val="00D82E1B"/>
    <w:rsid w:val="00D83303"/>
    <w:rsid w:val="00D83F5C"/>
    <w:rsid w:val="00D844ED"/>
    <w:rsid w:val="00D84C91"/>
    <w:rsid w:val="00D85C77"/>
    <w:rsid w:val="00D86B78"/>
    <w:rsid w:val="00D87207"/>
    <w:rsid w:val="00D90ABB"/>
    <w:rsid w:val="00D91C16"/>
    <w:rsid w:val="00D9237B"/>
    <w:rsid w:val="00D92DD6"/>
    <w:rsid w:val="00D92F3C"/>
    <w:rsid w:val="00D9303E"/>
    <w:rsid w:val="00D936C0"/>
    <w:rsid w:val="00D938FD"/>
    <w:rsid w:val="00D952F3"/>
    <w:rsid w:val="00D97E8E"/>
    <w:rsid w:val="00D97FC4"/>
    <w:rsid w:val="00DA28B9"/>
    <w:rsid w:val="00DA4212"/>
    <w:rsid w:val="00DA44CA"/>
    <w:rsid w:val="00DA6E1E"/>
    <w:rsid w:val="00DA73F9"/>
    <w:rsid w:val="00DB15B5"/>
    <w:rsid w:val="00DB1E40"/>
    <w:rsid w:val="00DB21BD"/>
    <w:rsid w:val="00DB25C4"/>
    <w:rsid w:val="00DB2B47"/>
    <w:rsid w:val="00DB32DE"/>
    <w:rsid w:val="00DB499F"/>
    <w:rsid w:val="00DB5499"/>
    <w:rsid w:val="00DB56FC"/>
    <w:rsid w:val="00DB6AAF"/>
    <w:rsid w:val="00DB7022"/>
    <w:rsid w:val="00DB70CF"/>
    <w:rsid w:val="00DB76B3"/>
    <w:rsid w:val="00DB7D1B"/>
    <w:rsid w:val="00DC04A0"/>
    <w:rsid w:val="00DC06ED"/>
    <w:rsid w:val="00DC0AE2"/>
    <w:rsid w:val="00DC268C"/>
    <w:rsid w:val="00DC2719"/>
    <w:rsid w:val="00DC3385"/>
    <w:rsid w:val="00DC35F8"/>
    <w:rsid w:val="00DC3F24"/>
    <w:rsid w:val="00DC4BC6"/>
    <w:rsid w:val="00DC4C51"/>
    <w:rsid w:val="00DC52A7"/>
    <w:rsid w:val="00DC64F8"/>
    <w:rsid w:val="00DD0123"/>
    <w:rsid w:val="00DD0AB7"/>
    <w:rsid w:val="00DD0D53"/>
    <w:rsid w:val="00DD1C22"/>
    <w:rsid w:val="00DD2186"/>
    <w:rsid w:val="00DD2626"/>
    <w:rsid w:val="00DD27B8"/>
    <w:rsid w:val="00DD29D9"/>
    <w:rsid w:val="00DD2CBD"/>
    <w:rsid w:val="00DD30CF"/>
    <w:rsid w:val="00DD3765"/>
    <w:rsid w:val="00DD4CA4"/>
    <w:rsid w:val="00DD5623"/>
    <w:rsid w:val="00DD7685"/>
    <w:rsid w:val="00DE14C0"/>
    <w:rsid w:val="00DE4598"/>
    <w:rsid w:val="00DE4EC9"/>
    <w:rsid w:val="00DE5348"/>
    <w:rsid w:val="00DE6B3C"/>
    <w:rsid w:val="00DE70B2"/>
    <w:rsid w:val="00DE71AC"/>
    <w:rsid w:val="00DE7D90"/>
    <w:rsid w:val="00DF06DE"/>
    <w:rsid w:val="00DF1482"/>
    <w:rsid w:val="00DF1559"/>
    <w:rsid w:val="00DF27F1"/>
    <w:rsid w:val="00DF40DD"/>
    <w:rsid w:val="00DF52D6"/>
    <w:rsid w:val="00DF6255"/>
    <w:rsid w:val="00DF68A7"/>
    <w:rsid w:val="00DF6A6A"/>
    <w:rsid w:val="00DF6D6F"/>
    <w:rsid w:val="00DF7027"/>
    <w:rsid w:val="00DF775D"/>
    <w:rsid w:val="00DF7F31"/>
    <w:rsid w:val="00E0083E"/>
    <w:rsid w:val="00E024E3"/>
    <w:rsid w:val="00E03424"/>
    <w:rsid w:val="00E0371C"/>
    <w:rsid w:val="00E03C25"/>
    <w:rsid w:val="00E061B1"/>
    <w:rsid w:val="00E06A7A"/>
    <w:rsid w:val="00E10DF0"/>
    <w:rsid w:val="00E11758"/>
    <w:rsid w:val="00E127AF"/>
    <w:rsid w:val="00E13005"/>
    <w:rsid w:val="00E14748"/>
    <w:rsid w:val="00E14895"/>
    <w:rsid w:val="00E148E4"/>
    <w:rsid w:val="00E168B9"/>
    <w:rsid w:val="00E16A21"/>
    <w:rsid w:val="00E16BDC"/>
    <w:rsid w:val="00E21457"/>
    <w:rsid w:val="00E22566"/>
    <w:rsid w:val="00E22DFE"/>
    <w:rsid w:val="00E22F5D"/>
    <w:rsid w:val="00E231E6"/>
    <w:rsid w:val="00E23287"/>
    <w:rsid w:val="00E2333B"/>
    <w:rsid w:val="00E25731"/>
    <w:rsid w:val="00E25DAD"/>
    <w:rsid w:val="00E273E9"/>
    <w:rsid w:val="00E27430"/>
    <w:rsid w:val="00E30C9A"/>
    <w:rsid w:val="00E31829"/>
    <w:rsid w:val="00E319AE"/>
    <w:rsid w:val="00E33023"/>
    <w:rsid w:val="00E3348B"/>
    <w:rsid w:val="00E353B7"/>
    <w:rsid w:val="00E366C0"/>
    <w:rsid w:val="00E37489"/>
    <w:rsid w:val="00E41001"/>
    <w:rsid w:val="00E41536"/>
    <w:rsid w:val="00E417C7"/>
    <w:rsid w:val="00E43383"/>
    <w:rsid w:val="00E4487B"/>
    <w:rsid w:val="00E44E42"/>
    <w:rsid w:val="00E46BC5"/>
    <w:rsid w:val="00E46DB6"/>
    <w:rsid w:val="00E46EFB"/>
    <w:rsid w:val="00E47213"/>
    <w:rsid w:val="00E477C5"/>
    <w:rsid w:val="00E5021D"/>
    <w:rsid w:val="00E503C9"/>
    <w:rsid w:val="00E50DCF"/>
    <w:rsid w:val="00E50F0E"/>
    <w:rsid w:val="00E52A1A"/>
    <w:rsid w:val="00E5391B"/>
    <w:rsid w:val="00E54E14"/>
    <w:rsid w:val="00E54F65"/>
    <w:rsid w:val="00E56083"/>
    <w:rsid w:val="00E56847"/>
    <w:rsid w:val="00E57270"/>
    <w:rsid w:val="00E60292"/>
    <w:rsid w:val="00E62681"/>
    <w:rsid w:val="00E62F6A"/>
    <w:rsid w:val="00E63067"/>
    <w:rsid w:val="00E641C5"/>
    <w:rsid w:val="00E6432F"/>
    <w:rsid w:val="00E6486B"/>
    <w:rsid w:val="00E6581B"/>
    <w:rsid w:val="00E66095"/>
    <w:rsid w:val="00E6635B"/>
    <w:rsid w:val="00E70A12"/>
    <w:rsid w:val="00E711C1"/>
    <w:rsid w:val="00E7271B"/>
    <w:rsid w:val="00E73199"/>
    <w:rsid w:val="00E7372F"/>
    <w:rsid w:val="00E73D86"/>
    <w:rsid w:val="00E73F0D"/>
    <w:rsid w:val="00E73F72"/>
    <w:rsid w:val="00E75C5A"/>
    <w:rsid w:val="00E75F44"/>
    <w:rsid w:val="00E76838"/>
    <w:rsid w:val="00E76CBC"/>
    <w:rsid w:val="00E77F65"/>
    <w:rsid w:val="00E80C5C"/>
    <w:rsid w:val="00E8200D"/>
    <w:rsid w:val="00E82D21"/>
    <w:rsid w:val="00E82F25"/>
    <w:rsid w:val="00E84412"/>
    <w:rsid w:val="00E912B3"/>
    <w:rsid w:val="00E912E7"/>
    <w:rsid w:val="00E915D3"/>
    <w:rsid w:val="00E91A4F"/>
    <w:rsid w:val="00E91DBE"/>
    <w:rsid w:val="00E920CD"/>
    <w:rsid w:val="00E9275B"/>
    <w:rsid w:val="00E92B71"/>
    <w:rsid w:val="00E9572F"/>
    <w:rsid w:val="00E95874"/>
    <w:rsid w:val="00E9756E"/>
    <w:rsid w:val="00E97637"/>
    <w:rsid w:val="00EA06B1"/>
    <w:rsid w:val="00EA0C6B"/>
    <w:rsid w:val="00EA3B9F"/>
    <w:rsid w:val="00EA4676"/>
    <w:rsid w:val="00EA57CF"/>
    <w:rsid w:val="00EA6340"/>
    <w:rsid w:val="00EA665C"/>
    <w:rsid w:val="00EA7B13"/>
    <w:rsid w:val="00EB040D"/>
    <w:rsid w:val="00EB24A2"/>
    <w:rsid w:val="00EB28D7"/>
    <w:rsid w:val="00EB2905"/>
    <w:rsid w:val="00EB2986"/>
    <w:rsid w:val="00EB30E3"/>
    <w:rsid w:val="00EB3A6C"/>
    <w:rsid w:val="00EB6A9F"/>
    <w:rsid w:val="00EC05C2"/>
    <w:rsid w:val="00EC07AD"/>
    <w:rsid w:val="00EC6213"/>
    <w:rsid w:val="00EC680D"/>
    <w:rsid w:val="00EC6C76"/>
    <w:rsid w:val="00EC7C5B"/>
    <w:rsid w:val="00EC7CB7"/>
    <w:rsid w:val="00ED0299"/>
    <w:rsid w:val="00ED26B7"/>
    <w:rsid w:val="00ED2967"/>
    <w:rsid w:val="00ED33C9"/>
    <w:rsid w:val="00ED4F7D"/>
    <w:rsid w:val="00ED5A68"/>
    <w:rsid w:val="00ED65E2"/>
    <w:rsid w:val="00ED70C6"/>
    <w:rsid w:val="00ED75A5"/>
    <w:rsid w:val="00ED79CE"/>
    <w:rsid w:val="00ED7C4E"/>
    <w:rsid w:val="00EE1799"/>
    <w:rsid w:val="00EE1C20"/>
    <w:rsid w:val="00EE1F68"/>
    <w:rsid w:val="00EE2572"/>
    <w:rsid w:val="00EE4135"/>
    <w:rsid w:val="00EE498C"/>
    <w:rsid w:val="00EE6324"/>
    <w:rsid w:val="00EE7D0F"/>
    <w:rsid w:val="00EF1364"/>
    <w:rsid w:val="00EF28FA"/>
    <w:rsid w:val="00EF38B6"/>
    <w:rsid w:val="00EF4EAE"/>
    <w:rsid w:val="00EF5B97"/>
    <w:rsid w:val="00EF614D"/>
    <w:rsid w:val="00EF6B01"/>
    <w:rsid w:val="00EF6C09"/>
    <w:rsid w:val="00EF7043"/>
    <w:rsid w:val="00F02189"/>
    <w:rsid w:val="00F029C1"/>
    <w:rsid w:val="00F02AE8"/>
    <w:rsid w:val="00F02EF6"/>
    <w:rsid w:val="00F03C21"/>
    <w:rsid w:val="00F041A5"/>
    <w:rsid w:val="00F05B49"/>
    <w:rsid w:val="00F0684F"/>
    <w:rsid w:val="00F06B1D"/>
    <w:rsid w:val="00F070C9"/>
    <w:rsid w:val="00F0776D"/>
    <w:rsid w:val="00F10463"/>
    <w:rsid w:val="00F10518"/>
    <w:rsid w:val="00F10AB2"/>
    <w:rsid w:val="00F10B42"/>
    <w:rsid w:val="00F111E9"/>
    <w:rsid w:val="00F11C9A"/>
    <w:rsid w:val="00F11E80"/>
    <w:rsid w:val="00F14340"/>
    <w:rsid w:val="00F147B8"/>
    <w:rsid w:val="00F14B08"/>
    <w:rsid w:val="00F1611F"/>
    <w:rsid w:val="00F168EC"/>
    <w:rsid w:val="00F17757"/>
    <w:rsid w:val="00F21DCC"/>
    <w:rsid w:val="00F226D8"/>
    <w:rsid w:val="00F230CC"/>
    <w:rsid w:val="00F2341E"/>
    <w:rsid w:val="00F24B2A"/>
    <w:rsid w:val="00F24BB7"/>
    <w:rsid w:val="00F25125"/>
    <w:rsid w:val="00F260B1"/>
    <w:rsid w:val="00F2670A"/>
    <w:rsid w:val="00F26875"/>
    <w:rsid w:val="00F30503"/>
    <w:rsid w:val="00F30FF1"/>
    <w:rsid w:val="00F3162D"/>
    <w:rsid w:val="00F31C67"/>
    <w:rsid w:val="00F31CE6"/>
    <w:rsid w:val="00F331A7"/>
    <w:rsid w:val="00F34A01"/>
    <w:rsid w:val="00F35F13"/>
    <w:rsid w:val="00F37BAD"/>
    <w:rsid w:val="00F40A1E"/>
    <w:rsid w:val="00F41505"/>
    <w:rsid w:val="00F42124"/>
    <w:rsid w:val="00F42915"/>
    <w:rsid w:val="00F42B90"/>
    <w:rsid w:val="00F42D2F"/>
    <w:rsid w:val="00F42DED"/>
    <w:rsid w:val="00F42F0F"/>
    <w:rsid w:val="00F43327"/>
    <w:rsid w:val="00F43ED5"/>
    <w:rsid w:val="00F44347"/>
    <w:rsid w:val="00F44B6B"/>
    <w:rsid w:val="00F46115"/>
    <w:rsid w:val="00F46131"/>
    <w:rsid w:val="00F47952"/>
    <w:rsid w:val="00F506B5"/>
    <w:rsid w:val="00F50706"/>
    <w:rsid w:val="00F521A9"/>
    <w:rsid w:val="00F52720"/>
    <w:rsid w:val="00F52CED"/>
    <w:rsid w:val="00F5469A"/>
    <w:rsid w:val="00F5471C"/>
    <w:rsid w:val="00F55195"/>
    <w:rsid w:val="00F5550D"/>
    <w:rsid w:val="00F55AB2"/>
    <w:rsid w:val="00F563E2"/>
    <w:rsid w:val="00F56A5C"/>
    <w:rsid w:val="00F57033"/>
    <w:rsid w:val="00F571FC"/>
    <w:rsid w:val="00F57DA6"/>
    <w:rsid w:val="00F57EF2"/>
    <w:rsid w:val="00F601CB"/>
    <w:rsid w:val="00F607A8"/>
    <w:rsid w:val="00F61872"/>
    <w:rsid w:val="00F633B2"/>
    <w:rsid w:val="00F65B59"/>
    <w:rsid w:val="00F65E44"/>
    <w:rsid w:val="00F66355"/>
    <w:rsid w:val="00F66929"/>
    <w:rsid w:val="00F66D85"/>
    <w:rsid w:val="00F718C9"/>
    <w:rsid w:val="00F71948"/>
    <w:rsid w:val="00F74001"/>
    <w:rsid w:val="00F75057"/>
    <w:rsid w:val="00F76267"/>
    <w:rsid w:val="00F77003"/>
    <w:rsid w:val="00F77B0E"/>
    <w:rsid w:val="00F802D9"/>
    <w:rsid w:val="00F80331"/>
    <w:rsid w:val="00F812D5"/>
    <w:rsid w:val="00F816EA"/>
    <w:rsid w:val="00F8195E"/>
    <w:rsid w:val="00F8234B"/>
    <w:rsid w:val="00F8260D"/>
    <w:rsid w:val="00F82B17"/>
    <w:rsid w:val="00F84865"/>
    <w:rsid w:val="00F84973"/>
    <w:rsid w:val="00F84B04"/>
    <w:rsid w:val="00F851E6"/>
    <w:rsid w:val="00F85D44"/>
    <w:rsid w:val="00F85E0C"/>
    <w:rsid w:val="00F8623E"/>
    <w:rsid w:val="00F86D22"/>
    <w:rsid w:val="00F91344"/>
    <w:rsid w:val="00F9155B"/>
    <w:rsid w:val="00F91A9A"/>
    <w:rsid w:val="00F92CD1"/>
    <w:rsid w:val="00F92CF1"/>
    <w:rsid w:val="00F92D50"/>
    <w:rsid w:val="00F936B7"/>
    <w:rsid w:val="00F93BDB"/>
    <w:rsid w:val="00F93DC8"/>
    <w:rsid w:val="00F94282"/>
    <w:rsid w:val="00F95924"/>
    <w:rsid w:val="00F96FDB"/>
    <w:rsid w:val="00F974A9"/>
    <w:rsid w:val="00FA06CB"/>
    <w:rsid w:val="00FA0FA0"/>
    <w:rsid w:val="00FA1699"/>
    <w:rsid w:val="00FA1BB4"/>
    <w:rsid w:val="00FA20FC"/>
    <w:rsid w:val="00FA229F"/>
    <w:rsid w:val="00FA38B2"/>
    <w:rsid w:val="00FA3D45"/>
    <w:rsid w:val="00FA441B"/>
    <w:rsid w:val="00FA446A"/>
    <w:rsid w:val="00FA5BA6"/>
    <w:rsid w:val="00FA662B"/>
    <w:rsid w:val="00FA703F"/>
    <w:rsid w:val="00FA71C7"/>
    <w:rsid w:val="00FB04FE"/>
    <w:rsid w:val="00FB15CE"/>
    <w:rsid w:val="00FB310E"/>
    <w:rsid w:val="00FB354E"/>
    <w:rsid w:val="00FB3EE5"/>
    <w:rsid w:val="00FB45EC"/>
    <w:rsid w:val="00FB46EC"/>
    <w:rsid w:val="00FB619A"/>
    <w:rsid w:val="00FB6AC1"/>
    <w:rsid w:val="00FB6C72"/>
    <w:rsid w:val="00FB70C3"/>
    <w:rsid w:val="00FB771E"/>
    <w:rsid w:val="00FB77D7"/>
    <w:rsid w:val="00FC0315"/>
    <w:rsid w:val="00FC1371"/>
    <w:rsid w:val="00FC264A"/>
    <w:rsid w:val="00FC3D08"/>
    <w:rsid w:val="00FC3D66"/>
    <w:rsid w:val="00FC53B6"/>
    <w:rsid w:val="00FC6472"/>
    <w:rsid w:val="00FC6AEB"/>
    <w:rsid w:val="00FC6CBB"/>
    <w:rsid w:val="00FC7401"/>
    <w:rsid w:val="00FD26B0"/>
    <w:rsid w:val="00FD3534"/>
    <w:rsid w:val="00FD35B9"/>
    <w:rsid w:val="00FD3D7B"/>
    <w:rsid w:val="00FE0DFC"/>
    <w:rsid w:val="00FE1432"/>
    <w:rsid w:val="00FE1463"/>
    <w:rsid w:val="00FE2BA8"/>
    <w:rsid w:val="00FE3CA5"/>
    <w:rsid w:val="00FE459B"/>
    <w:rsid w:val="00FE52E9"/>
    <w:rsid w:val="00FE5A26"/>
    <w:rsid w:val="00FE6110"/>
    <w:rsid w:val="00FE7692"/>
    <w:rsid w:val="00FE778D"/>
    <w:rsid w:val="00FE7A13"/>
    <w:rsid w:val="00FF2266"/>
    <w:rsid w:val="00FF2F7D"/>
    <w:rsid w:val="00FF2FC1"/>
    <w:rsid w:val="00FF435C"/>
    <w:rsid w:val="00FF44B5"/>
    <w:rsid w:val="00FF474E"/>
    <w:rsid w:val="00FF510B"/>
    <w:rsid w:val="00FF59A8"/>
    <w:rsid w:val="00FF5D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E0ECBE"/>
  <w15:chartTrackingRefBased/>
  <w15:docId w15:val="{32BDF155-6F8C-4626-8F9C-38DDDB940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5E3A"/>
    <w:rPr>
      <w:sz w:val="24"/>
      <w:szCs w:val="24"/>
      <w:lang w:eastAsia="en-US"/>
    </w:rPr>
  </w:style>
  <w:style w:type="paragraph" w:styleId="Naslov1">
    <w:name w:val="heading 1"/>
    <w:basedOn w:val="Normal"/>
    <w:next w:val="Normal"/>
    <w:qFormat/>
    <w:pPr>
      <w:keepNext/>
      <w:jc w:val="center"/>
      <w:outlineLvl w:val="0"/>
    </w:pPr>
    <w:rPr>
      <w:rFonts w:ascii="Batang" w:eastAsia="Batang" w:hAnsi="Batang"/>
      <w:b/>
      <w:bCs/>
    </w:rPr>
  </w:style>
  <w:style w:type="paragraph" w:styleId="Naslov2">
    <w:name w:val="heading 2"/>
    <w:basedOn w:val="Normal"/>
    <w:next w:val="Normal"/>
    <w:qFormat/>
    <w:pPr>
      <w:keepNext/>
      <w:outlineLvl w:val="1"/>
    </w:pPr>
    <w:rPr>
      <w:rFonts w:ascii="Batang" w:eastAsia="Batang" w:hAnsi="Batang"/>
      <w:b/>
      <w:bCs/>
      <w:sz w:val="22"/>
      <w:u w:val="single"/>
    </w:rPr>
  </w:style>
  <w:style w:type="paragraph" w:styleId="Naslov3">
    <w:name w:val="heading 3"/>
    <w:basedOn w:val="Normal"/>
    <w:next w:val="Normal"/>
    <w:qFormat/>
    <w:pPr>
      <w:keepNext/>
      <w:outlineLvl w:val="2"/>
    </w:pPr>
    <w:rPr>
      <w:rFonts w:ascii="Batang" w:eastAsia="Batang" w:hAnsi="Batang"/>
      <w:b/>
      <w:bCs/>
      <w:sz w:val="22"/>
    </w:rPr>
  </w:style>
  <w:style w:type="paragraph" w:styleId="Naslov4">
    <w:name w:val="heading 4"/>
    <w:basedOn w:val="Normal"/>
    <w:next w:val="Normal"/>
    <w:qFormat/>
    <w:pPr>
      <w:keepNext/>
      <w:jc w:val="center"/>
      <w:outlineLvl w:val="3"/>
    </w:pPr>
    <w:rPr>
      <w:rFonts w:ascii="Tahoma" w:hAnsi="Tahoma" w:cs="Tahoma"/>
      <w:b/>
      <w:bCs/>
      <w:color w:val="000080"/>
      <w:sz w:val="22"/>
    </w:rPr>
  </w:style>
  <w:style w:type="paragraph" w:styleId="Naslov8">
    <w:name w:val="heading 8"/>
    <w:basedOn w:val="Normal"/>
    <w:next w:val="Normal"/>
    <w:link w:val="Naslov8Char"/>
    <w:qFormat/>
    <w:rsid w:val="007855BA"/>
    <w:pPr>
      <w:spacing w:before="240" w:after="60"/>
      <w:outlineLvl w:val="7"/>
    </w:pPr>
    <w:rPr>
      <w:i/>
      <w:i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rPr>
      <w:color w:val="0000FF"/>
      <w:u w:val="single"/>
    </w:rPr>
  </w:style>
  <w:style w:type="paragraph" w:styleId="Tijeloteksta">
    <w:name w:val="Body Text"/>
    <w:basedOn w:val="Normal"/>
    <w:pPr>
      <w:jc w:val="both"/>
    </w:pPr>
    <w:rPr>
      <w:rFonts w:ascii="Tahoma" w:hAnsi="Tahoma" w:cs="Tahoma"/>
      <w:color w:val="000080"/>
      <w:sz w:val="22"/>
    </w:rPr>
  </w:style>
  <w:style w:type="paragraph" w:styleId="Zaglavlje">
    <w:name w:val="header"/>
    <w:basedOn w:val="Normal"/>
    <w:rsid w:val="00D14631"/>
    <w:pPr>
      <w:tabs>
        <w:tab w:val="center" w:pos="4153"/>
        <w:tab w:val="right" w:pos="8306"/>
      </w:tabs>
    </w:pPr>
    <w:rPr>
      <w:lang w:val="en-GB"/>
    </w:rPr>
  </w:style>
  <w:style w:type="paragraph" w:styleId="Odlomakpopisa">
    <w:name w:val="List Paragraph"/>
    <w:basedOn w:val="Normal"/>
    <w:link w:val="OdlomakpopisaChar"/>
    <w:uiPriority w:val="99"/>
    <w:qFormat/>
    <w:rsid w:val="00343D46"/>
    <w:pPr>
      <w:ind w:left="708"/>
    </w:pPr>
  </w:style>
  <w:style w:type="character" w:customStyle="1" w:styleId="Naslov8Char">
    <w:name w:val="Naslov 8 Char"/>
    <w:link w:val="Naslov8"/>
    <w:rsid w:val="007855BA"/>
    <w:rPr>
      <w:i/>
      <w:iCs/>
      <w:noProof/>
      <w:sz w:val="24"/>
      <w:szCs w:val="24"/>
      <w:lang w:eastAsia="en-US"/>
    </w:rPr>
  </w:style>
  <w:style w:type="paragraph" w:customStyle="1" w:styleId="MediumList2-Accent41">
    <w:name w:val="Medium List 2 - Accent 41"/>
    <w:basedOn w:val="Normal"/>
    <w:rsid w:val="006302F8"/>
    <w:pPr>
      <w:ind w:left="708"/>
    </w:pPr>
    <w:rPr>
      <w:lang w:val="en-US"/>
    </w:rPr>
  </w:style>
  <w:style w:type="paragraph" w:styleId="Podnoje">
    <w:name w:val="footer"/>
    <w:basedOn w:val="Normal"/>
    <w:link w:val="PodnojeChar"/>
    <w:uiPriority w:val="99"/>
    <w:rsid w:val="004B3E26"/>
    <w:pPr>
      <w:tabs>
        <w:tab w:val="center" w:pos="4536"/>
        <w:tab w:val="right" w:pos="9072"/>
      </w:tabs>
    </w:pPr>
    <w:rPr>
      <w:lang w:val="en-GB"/>
    </w:rPr>
  </w:style>
  <w:style w:type="character" w:customStyle="1" w:styleId="PodnojeChar">
    <w:name w:val="Podnožje Char"/>
    <w:link w:val="Podnoje"/>
    <w:uiPriority w:val="99"/>
    <w:rsid w:val="004B3E26"/>
    <w:rPr>
      <w:sz w:val="24"/>
      <w:szCs w:val="24"/>
      <w:lang w:val="en-GB" w:eastAsia="en-US"/>
    </w:rPr>
  </w:style>
  <w:style w:type="paragraph" w:styleId="Tekstbalonia">
    <w:name w:val="Balloon Text"/>
    <w:basedOn w:val="Normal"/>
    <w:link w:val="TekstbaloniaChar"/>
    <w:rsid w:val="00474D13"/>
    <w:rPr>
      <w:rFonts w:ascii="Tahoma" w:hAnsi="Tahoma" w:cs="Tahoma"/>
      <w:sz w:val="16"/>
      <w:szCs w:val="16"/>
    </w:rPr>
  </w:style>
  <w:style w:type="character" w:customStyle="1" w:styleId="TekstbaloniaChar">
    <w:name w:val="Tekst balončića Char"/>
    <w:link w:val="Tekstbalonia"/>
    <w:rsid w:val="00474D13"/>
    <w:rPr>
      <w:rFonts w:ascii="Tahoma" w:hAnsi="Tahoma" w:cs="Tahoma"/>
      <w:noProof/>
      <w:sz w:val="16"/>
      <w:szCs w:val="16"/>
      <w:lang w:eastAsia="en-US"/>
    </w:rPr>
  </w:style>
  <w:style w:type="character" w:customStyle="1" w:styleId="Nerijeenospominjanje1">
    <w:name w:val="Neriješeno spominjanje1"/>
    <w:uiPriority w:val="99"/>
    <w:semiHidden/>
    <w:unhideWhenUsed/>
    <w:rsid w:val="003A3505"/>
    <w:rPr>
      <w:color w:val="605E5C"/>
      <w:shd w:val="clear" w:color="auto" w:fill="E1DFDD"/>
    </w:rPr>
  </w:style>
  <w:style w:type="character" w:styleId="Referencakomentara">
    <w:name w:val="annotation reference"/>
    <w:basedOn w:val="Zadanifontodlomka"/>
    <w:rsid w:val="009855A1"/>
    <w:rPr>
      <w:sz w:val="16"/>
      <w:szCs w:val="16"/>
    </w:rPr>
  </w:style>
  <w:style w:type="paragraph" w:styleId="Tekstkomentara">
    <w:name w:val="annotation text"/>
    <w:basedOn w:val="Normal"/>
    <w:link w:val="TekstkomentaraChar"/>
    <w:rsid w:val="009855A1"/>
    <w:rPr>
      <w:sz w:val="20"/>
      <w:szCs w:val="20"/>
    </w:rPr>
  </w:style>
  <w:style w:type="character" w:customStyle="1" w:styleId="TekstkomentaraChar">
    <w:name w:val="Tekst komentara Char"/>
    <w:basedOn w:val="Zadanifontodlomka"/>
    <w:link w:val="Tekstkomentara"/>
    <w:rsid w:val="009855A1"/>
    <w:rPr>
      <w:noProof/>
      <w:lang w:eastAsia="en-US"/>
    </w:rPr>
  </w:style>
  <w:style w:type="paragraph" w:styleId="Predmetkomentara">
    <w:name w:val="annotation subject"/>
    <w:basedOn w:val="Tekstkomentara"/>
    <w:next w:val="Tekstkomentara"/>
    <w:link w:val="PredmetkomentaraChar"/>
    <w:semiHidden/>
    <w:unhideWhenUsed/>
    <w:rsid w:val="009855A1"/>
    <w:rPr>
      <w:b/>
      <w:bCs/>
    </w:rPr>
  </w:style>
  <w:style w:type="character" w:customStyle="1" w:styleId="PredmetkomentaraChar">
    <w:name w:val="Predmet komentara Char"/>
    <w:basedOn w:val="TekstkomentaraChar"/>
    <w:link w:val="Predmetkomentara"/>
    <w:semiHidden/>
    <w:rsid w:val="009855A1"/>
    <w:rPr>
      <w:b/>
      <w:bCs/>
      <w:noProof/>
      <w:lang w:eastAsia="en-US"/>
    </w:rPr>
  </w:style>
  <w:style w:type="table" w:styleId="Reetkatablice">
    <w:name w:val="Table Grid"/>
    <w:basedOn w:val="Obinatablica"/>
    <w:uiPriority w:val="99"/>
    <w:rsid w:val="00985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lomakpopisaChar">
    <w:name w:val="Odlomak popisa Char"/>
    <w:link w:val="Odlomakpopisa"/>
    <w:uiPriority w:val="99"/>
    <w:locked/>
    <w:rsid w:val="00985B10"/>
    <w:rPr>
      <w:noProof/>
      <w:sz w:val="24"/>
      <w:szCs w:val="24"/>
      <w:lang w:eastAsia="en-US"/>
    </w:rPr>
  </w:style>
  <w:style w:type="character" w:styleId="Nerijeenospominjanje">
    <w:name w:val="Unresolved Mention"/>
    <w:basedOn w:val="Zadanifontodlomka"/>
    <w:uiPriority w:val="99"/>
    <w:semiHidden/>
    <w:unhideWhenUsed/>
    <w:rsid w:val="00063ADC"/>
    <w:rPr>
      <w:color w:val="605E5C"/>
      <w:shd w:val="clear" w:color="auto" w:fill="E1DFDD"/>
    </w:rPr>
  </w:style>
  <w:style w:type="character" w:styleId="SlijeenaHiperveza">
    <w:name w:val="FollowedHyperlink"/>
    <w:basedOn w:val="Zadanifontodlomka"/>
    <w:rsid w:val="00063AD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46138">
      <w:bodyDiv w:val="1"/>
      <w:marLeft w:val="0"/>
      <w:marRight w:val="0"/>
      <w:marTop w:val="0"/>
      <w:marBottom w:val="0"/>
      <w:divBdr>
        <w:top w:val="none" w:sz="0" w:space="0" w:color="auto"/>
        <w:left w:val="none" w:sz="0" w:space="0" w:color="auto"/>
        <w:bottom w:val="none" w:sz="0" w:space="0" w:color="auto"/>
        <w:right w:val="none" w:sz="0" w:space="0" w:color="auto"/>
      </w:divBdr>
    </w:div>
    <w:div w:id="230501431">
      <w:bodyDiv w:val="1"/>
      <w:marLeft w:val="0"/>
      <w:marRight w:val="0"/>
      <w:marTop w:val="0"/>
      <w:marBottom w:val="0"/>
      <w:divBdr>
        <w:top w:val="none" w:sz="0" w:space="0" w:color="auto"/>
        <w:left w:val="none" w:sz="0" w:space="0" w:color="auto"/>
        <w:bottom w:val="none" w:sz="0" w:space="0" w:color="auto"/>
        <w:right w:val="none" w:sz="0" w:space="0" w:color="auto"/>
      </w:divBdr>
    </w:div>
    <w:div w:id="520244967">
      <w:bodyDiv w:val="1"/>
      <w:marLeft w:val="0"/>
      <w:marRight w:val="0"/>
      <w:marTop w:val="0"/>
      <w:marBottom w:val="0"/>
      <w:divBdr>
        <w:top w:val="none" w:sz="0" w:space="0" w:color="auto"/>
        <w:left w:val="none" w:sz="0" w:space="0" w:color="auto"/>
        <w:bottom w:val="none" w:sz="0" w:space="0" w:color="auto"/>
        <w:right w:val="none" w:sz="0" w:space="0" w:color="auto"/>
      </w:divBdr>
    </w:div>
    <w:div w:id="865752343">
      <w:bodyDiv w:val="1"/>
      <w:marLeft w:val="0"/>
      <w:marRight w:val="0"/>
      <w:marTop w:val="0"/>
      <w:marBottom w:val="0"/>
      <w:divBdr>
        <w:top w:val="none" w:sz="0" w:space="0" w:color="auto"/>
        <w:left w:val="none" w:sz="0" w:space="0" w:color="auto"/>
        <w:bottom w:val="none" w:sz="0" w:space="0" w:color="auto"/>
        <w:right w:val="none" w:sz="0" w:space="0" w:color="auto"/>
      </w:divBdr>
    </w:div>
    <w:div w:id="883373900">
      <w:bodyDiv w:val="1"/>
      <w:marLeft w:val="0"/>
      <w:marRight w:val="0"/>
      <w:marTop w:val="0"/>
      <w:marBottom w:val="0"/>
      <w:divBdr>
        <w:top w:val="none" w:sz="0" w:space="0" w:color="auto"/>
        <w:left w:val="none" w:sz="0" w:space="0" w:color="auto"/>
        <w:bottom w:val="none" w:sz="0" w:space="0" w:color="auto"/>
        <w:right w:val="none" w:sz="0" w:space="0" w:color="auto"/>
      </w:divBdr>
    </w:div>
    <w:div w:id="917901459">
      <w:bodyDiv w:val="1"/>
      <w:marLeft w:val="0"/>
      <w:marRight w:val="0"/>
      <w:marTop w:val="0"/>
      <w:marBottom w:val="0"/>
      <w:divBdr>
        <w:top w:val="none" w:sz="0" w:space="0" w:color="auto"/>
        <w:left w:val="none" w:sz="0" w:space="0" w:color="auto"/>
        <w:bottom w:val="none" w:sz="0" w:space="0" w:color="auto"/>
        <w:right w:val="none" w:sz="0" w:space="0" w:color="auto"/>
      </w:divBdr>
    </w:div>
    <w:div w:id="1102921396">
      <w:bodyDiv w:val="1"/>
      <w:marLeft w:val="0"/>
      <w:marRight w:val="0"/>
      <w:marTop w:val="0"/>
      <w:marBottom w:val="0"/>
      <w:divBdr>
        <w:top w:val="none" w:sz="0" w:space="0" w:color="auto"/>
        <w:left w:val="none" w:sz="0" w:space="0" w:color="auto"/>
        <w:bottom w:val="none" w:sz="0" w:space="0" w:color="auto"/>
        <w:right w:val="none" w:sz="0" w:space="0" w:color="auto"/>
      </w:divBdr>
    </w:div>
    <w:div w:id="1192913057">
      <w:bodyDiv w:val="1"/>
      <w:marLeft w:val="0"/>
      <w:marRight w:val="0"/>
      <w:marTop w:val="0"/>
      <w:marBottom w:val="0"/>
      <w:divBdr>
        <w:top w:val="none" w:sz="0" w:space="0" w:color="auto"/>
        <w:left w:val="none" w:sz="0" w:space="0" w:color="auto"/>
        <w:bottom w:val="none" w:sz="0" w:space="0" w:color="auto"/>
        <w:right w:val="none" w:sz="0" w:space="0" w:color="auto"/>
      </w:divBdr>
    </w:div>
    <w:div w:id="1893492176">
      <w:bodyDiv w:val="1"/>
      <w:marLeft w:val="0"/>
      <w:marRight w:val="0"/>
      <w:marTop w:val="0"/>
      <w:marBottom w:val="0"/>
      <w:divBdr>
        <w:top w:val="none" w:sz="0" w:space="0" w:color="auto"/>
        <w:left w:val="none" w:sz="0" w:space="0" w:color="auto"/>
        <w:bottom w:val="none" w:sz="0" w:space="0" w:color="auto"/>
        <w:right w:val="none" w:sz="0" w:space="0" w:color="auto"/>
      </w:divBdr>
    </w:div>
    <w:div w:id="2078628972">
      <w:bodyDiv w:val="1"/>
      <w:marLeft w:val="0"/>
      <w:marRight w:val="0"/>
      <w:marTop w:val="0"/>
      <w:marBottom w:val="0"/>
      <w:divBdr>
        <w:top w:val="none" w:sz="0" w:space="0" w:color="auto"/>
        <w:left w:val="none" w:sz="0" w:space="0" w:color="auto"/>
        <w:bottom w:val="none" w:sz="0" w:space="0" w:color="auto"/>
        <w:right w:val="none" w:sz="0" w:space="0" w:color="auto"/>
      </w:divBdr>
    </w:div>
    <w:div w:id="213065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u-kop.h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pou-kop.h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ou-kop.hr/obogati-se-znanjem-radionica-tonija-miluna/"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013915FCA1B7047A008FE6B55F0CBD6" ma:contentTypeVersion="2" ma:contentTypeDescription="Create a new document." ma:contentTypeScope="" ma:versionID="8ddf47e6bd1be18a9a31f28e0b5066c1">
  <xsd:schema xmlns:xsd="http://www.w3.org/2001/XMLSchema" xmlns:xs="http://www.w3.org/2001/XMLSchema" xmlns:p="http://schemas.microsoft.com/office/2006/metadata/properties" xmlns:ns3="9885bfe9-0638-46e7-8f46-4e91f33a54a5" targetNamespace="http://schemas.microsoft.com/office/2006/metadata/properties" ma:root="true" ma:fieldsID="a4075399277e31dc8409d2ed780215c4" ns3:_="">
    <xsd:import namespace="9885bfe9-0638-46e7-8f46-4e91f33a54a5"/>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85bfe9-0638-46e7-8f46-4e91f33a54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DAFCD0-FF4A-4357-8961-338B46660E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D416AF-C4C8-4DE6-AAA3-D816711CFD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85bfe9-0638-46e7-8f46-4e91f33a54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C9B3E-1D74-4AE4-8E71-3DD3FF8044C9}">
  <ds:schemaRefs>
    <ds:schemaRef ds:uri="http://schemas.microsoft.com/sharepoint/v3/contenttype/forms"/>
  </ds:schemaRefs>
</ds:datastoreItem>
</file>

<file path=customXml/itemProps4.xml><?xml version="1.0" encoding="utf-8"?>
<ds:datastoreItem xmlns:ds="http://schemas.openxmlformats.org/officeDocument/2006/customXml" ds:itemID="{1E54A109-56C4-43DA-9A4D-309473401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14</Pages>
  <Words>7916</Words>
  <Characters>45122</Characters>
  <Application>Microsoft Office Word</Application>
  <DocSecurity>0</DocSecurity>
  <Lines>376</Lines>
  <Paragraphs>105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lpstr> </vt:lpstr>
    </vt:vector>
  </TitlesOfParts>
  <Company/>
  <LinksUpToDate>false</LinksUpToDate>
  <CharactersWithSpaces>52933</CharactersWithSpaces>
  <SharedDoc>false</SharedDoc>
  <HLinks>
    <vt:vector size="12" baseType="variant">
      <vt:variant>
        <vt:i4>7471137</vt:i4>
      </vt:variant>
      <vt:variant>
        <vt:i4>3</vt:i4>
      </vt:variant>
      <vt:variant>
        <vt:i4>0</vt:i4>
      </vt:variant>
      <vt:variant>
        <vt:i4>5</vt:i4>
      </vt:variant>
      <vt:variant>
        <vt:lpwstr>http://www.pou-kop.hr/</vt:lpwstr>
      </vt:variant>
      <vt:variant>
        <vt:lpwstr/>
      </vt:variant>
      <vt:variant>
        <vt:i4>6029373</vt:i4>
      </vt:variant>
      <vt:variant>
        <vt:i4>0</vt:i4>
      </vt:variant>
      <vt:variant>
        <vt:i4>0</vt:i4>
      </vt:variant>
      <vt:variant>
        <vt:i4>5</vt:i4>
      </vt:variant>
      <vt:variant>
        <vt:lpwstr>mailto:info@pou-kop.hr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Josip Nakic Alfirević</dc:creator>
  <cp:keywords/>
  <dc:description/>
  <cp:lastModifiedBy>Davorka Posavec-Čokonaj</cp:lastModifiedBy>
  <cp:revision>8</cp:revision>
  <cp:lastPrinted>2024-03-20T14:10:00Z</cp:lastPrinted>
  <dcterms:created xsi:type="dcterms:W3CDTF">2025-03-13T12:36:00Z</dcterms:created>
  <dcterms:modified xsi:type="dcterms:W3CDTF">2025-03-17T13:22:00Z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0x0101005013915FCA1B7047A008FE6B55F0CBD6</vt:lpwstr>
  </property>
</Properties>
</file>