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3DCA0" w14:textId="77777777" w:rsidR="009E4361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CENTAR ZA ODGOJ,</w:t>
      </w:r>
      <w:r w:rsidR="0051295D" w:rsidRPr="00823CE1">
        <w:rPr>
          <w:rFonts w:ascii="Times New Roman" w:hAnsi="Times New Roman" w:cs="Times New Roman"/>
        </w:rPr>
        <w:t xml:space="preserve"> </w:t>
      </w:r>
      <w:r w:rsidRPr="00823CE1">
        <w:rPr>
          <w:rFonts w:ascii="Times New Roman" w:hAnsi="Times New Roman" w:cs="Times New Roman"/>
        </w:rPr>
        <w:t>OBRAZOVANJE I REHABILITACIJU PODRAVSKO SUNCE</w:t>
      </w:r>
    </w:p>
    <w:p w14:paraId="4823ADD5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Hercegovačka 1</w:t>
      </w:r>
    </w:p>
    <w:p w14:paraId="1BD097B4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48000 KOPRIVNICA</w:t>
      </w:r>
    </w:p>
    <w:p w14:paraId="2C588745" w14:textId="5304F8DD" w:rsidR="0051295D" w:rsidRDefault="0051295D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OIB 79151495340</w:t>
      </w:r>
    </w:p>
    <w:p w14:paraId="00CC1D64" w14:textId="77777777" w:rsidR="00D05D62" w:rsidRPr="00D21838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31EF138F" w14:textId="6E7DE6F0" w:rsidR="00D05D62" w:rsidRPr="00D21838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 w:rsidRPr="00D21838">
        <w:rPr>
          <w:rFonts w:ascii="Times New Roman" w:hAnsi="Times New Roman" w:cs="Times New Roman"/>
        </w:rPr>
        <w:t>KLASA: 400-0</w:t>
      </w:r>
      <w:r w:rsidR="006601A8" w:rsidRPr="00D21838">
        <w:rPr>
          <w:rFonts w:ascii="Times New Roman" w:hAnsi="Times New Roman" w:cs="Times New Roman"/>
        </w:rPr>
        <w:t>4</w:t>
      </w:r>
      <w:r w:rsidRPr="00D21838">
        <w:rPr>
          <w:rFonts w:ascii="Times New Roman" w:hAnsi="Times New Roman" w:cs="Times New Roman"/>
        </w:rPr>
        <w:t>/2</w:t>
      </w:r>
      <w:r w:rsidR="0036190B" w:rsidRPr="00D21838">
        <w:rPr>
          <w:rFonts w:ascii="Times New Roman" w:hAnsi="Times New Roman" w:cs="Times New Roman"/>
        </w:rPr>
        <w:t>5</w:t>
      </w:r>
      <w:r w:rsidRPr="00D21838">
        <w:rPr>
          <w:rFonts w:ascii="Times New Roman" w:hAnsi="Times New Roman" w:cs="Times New Roman"/>
        </w:rPr>
        <w:t>-01/</w:t>
      </w:r>
      <w:r w:rsidR="0036190B" w:rsidRPr="00D21838">
        <w:rPr>
          <w:rFonts w:ascii="Times New Roman" w:hAnsi="Times New Roman" w:cs="Times New Roman"/>
        </w:rPr>
        <w:t>1</w:t>
      </w:r>
    </w:p>
    <w:p w14:paraId="3BCE2FFD" w14:textId="0E092126" w:rsidR="00D05D62" w:rsidRPr="00D21838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 w:rsidRPr="00D21838">
        <w:rPr>
          <w:rFonts w:ascii="Times New Roman" w:hAnsi="Times New Roman" w:cs="Times New Roman"/>
        </w:rPr>
        <w:t>URBROJ: 2137-79-2</w:t>
      </w:r>
      <w:r w:rsidR="0036190B" w:rsidRPr="00D21838">
        <w:rPr>
          <w:rFonts w:ascii="Times New Roman" w:hAnsi="Times New Roman" w:cs="Times New Roman"/>
        </w:rPr>
        <w:t>5</w:t>
      </w:r>
      <w:r w:rsidR="00E72D5B" w:rsidRPr="00D21838">
        <w:rPr>
          <w:rFonts w:ascii="Times New Roman" w:hAnsi="Times New Roman" w:cs="Times New Roman"/>
        </w:rPr>
        <w:t>-</w:t>
      </w:r>
      <w:r w:rsidR="006601A8" w:rsidRPr="00D21838">
        <w:rPr>
          <w:rFonts w:ascii="Times New Roman" w:hAnsi="Times New Roman" w:cs="Times New Roman"/>
        </w:rPr>
        <w:t>2</w:t>
      </w:r>
    </w:p>
    <w:p w14:paraId="0ADDD114" w14:textId="7AAAA4D5" w:rsidR="00D05D62" w:rsidRPr="00D21838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4614D10E" w14:textId="5EC1079C" w:rsidR="0051295D" w:rsidRPr="00D21838" w:rsidRDefault="006E4854" w:rsidP="007364DC">
      <w:pPr>
        <w:spacing w:after="0" w:line="240" w:lineRule="auto"/>
        <w:rPr>
          <w:rFonts w:ascii="Times New Roman" w:hAnsi="Times New Roman" w:cs="Times New Roman"/>
        </w:rPr>
      </w:pPr>
      <w:r w:rsidRPr="00D21838">
        <w:rPr>
          <w:rFonts w:ascii="Times New Roman" w:hAnsi="Times New Roman" w:cs="Times New Roman"/>
        </w:rPr>
        <w:t xml:space="preserve">Koprivnica, </w:t>
      </w:r>
      <w:r w:rsidR="0036190B" w:rsidRPr="00D21838">
        <w:rPr>
          <w:rFonts w:ascii="Times New Roman" w:hAnsi="Times New Roman" w:cs="Times New Roman"/>
        </w:rPr>
        <w:t>14</w:t>
      </w:r>
      <w:r w:rsidR="00B36E7E" w:rsidRPr="00D21838">
        <w:rPr>
          <w:rFonts w:ascii="Times New Roman" w:hAnsi="Times New Roman" w:cs="Times New Roman"/>
        </w:rPr>
        <w:t>.</w:t>
      </w:r>
      <w:r w:rsidR="005624CD" w:rsidRPr="00D21838">
        <w:rPr>
          <w:rFonts w:ascii="Times New Roman" w:hAnsi="Times New Roman" w:cs="Times New Roman"/>
        </w:rPr>
        <w:t xml:space="preserve"> </w:t>
      </w:r>
      <w:r w:rsidR="00744C1E" w:rsidRPr="00D21838">
        <w:rPr>
          <w:rFonts w:ascii="Times New Roman" w:hAnsi="Times New Roman" w:cs="Times New Roman"/>
        </w:rPr>
        <w:t>3</w:t>
      </w:r>
      <w:r w:rsidR="009D7DC0" w:rsidRPr="00D21838">
        <w:rPr>
          <w:rFonts w:ascii="Times New Roman" w:hAnsi="Times New Roman" w:cs="Times New Roman"/>
        </w:rPr>
        <w:t>.</w:t>
      </w:r>
      <w:r w:rsidR="005624CD" w:rsidRPr="00D21838">
        <w:rPr>
          <w:rFonts w:ascii="Times New Roman" w:hAnsi="Times New Roman" w:cs="Times New Roman"/>
        </w:rPr>
        <w:t xml:space="preserve"> </w:t>
      </w:r>
      <w:r w:rsidR="009D7DC0" w:rsidRPr="00D21838">
        <w:rPr>
          <w:rFonts w:ascii="Times New Roman" w:hAnsi="Times New Roman" w:cs="Times New Roman"/>
        </w:rPr>
        <w:t>20</w:t>
      </w:r>
      <w:r w:rsidR="00D05D62" w:rsidRPr="00D21838">
        <w:rPr>
          <w:rFonts w:ascii="Times New Roman" w:hAnsi="Times New Roman" w:cs="Times New Roman"/>
        </w:rPr>
        <w:t>2</w:t>
      </w:r>
      <w:r w:rsidR="00744C1E" w:rsidRPr="00D21838">
        <w:rPr>
          <w:rFonts w:ascii="Times New Roman" w:hAnsi="Times New Roman" w:cs="Times New Roman"/>
        </w:rPr>
        <w:t>4</w:t>
      </w:r>
      <w:r w:rsidR="0051295D" w:rsidRPr="00D21838">
        <w:rPr>
          <w:rFonts w:ascii="Times New Roman" w:hAnsi="Times New Roman" w:cs="Times New Roman"/>
        </w:rPr>
        <w:t>.</w:t>
      </w:r>
    </w:p>
    <w:p w14:paraId="27A4D151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78FED1FC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62CAAE46" w14:textId="77777777" w:rsidR="007364DC" w:rsidRPr="00823CE1" w:rsidRDefault="007364DC" w:rsidP="007364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C2F2C71" w14:textId="29D0A052" w:rsidR="007364DC" w:rsidRDefault="0080129A" w:rsidP="0051295D">
      <w:pPr>
        <w:spacing w:after="0" w:line="240" w:lineRule="auto"/>
        <w:rPr>
          <w:rFonts w:ascii="Times New Roman" w:hAnsi="Times New Roman" w:cs="Times New Roman"/>
          <w:b/>
        </w:rPr>
      </w:pPr>
      <w:r w:rsidRPr="0019160B">
        <w:rPr>
          <w:rFonts w:ascii="Times New Roman" w:hAnsi="Times New Roman" w:cs="Times New Roman"/>
          <w:b/>
        </w:rPr>
        <w:t>Obrazloženj</w:t>
      </w:r>
      <w:r w:rsidR="0051295D" w:rsidRPr="0019160B">
        <w:rPr>
          <w:rFonts w:ascii="Times New Roman" w:hAnsi="Times New Roman" w:cs="Times New Roman"/>
          <w:b/>
        </w:rPr>
        <w:t xml:space="preserve">e </w:t>
      </w:r>
      <w:r w:rsidR="00A05107">
        <w:rPr>
          <w:rFonts w:ascii="Times New Roman" w:hAnsi="Times New Roman" w:cs="Times New Roman"/>
          <w:b/>
        </w:rPr>
        <w:t>Prijedloga</w:t>
      </w:r>
      <w:r w:rsidR="00B552A0">
        <w:rPr>
          <w:rFonts w:ascii="Times New Roman" w:hAnsi="Times New Roman" w:cs="Times New Roman"/>
          <w:b/>
        </w:rPr>
        <w:t xml:space="preserve"> </w:t>
      </w:r>
      <w:r w:rsidR="00A11D56">
        <w:rPr>
          <w:rFonts w:ascii="Times New Roman" w:hAnsi="Times New Roman" w:cs="Times New Roman"/>
          <w:b/>
        </w:rPr>
        <w:t>G</w:t>
      </w:r>
      <w:r w:rsidR="00B552A0">
        <w:rPr>
          <w:rFonts w:ascii="Times New Roman" w:hAnsi="Times New Roman" w:cs="Times New Roman"/>
          <w:b/>
        </w:rPr>
        <w:t>odišnjeg</w:t>
      </w:r>
      <w:r w:rsidR="00A05107">
        <w:rPr>
          <w:rFonts w:ascii="Times New Roman" w:hAnsi="Times New Roman" w:cs="Times New Roman"/>
          <w:b/>
        </w:rPr>
        <w:t xml:space="preserve"> izvještaja o </w:t>
      </w:r>
      <w:r w:rsidR="0051295D" w:rsidRPr="0019160B">
        <w:rPr>
          <w:rFonts w:ascii="Times New Roman" w:hAnsi="Times New Roman" w:cs="Times New Roman"/>
          <w:b/>
        </w:rPr>
        <w:t>izvršenj</w:t>
      </w:r>
      <w:r w:rsidR="00A05107">
        <w:rPr>
          <w:rFonts w:ascii="Times New Roman" w:hAnsi="Times New Roman" w:cs="Times New Roman"/>
          <w:b/>
        </w:rPr>
        <w:t>u</w:t>
      </w:r>
      <w:r w:rsidR="0051295D" w:rsidRPr="0019160B">
        <w:rPr>
          <w:rFonts w:ascii="Times New Roman" w:hAnsi="Times New Roman" w:cs="Times New Roman"/>
          <w:b/>
        </w:rPr>
        <w:t xml:space="preserve"> </w:t>
      </w:r>
      <w:r w:rsidR="00850D5F">
        <w:rPr>
          <w:rFonts w:ascii="Times New Roman" w:hAnsi="Times New Roman" w:cs="Times New Roman"/>
          <w:b/>
        </w:rPr>
        <w:t>f</w:t>
      </w:r>
      <w:r w:rsidR="0051295D" w:rsidRPr="0019160B">
        <w:rPr>
          <w:rFonts w:ascii="Times New Roman" w:hAnsi="Times New Roman" w:cs="Times New Roman"/>
          <w:b/>
        </w:rPr>
        <w:t xml:space="preserve">inancijskog plana </w:t>
      </w:r>
      <w:r w:rsidR="003B6753">
        <w:rPr>
          <w:rFonts w:ascii="Times New Roman" w:hAnsi="Times New Roman" w:cs="Times New Roman"/>
          <w:b/>
        </w:rPr>
        <w:t xml:space="preserve">za </w:t>
      </w:r>
      <w:r w:rsidR="00DC460F">
        <w:rPr>
          <w:rFonts w:ascii="Times New Roman" w:hAnsi="Times New Roman" w:cs="Times New Roman"/>
          <w:b/>
        </w:rPr>
        <w:t>20</w:t>
      </w:r>
      <w:r w:rsidR="00D05D62">
        <w:rPr>
          <w:rFonts w:ascii="Times New Roman" w:hAnsi="Times New Roman" w:cs="Times New Roman"/>
          <w:b/>
        </w:rPr>
        <w:t>2</w:t>
      </w:r>
      <w:r w:rsidR="00A11D56">
        <w:rPr>
          <w:rFonts w:ascii="Times New Roman" w:hAnsi="Times New Roman" w:cs="Times New Roman"/>
          <w:b/>
        </w:rPr>
        <w:t>4</w:t>
      </w:r>
      <w:r w:rsidR="008C0DE4" w:rsidRPr="0019160B">
        <w:rPr>
          <w:rFonts w:ascii="Times New Roman" w:hAnsi="Times New Roman" w:cs="Times New Roman"/>
          <w:b/>
        </w:rPr>
        <w:t>.</w:t>
      </w:r>
      <w:r w:rsidRPr="0019160B">
        <w:rPr>
          <w:rFonts w:ascii="Times New Roman" w:hAnsi="Times New Roman" w:cs="Times New Roman"/>
          <w:b/>
        </w:rPr>
        <w:t xml:space="preserve"> </w:t>
      </w:r>
      <w:r w:rsidR="003B6753">
        <w:rPr>
          <w:rFonts w:ascii="Times New Roman" w:hAnsi="Times New Roman" w:cs="Times New Roman"/>
          <w:b/>
        </w:rPr>
        <w:t>godin</w:t>
      </w:r>
      <w:r w:rsidR="00F109BA">
        <w:rPr>
          <w:rFonts w:ascii="Times New Roman" w:hAnsi="Times New Roman" w:cs="Times New Roman"/>
          <w:b/>
        </w:rPr>
        <w:t>u</w:t>
      </w:r>
    </w:p>
    <w:p w14:paraId="78C8B8C0" w14:textId="77777777" w:rsidR="001625DF" w:rsidRDefault="001625DF" w:rsidP="0051295D">
      <w:pPr>
        <w:spacing w:after="0" w:line="240" w:lineRule="auto"/>
        <w:rPr>
          <w:rFonts w:ascii="Times New Roman" w:hAnsi="Times New Roman" w:cs="Times New Roman"/>
          <w:b/>
        </w:rPr>
      </w:pPr>
    </w:p>
    <w:p w14:paraId="47648573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76607599" w14:textId="7471C612" w:rsidR="00F109BA" w:rsidRDefault="00F109BA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B767E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OPĆI DIO</w:t>
      </w:r>
    </w:p>
    <w:p w14:paraId="6D8C7334" w14:textId="77777777" w:rsidR="00F109BA" w:rsidRDefault="00F109BA" w:rsidP="0051295D">
      <w:pPr>
        <w:spacing w:after="0" w:line="240" w:lineRule="auto"/>
        <w:rPr>
          <w:rFonts w:ascii="Times New Roman" w:hAnsi="Times New Roman" w:cs="Times New Roman"/>
        </w:rPr>
      </w:pPr>
    </w:p>
    <w:p w14:paraId="402C7F36" w14:textId="1E3A08B2" w:rsidR="001625DF" w:rsidRPr="00372CB3" w:rsidRDefault="00B77A49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Prema</w:t>
      </w:r>
      <w:r w:rsidR="003B7F11" w:rsidRPr="00372CB3">
        <w:rPr>
          <w:rFonts w:ascii="Times New Roman" w:hAnsi="Times New Roman" w:cs="Times New Roman"/>
        </w:rPr>
        <w:t xml:space="preserve"> </w:t>
      </w:r>
      <w:r w:rsidRPr="00372CB3">
        <w:rPr>
          <w:rFonts w:ascii="Times New Roman" w:hAnsi="Times New Roman" w:cs="Times New Roman"/>
        </w:rPr>
        <w:t>rebalansu</w:t>
      </w:r>
      <w:r w:rsidR="000E15EF" w:rsidRPr="00372CB3">
        <w:rPr>
          <w:rFonts w:ascii="Times New Roman" w:hAnsi="Times New Roman" w:cs="Times New Roman"/>
        </w:rPr>
        <w:t xml:space="preserve"> </w:t>
      </w:r>
      <w:r w:rsidR="003B7F11" w:rsidRPr="00372CB3">
        <w:rPr>
          <w:rFonts w:ascii="Times New Roman" w:hAnsi="Times New Roman" w:cs="Times New Roman"/>
        </w:rPr>
        <w:t>financijsk</w:t>
      </w:r>
      <w:r w:rsidRPr="00372CB3">
        <w:rPr>
          <w:rFonts w:ascii="Times New Roman" w:hAnsi="Times New Roman" w:cs="Times New Roman"/>
        </w:rPr>
        <w:t>og</w:t>
      </w:r>
      <w:r w:rsidR="003B7F11" w:rsidRPr="00372CB3">
        <w:rPr>
          <w:rFonts w:ascii="Times New Roman" w:hAnsi="Times New Roman" w:cs="Times New Roman"/>
        </w:rPr>
        <w:t xml:space="preserve"> plan</w:t>
      </w:r>
      <w:r w:rsidRPr="00372CB3">
        <w:rPr>
          <w:rFonts w:ascii="Times New Roman" w:hAnsi="Times New Roman" w:cs="Times New Roman"/>
        </w:rPr>
        <w:t>a</w:t>
      </w:r>
      <w:r w:rsidR="003B7F11" w:rsidRPr="00372CB3">
        <w:rPr>
          <w:rFonts w:ascii="Times New Roman" w:hAnsi="Times New Roman" w:cs="Times New Roman"/>
        </w:rPr>
        <w:t xml:space="preserve"> za 20</w:t>
      </w:r>
      <w:r w:rsidR="00F1364D" w:rsidRPr="00372CB3">
        <w:rPr>
          <w:rFonts w:ascii="Times New Roman" w:hAnsi="Times New Roman" w:cs="Times New Roman"/>
        </w:rPr>
        <w:t>2</w:t>
      </w:r>
      <w:r w:rsidR="00286AC8" w:rsidRPr="00372CB3">
        <w:rPr>
          <w:rFonts w:ascii="Times New Roman" w:hAnsi="Times New Roman" w:cs="Times New Roman"/>
        </w:rPr>
        <w:t>4</w:t>
      </w:r>
      <w:r w:rsidR="003B7F11" w:rsidRPr="00372CB3">
        <w:rPr>
          <w:rFonts w:ascii="Times New Roman" w:hAnsi="Times New Roman" w:cs="Times New Roman"/>
        </w:rPr>
        <w:t>. godinu</w:t>
      </w:r>
      <w:r w:rsidR="001625DF" w:rsidRPr="00372CB3">
        <w:rPr>
          <w:rFonts w:ascii="Times New Roman" w:hAnsi="Times New Roman" w:cs="Times New Roman"/>
        </w:rPr>
        <w:t xml:space="preserve"> </w:t>
      </w:r>
      <w:r w:rsidR="003B7F11" w:rsidRPr="00372CB3">
        <w:rPr>
          <w:rFonts w:ascii="Times New Roman" w:hAnsi="Times New Roman" w:cs="Times New Roman"/>
        </w:rPr>
        <w:t>planiran</w:t>
      </w:r>
      <w:r w:rsidR="000E15EF" w:rsidRPr="00372CB3">
        <w:rPr>
          <w:rFonts w:ascii="Times New Roman" w:hAnsi="Times New Roman" w:cs="Times New Roman"/>
        </w:rPr>
        <w:t xml:space="preserve"> je tekući</w:t>
      </w:r>
      <w:r w:rsidR="003B7F11" w:rsidRPr="00372CB3">
        <w:rPr>
          <w:rFonts w:ascii="Times New Roman" w:hAnsi="Times New Roman" w:cs="Times New Roman"/>
        </w:rPr>
        <w:t xml:space="preserve"> prihod </w:t>
      </w:r>
      <w:r w:rsidR="0054122B" w:rsidRPr="00372CB3">
        <w:rPr>
          <w:rFonts w:ascii="Times New Roman" w:hAnsi="Times New Roman" w:cs="Times New Roman"/>
        </w:rPr>
        <w:t xml:space="preserve">od </w:t>
      </w:r>
      <w:r w:rsidR="00286AC8" w:rsidRPr="00372CB3">
        <w:rPr>
          <w:rFonts w:ascii="Times New Roman" w:hAnsi="Times New Roman" w:cs="Times New Roman"/>
        </w:rPr>
        <w:t>2.059.430</w:t>
      </w:r>
      <w:r w:rsidR="000E15EF" w:rsidRPr="00372CB3">
        <w:rPr>
          <w:rFonts w:ascii="Times New Roman" w:hAnsi="Times New Roman" w:cs="Times New Roman"/>
        </w:rPr>
        <w:t>,00 €</w:t>
      </w:r>
      <w:r w:rsidR="003B7F11" w:rsidRPr="00372CB3">
        <w:rPr>
          <w:rFonts w:ascii="Times New Roman" w:hAnsi="Times New Roman" w:cs="Times New Roman"/>
        </w:rPr>
        <w:t>,</w:t>
      </w:r>
      <w:r w:rsidR="000E15EF" w:rsidRPr="00372CB3">
        <w:rPr>
          <w:rFonts w:ascii="Times New Roman" w:hAnsi="Times New Roman" w:cs="Times New Roman"/>
        </w:rPr>
        <w:t xml:space="preserve"> sa razlikom prenesenog manjka i viška prihoda od </w:t>
      </w:r>
      <w:r w:rsidR="00286AC8" w:rsidRPr="00372CB3">
        <w:rPr>
          <w:rFonts w:ascii="Times New Roman" w:hAnsi="Times New Roman" w:cs="Times New Roman"/>
        </w:rPr>
        <w:t>30.533</w:t>
      </w:r>
      <w:r w:rsidR="000E15EF" w:rsidRPr="00372CB3">
        <w:rPr>
          <w:rFonts w:ascii="Times New Roman" w:hAnsi="Times New Roman" w:cs="Times New Roman"/>
        </w:rPr>
        <w:t>,00 €,</w:t>
      </w:r>
      <w:r w:rsidR="003B7F11" w:rsidRPr="00372CB3">
        <w:rPr>
          <w:rFonts w:ascii="Times New Roman" w:hAnsi="Times New Roman" w:cs="Times New Roman"/>
        </w:rPr>
        <w:t xml:space="preserve"> </w:t>
      </w:r>
      <w:r w:rsidR="003B6753" w:rsidRPr="00372CB3">
        <w:rPr>
          <w:rFonts w:ascii="Times New Roman" w:hAnsi="Times New Roman" w:cs="Times New Roman"/>
        </w:rPr>
        <w:t>a</w:t>
      </w:r>
      <w:r w:rsidR="001625DF" w:rsidRPr="00372CB3">
        <w:rPr>
          <w:rFonts w:ascii="Times New Roman" w:hAnsi="Times New Roman" w:cs="Times New Roman"/>
        </w:rPr>
        <w:t xml:space="preserve"> </w:t>
      </w:r>
      <w:r w:rsidR="00972B57" w:rsidRPr="00372CB3">
        <w:rPr>
          <w:rFonts w:ascii="Times New Roman" w:hAnsi="Times New Roman" w:cs="Times New Roman"/>
        </w:rPr>
        <w:t xml:space="preserve">ostvareno je </w:t>
      </w:r>
      <w:r w:rsidRPr="00372CB3">
        <w:rPr>
          <w:rFonts w:ascii="Times New Roman" w:hAnsi="Times New Roman" w:cs="Times New Roman"/>
        </w:rPr>
        <w:t>1.</w:t>
      </w:r>
      <w:r w:rsidR="00286AC8" w:rsidRPr="00372CB3">
        <w:rPr>
          <w:rFonts w:ascii="Times New Roman" w:hAnsi="Times New Roman" w:cs="Times New Roman"/>
        </w:rPr>
        <w:t>894.008,55</w:t>
      </w:r>
      <w:r w:rsidR="002771D0" w:rsidRPr="00372CB3">
        <w:rPr>
          <w:rFonts w:ascii="Times New Roman" w:hAnsi="Times New Roman" w:cs="Times New Roman"/>
        </w:rPr>
        <w:t xml:space="preserve"> €</w:t>
      </w:r>
      <w:r w:rsidR="003B7F11" w:rsidRPr="00372CB3">
        <w:rPr>
          <w:rFonts w:ascii="Times New Roman" w:hAnsi="Times New Roman" w:cs="Times New Roman"/>
        </w:rPr>
        <w:t xml:space="preserve">, dok su </w:t>
      </w:r>
      <w:r w:rsidR="002771D0" w:rsidRPr="00372CB3">
        <w:rPr>
          <w:rFonts w:ascii="Times New Roman" w:hAnsi="Times New Roman" w:cs="Times New Roman"/>
        </w:rPr>
        <w:t xml:space="preserve">planirani rashodi od </w:t>
      </w:r>
      <w:r w:rsidR="00286AC8" w:rsidRPr="00372CB3">
        <w:rPr>
          <w:rFonts w:ascii="Times New Roman" w:hAnsi="Times New Roman" w:cs="Times New Roman"/>
        </w:rPr>
        <w:t>2.028.897</w:t>
      </w:r>
      <w:r w:rsidR="002771D0" w:rsidRPr="00372CB3">
        <w:rPr>
          <w:rFonts w:ascii="Times New Roman" w:hAnsi="Times New Roman" w:cs="Times New Roman"/>
        </w:rPr>
        <w:t xml:space="preserve">,00 € </w:t>
      </w:r>
      <w:r w:rsidR="00F67EC1" w:rsidRPr="00372CB3">
        <w:rPr>
          <w:rFonts w:ascii="Times New Roman" w:hAnsi="Times New Roman" w:cs="Times New Roman"/>
        </w:rPr>
        <w:t>izvršeni</w:t>
      </w:r>
      <w:r w:rsidR="003B7F11" w:rsidRPr="00372CB3">
        <w:rPr>
          <w:rFonts w:ascii="Times New Roman" w:hAnsi="Times New Roman" w:cs="Times New Roman"/>
        </w:rPr>
        <w:t xml:space="preserve"> u visini od </w:t>
      </w:r>
      <w:r w:rsidR="00286AC8" w:rsidRPr="00372CB3">
        <w:rPr>
          <w:rFonts w:ascii="Times New Roman" w:hAnsi="Times New Roman" w:cs="Times New Roman"/>
        </w:rPr>
        <w:t>1.920.537,93</w:t>
      </w:r>
      <w:r w:rsidR="002771D0" w:rsidRPr="00372CB3">
        <w:rPr>
          <w:rFonts w:ascii="Times New Roman" w:hAnsi="Times New Roman" w:cs="Times New Roman"/>
        </w:rPr>
        <w:t xml:space="preserve"> €</w:t>
      </w:r>
      <w:r w:rsidR="0064215B" w:rsidRPr="00372CB3">
        <w:rPr>
          <w:rFonts w:ascii="Times New Roman" w:hAnsi="Times New Roman" w:cs="Times New Roman"/>
        </w:rPr>
        <w:t xml:space="preserve">, </w:t>
      </w:r>
      <w:r w:rsidR="001625DF" w:rsidRPr="00372CB3">
        <w:rPr>
          <w:rFonts w:ascii="Times New Roman" w:hAnsi="Times New Roman" w:cs="Times New Roman"/>
        </w:rPr>
        <w:t xml:space="preserve"> što </w:t>
      </w:r>
      <w:r w:rsidR="0064215B" w:rsidRPr="00372CB3">
        <w:rPr>
          <w:rFonts w:ascii="Times New Roman" w:hAnsi="Times New Roman" w:cs="Times New Roman"/>
        </w:rPr>
        <w:t>je rezultiralo sa</w:t>
      </w:r>
      <w:r w:rsidR="00F67EC1" w:rsidRPr="00372CB3">
        <w:rPr>
          <w:rFonts w:ascii="Times New Roman" w:hAnsi="Times New Roman" w:cs="Times New Roman"/>
        </w:rPr>
        <w:t xml:space="preserve"> </w:t>
      </w:r>
      <w:r w:rsidRPr="00372CB3">
        <w:rPr>
          <w:rFonts w:ascii="Times New Roman" w:hAnsi="Times New Roman" w:cs="Times New Roman"/>
        </w:rPr>
        <w:t>2</w:t>
      </w:r>
      <w:r w:rsidR="00CE0F11" w:rsidRPr="00372CB3">
        <w:rPr>
          <w:rFonts w:ascii="Times New Roman" w:hAnsi="Times New Roman" w:cs="Times New Roman"/>
        </w:rPr>
        <w:t>6.529,38</w:t>
      </w:r>
      <w:r w:rsidR="002771D0" w:rsidRPr="00372CB3">
        <w:rPr>
          <w:rFonts w:ascii="Times New Roman" w:hAnsi="Times New Roman" w:cs="Times New Roman"/>
        </w:rPr>
        <w:t xml:space="preserve"> €</w:t>
      </w:r>
      <w:r w:rsidR="00C33F06" w:rsidRPr="00372CB3">
        <w:rPr>
          <w:rFonts w:ascii="Times New Roman" w:hAnsi="Times New Roman" w:cs="Times New Roman"/>
        </w:rPr>
        <w:t xml:space="preserve"> </w:t>
      </w:r>
      <w:r w:rsidR="0054122B" w:rsidRPr="00372CB3">
        <w:rPr>
          <w:rFonts w:ascii="Times New Roman" w:hAnsi="Times New Roman" w:cs="Times New Roman"/>
        </w:rPr>
        <w:t xml:space="preserve">tekućeg </w:t>
      </w:r>
      <w:r w:rsidR="00CE0F11" w:rsidRPr="00372CB3">
        <w:rPr>
          <w:rFonts w:ascii="Times New Roman" w:hAnsi="Times New Roman" w:cs="Times New Roman"/>
        </w:rPr>
        <w:t>manjka</w:t>
      </w:r>
      <w:r w:rsidR="0064215B" w:rsidRPr="00372CB3">
        <w:rPr>
          <w:rFonts w:ascii="Times New Roman" w:hAnsi="Times New Roman" w:cs="Times New Roman"/>
        </w:rPr>
        <w:t xml:space="preserve"> prihoda</w:t>
      </w:r>
      <w:r w:rsidR="00D279AA" w:rsidRPr="00372CB3">
        <w:rPr>
          <w:rFonts w:ascii="Times New Roman" w:hAnsi="Times New Roman" w:cs="Times New Roman"/>
        </w:rPr>
        <w:t>.</w:t>
      </w:r>
      <w:r w:rsidR="00C33F06" w:rsidRPr="00372CB3">
        <w:rPr>
          <w:rFonts w:ascii="Times New Roman" w:hAnsi="Times New Roman" w:cs="Times New Roman"/>
        </w:rPr>
        <w:t xml:space="preserve"> S obzirom na preneseni manjak iz prethodnog razdoblja od </w:t>
      </w:r>
      <w:r w:rsidR="00CE0F11" w:rsidRPr="00372CB3">
        <w:rPr>
          <w:rFonts w:ascii="Times New Roman" w:hAnsi="Times New Roman" w:cs="Times New Roman"/>
        </w:rPr>
        <w:t>20.562,14</w:t>
      </w:r>
      <w:r w:rsidR="0054122B" w:rsidRPr="00372CB3">
        <w:rPr>
          <w:rFonts w:ascii="Times New Roman" w:hAnsi="Times New Roman" w:cs="Times New Roman"/>
        </w:rPr>
        <w:t xml:space="preserve"> €</w:t>
      </w:r>
      <w:r w:rsidR="00C33F06" w:rsidRPr="00372CB3">
        <w:rPr>
          <w:rFonts w:ascii="Times New Roman" w:hAnsi="Times New Roman" w:cs="Times New Roman"/>
        </w:rPr>
        <w:t>, to je ukupni rezultat koji se prenosi u slijedeće razdoblje manjak</w:t>
      </w:r>
      <w:r w:rsidR="0054122B" w:rsidRPr="00372CB3">
        <w:rPr>
          <w:rFonts w:ascii="Times New Roman" w:hAnsi="Times New Roman" w:cs="Times New Roman"/>
        </w:rPr>
        <w:t xml:space="preserve"> prihoda</w:t>
      </w:r>
      <w:r w:rsidR="00C33F06" w:rsidRPr="00372CB3">
        <w:rPr>
          <w:rFonts w:ascii="Times New Roman" w:hAnsi="Times New Roman" w:cs="Times New Roman"/>
        </w:rPr>
        <w:t xml:space="preserve"> od </w:t>
      </w:r>
      <w:r w:rsidR="00CE0F11" w:rsidRPr="00372CB3">
        <w:rPr>
          <w:rFonts w:ascii="Times New Roman" w:hAnsi="Times New Roman" w:cs="Times New Roman"/>
        </w:rPr>
        <w:t>47.091,52</w:t>
      </w:r>
      <w:r w:rsidR="0054122B" w:rsidRPr="00372CB3">
        <w:rPr>
          <w:rFonts w:ascii="Times New Roman" w:hAnsi="Times New Roman" w:cs="Times New Roman"/>
        </w:rPr>
        <w:t xml:space="preserve"> €.</w:t>
      </w:r>
    </w:p>
    <w:p w14:paraId="0619150F" w14:textId="700EC2B5" w:rsidR="00286CB7" w:rsidRPr="00372CB3" w:rsidRDefault="00286CB7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Ostvarenim prihodima i izvrš</w:t>
      </w:r>
      <w:r w:rsidR="005476DD" w:rsidRPr="00372CB3">
        <w:rPr>
          <w:rFonts w:ascii="Times New Roman" w:hAnsi="Times New Roman" w:cs="Times New Roman"/>
        </w:rPr>
        <w:t>avani su rashodi kroz</w:t>
      </w:r>
      <w:r w:rsidR="00494DBC" w:rsidRPr="00372CB3">
        <w:rPr>
          <w:rFonts w:ascii="Times New Roman" w:hAnsi="Times New Roman" w:cs="Times New Roman"/>
        </w:rPr>
        <w:t xml:space="preserve"> 1</w:t>
      </w:r>
      <w:r w:rsidR="005476DD" w:rsidRPr="00372CB3">
        <w:rPr>
          <w:rFonts w:ascii="Times New Roman" w:hAnsi="Times New Roman" w:cs="Times New Roman"/>
        </w:rPr>
        <w:t>4</w:t>
      </w:r>
      <w:r w:rsidRPr="00372CB3">
        <w:rPr>
          <w:rFonts w:ascii="Times New Roman" w:hAnsi="Times New Roman" w:cs="Times New Roman"/>
        </w:rPr>
        <w:t xml:space="preserve"> aktivnosti unutar </w:t>
      </w:r>
      <w:r w:rsidR="00494DBC" w:rsidRPr="00372CB3">
        <w:rPr>
          <w:rFonts w:ascii="Times New Roman" w:hAnsi="Times New Roman" w:cs="Times New Roman"/>
        </w:rPr>
        <w:t>6</w:t>
      </w:r>
      <w:r w:rsidRPr="00372CB3">
        <w:rPr>
          <w:rFonts w:ascii="Times New Roman" w:hAnsi="Times New Roman" w:cs="Times New Roman"/>
        </w:rPr>
        <w:t xml:space="preserve"> programa: Program  predškolskog odgoja sa 3 aktivnosti, Osnovni program osnovnoškolskog odgoja i obrazovanja kao aktivnost decentralizirane funkcije osnovnog školstva, Dodatni programi odgoja i obrazovanja</w:t>
      </w:r>
      <w:r w:rsidR="00152151" w:rsidRPr="00372CB3">
        <w:rPr>
          <w:rFonts w:ascii="Times New Roman" w:hAnsi="Times New Roman" w:cs="Times New Roman"/>
        </w:rPr>
        <w:t xml:space="preserve"> sa ukupno </w:t>
      </w:r>
      <w:r w:rsidR="00B77A49" w:rsidRPr="00372CB3">
        <w:rPr>
          <w:rFonts w:ascii="Times New Roman" w:hAnsi="Times New Roman" w:cs="Times New Roman"/>
        </w:rPr>
        <w:t>8</w:t>
      </w:r>
      <w:r w:rsidR="00152151" w:rsidRPr="00372CB3">
        <w:rPr>
          <w:rFonts w:ascii="Times New Roman" w:hAnsi="Times New Roman" w:cs="Times New Roman"/>
        </w:rPr>
        <w:t xml:space="preserve"> aktivnosti</w:t>
      </w:r>
      <w:r w:rsidRPr="00372CB3">
        <w:rPr>
          <w:rFonts w:ascii="Times New Roman" w:hAnsi="Times New Roman" w:cs="Times New Roman"/>
        </w:rPr>
        <w:t xml:space="preserve">, Socijalni program </w:t>
      </w:r>
      <w:r w:rsidR="00152151" w:rsidRPr="00372CB3">
        <w:rPr>
          <w:rFonts w:ascii="Times New Roman" w:hAnsi="Times New Roman" w:cs="Times New Roman"/>
        </w:rPr>
        <w:t>sa aktivnosti sufinanc</w:t>
      </w:r>
      <w:r w:rsidR="00157144" w:rsidRPr="00372CB3">
        <w:rPr>
          <w:rFonts w:ascii="Times New Roman" w:hAnsi="Times New Roman" w:cs="Times New Roman"/>
        </w:rPr>
        <w:t>i</w:t>
      </w:r>
      <w:r w:rsidR="00152151" w:rsidRPr="00372CB3">
        <w:rPr>
          <w:rFonts w:ascii="Times New Roman" w:hAnsi="Times New Roman" w:cs="Times New Roman"/>
        </w:rPr>
        <w:t xml:space="preserve">ranja školske prehrane, </w:t>
      </w:r>
      <w:r w:rsidR="00B97091" w:rsidRPr="00372CB3">
        <w:rPr>
          <w:rFonts w:ascii="Times New Roman" w:hAnsi="Times New Roman" w:cs="Times New Roman"/>
        </w:rPr>
        <w:t xml:space="preserve">Program </w:t>
      </w:r>
      <w:r w:rsidR="00152151" w:rsidRPr="00372CB3">
        <w:rPr>
          <w:rFonts w:ascii="Times New Roman" w:hAnsi="Times New Roman" w:cs="Times New Roman"/>
        </w:rPr>
        <w:t xml:space="preserve">Erasmus+ sa istoimenom aktivnosti </w:t>
      </w:r>
      <w:r w:rsidRPr="00372CB3">
        <w:rPr>
          <w:rFonts w:ascii="Times New Roman" w:hAnsi="Times New Roman" w:cs="Times New Roman"/>
        </w:rPr>
        <w:t>i COP iskazan kao zaseban program</w:t>
      </w:r>
      <w:r w:rsidR="000E36C0" w:rsidRPr="00372CB3">
        <w:rPr>
          <w:rFonts w:ascii="Times New Roman" w:hAnsi="Times New Roman" w:cs="Times New Roman"/>
        </w:rPr>
        <w:t>, također sa istoimenom aktivnosti.</w:t>
      </w:r>
    </w:p>
    <w:p w14:paraId="0150832F" w14:textId="559BEFDA" w:rsidR="00F76265" w:rsidRPr="00372CB3" w:rsidRDefault="00F76265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Poče</w:t>
      </w:r>
      <w:r w:rsidR="00366E90" w:rsidRPr="00372CB3">
        <w:rPr>
          <w:rFonts w:ascii="Times New Roman" w:hAnsi="Times New Roman" w:cs="Times New Roman"/>
        </w:rPr>
        <w:t>t</w:t>
      </w:r>
      <w:r w:rsidRPr="00372CB3">
        <w:rPr>
          <w:rFonts w:ascii="Times New Roman" w:hAnsi="Times New Roman" w:cs="Times New Roman"/>
        </w:rPr>
        <w:t xml:space="preserve">no stanje </w:t>
      </w:r>
      <w:r w:rsidR="00A62BAC" w:rsidRPr="00372CB3">
        <w:rPr>
          <w:rFonts w:ascii="Times New Roman" w:hAnsi="Times New Roman" w:cs="Times New Roman"/>
        </w:rPr>
        <w:t xml:space="preserve">potraživanja za sredstva uplaćena u nadležni proračun iznosilo je </w:t>
      </w:r>
      <w:r w:rsidR="007E5D98" w:rsidRPr="00372CB3">
        <w:rPr>
          <w:rFonts w:ascii="Times New Roman" w:hAnsi="Times New Roman" w:cs="Times New Roman"/>
        </w:rPr>
        <w:t>44.484,34</w:t>
      </w:r>
      <w:r w:rsidR="00A62BAC" w:rsidRPr="00372CB3">
        <w:rPr>
          <w:rFonts w:ascii="Times New Roman" w:hAnsi="Times New Roman" w:cs="Times New Roman"/>
        </w:rPr>
        <w:t xml:space="preserve"> €, a završno </w:t>
      </w:r>
      <w:r w:rsidR="007E5D98" w:rsidRPr="00372CB3">
        <w:rPr>
          <w:rFonts w:ascii="Times New Roman" w:hAnsi="Times New Roman" w:cs="Times New Roman"/>
        </w:rPr>
        <w:t>23.487,15</w:t>
      </w:r>
      <w:r w:rsidR="00A62BAC" w:rsidRPr="00372CB3">
        <w:rPr>
          <w:rFonts w:ascii="Times New Roman" w:hAnsi="Times New Roman" w:cs="Times New Roman"/>
        </w:rPr>
        <w:t xml:space="preserve"> €.</w:t>
      </w:r>
    </w:p>
    <w:p w14:paraId="0B499D25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221E4CDD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Ekonomska klasifikacija</w:t>
      </w:r>
    </w:p>
    <w:p w14:paraId="7F778B81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82FD02C" w14:textId="33B21FD6" w:rsidR="00C04220" w:rsidRPr="00372CB3" w:rsidRDefault="00143C77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Prema ekonomskoj klasifikaciji, kod </w:t>
      </w:r>
      <w:r w:rsidR="0064215B" w:rsidRPr="00372CB3">
        <w:rPr>
          <w:rFonts w:ascii="Times New Roman" w:hAnsi="Times New Roman" w:cs="Times New Roman"/>
        </w:rPr>
        <w:t xml:space="preserve">prihoda poslovanja najveći udio čine pomoći unutar općeg proračuna od </w:t>
      </w:r>
      <w:r w:rsidR="00373407" w:rsidRPr="00372CB3">
        <w:rPr>
          <w:rFonts w:ascii="Times New Roman" w:hAnsi="Times New Roman" w:cs="Times New Roman"/>
        </w:rPr>
        <w:t>1.</w:t>
      </w:r>
      <w:r w:rsidR="004D3245" w:rsidRPr="00372CB3">
        <w:rPr>
          <w:rFonts w:ascii="Times New Roman" w:hAnsi="Times New Roman" w:cs="Times New Roman"/>
        </w:rPr>
        <w:t>439.076,70</w:t>
      </w:r>
      <w:r w:rsidR="00CE7814" w:rsidRPr="00372CB3">
        <w:rPr>
          <w:rFonts w:ascii="Times New Roman" w:hAnsi="Times New Roman" w:cs="Times New Roman"/>
        </w:rPr>
        <w:t xml:space="preserve"> €</w:t>
      </w:r>
      <w:r w:rsidR="0064215B" w:rsidRPr="00372CB3">
        <w:rPr>
          <w:rFonts w:ascii="Times New Roman" w:hAnsi="Times New Roman" w:cs="Times New Roman"/>
        </w:rPr>
        <w:t xml:space="preserve">, </w:t>
      </w:r>
      <w:r w:rsidRPr="00372CB3">
        <w:rPr>
          <w:rFonts w:ascii="Times New Roman" w:hAnsi="Times New Roman" w:cs="Times New Roman"/>
        </w:rPr>
        <w:t xml:space="preserve">a potom prihodi iz nadležnog proračuna od </w:t>
      </w:r>
      <w:r w:rsidR="004D3245" w:rsidRPr="00372CB3">
        <w:rPr>
          <w:rFonts w:ascii="Times New Roman" w:hAnsi="Times New Roman" w:cs="Times New Roman"/>
        </w:rPr>
        <w:t>433.607,60</w:t>
      </w:r>
      <w:r w:rsidR="00CE7814" w:rsidRPr="00372CB3">
        <w:rPr>
          <w:rFonts w:ascii="Times New Roman" w:hAnsi="Times New Roman" w:cs="Times New Roman"/>
        </w:rPr>
        <w:t xml:space="preserve"> €</w:t>
      </w:r>
      <w:r w:rsidRPr="00372CB3">
        <w:rPr>
          <w:rFonts w:ascii="Times New Roman" w:hAnsi="Times New Roman" w:cs="Times New Roman"/>
        </w:rPr>
        <w:t>, prihodi po posebnim propisima od</w:t>
      </w:r>
      <w:r w:rsidR="00CE7814" w:rsidRPr="00372CB3">
        <w:rPr>
          <w:rFonts w:ascii="Times New Roman" w:hAnsi="Times New Roman" w:cs="Times New Roman"/>
        </w:rPr>
        <w:t xml:space="preserve"> </w:t>
      </w:r>
      <w:r w:rsidR="00373407" w:rsidRPr="00372CB3">
        <w:rPr>
          <w:rFonts w:ascii="Times New Roman" w:hAnsi="Times New Roman" w:cs="Times New Roman"/>
        </w:rPr>
        <w:t>1</w:t>
      </w:r>
      <w:r w:rsidR="004D3245" w:rsidRPr="00372CB3">
        <w:rPr>
          <w:rFonts w:ascii="Times New Roman" w:hAnsi="Times New Roman" w:cs="Times New Roman"/>
        </w:rPr>
        <w:t>2.674,01</w:t>
      </w:r>
      <w:r w:rsidR="00CE7814" w:rsidRPr="00372CB3">
        <w:rPr>
          <w:rFonts w:ascii="Times New Roman" w:hAnsi="Times New Roman" w:cs="Times New Roman"/>
        </w:rPr>
        <w:t xml:space="preserve"> €</w:t>
      </w:r>
      <w:r w:rsidR="00D10BCC" w:rsidRPr="00372CB3">
        <w:rPr>
          <w:rFonts w:ascii="Times New Roman" w:hAnsi="Times New Roman" w:cs="Times New Roman"/>
        </w:rPr>
        <w:t xml:space="preserve"> te</w:t>
      </w:r>
      <w:r w:rsidR="00B25887" w:rsidRPr="00372CB3">
        <w:rPr>
          <w:rFonts w:ascii="Times New Roman" w:hAnsi="Times New Roman" w:cs="Times New Roman"/>
        </w:rPr>
        <w:t xml:space="preserve"> </w:t>
      </w:r>
      <w:r w:rsidR="00D10BCC" w:rsidRPr="00372CB3">
        <w:rPr>
          <w:rFonts w:ascii="Times New Roman" w:hAnsi="Times New Roman" w:cs="Times New Roman"/>
        </w:rPr>
        <w:t xml:space="preserve">prihodi </w:t>
      </w:r>
      <w:r w:rsidR="00B25887" w:rsidRPr="00372CB3">
        <w:rPr>
          <w:rFonts w:ascii="Times New Roman" w:hAnsi="Times New Roman" w:cs="Times New Roman"/>
        </w:rPr>
        <w:t xml:space="preserve">od prodaje proizvoda i robe </w:t>
      </w:r>
      <w:r w:rsidR="004D3245" w:rsidRPr="00372CB3">
        <w:rPr>
          <w:rFonts w:ascii="Times New Roman" w:hAnsi="Times New Roman" w:cs="Times New Roman"/>
        </w:rPr>
        <w:t>i</w:t>
      </w:r>
      <w:r w:rsidR="00B25887" w:rsidRPr="00372CB3">
        <w:rPr>
          <w:rFonts w:ascii="Times New Roman" w:hAnsi="Times New Roman" w:cs="Times New Roman"/>
        </w:rPr>
        <w:t xml:space="preserve"> pruženih usluga </w:t>
      </w:r>
      <w:r w:rsidR="004D3245" w:rsidRPr="00372CB3">
        <w:rPr>
          <w:rFonts w:ascii="Times New Roman" w:hAnsi="Times New Roman" w:cs="Times New Roman"/>
        </w:rPr>
        <w:t xml:space="preserve">te </w:t>
      </w:r>
      <w:r w:rsidR="00B25887" w:rsidRPr="00372CB3">
        <w:rPr>
          <w:rFonts w:ascii="Times New Roman" w:hAnsi="Times New Roman" w:cs="Times New Roman"/>
        </w:rPr>
        <w:t xml:space="preserve">od </w:t>
      </w:r>
      <w:r w:rsidR="004D3245" w:rsidRPr="00372CB3">
        <w:rPr>
          <w:rFonts w:ascii="Times New Roman" w:hAnsi="Times New Roman" w:cs="Times New Roman"/>
        </w:rPr>
        <w:t>donacija 8.650,24</w:t>
      </w:r>
      <w:r w:rsidR="00B25887" w:rsidRPr="00372CB3">
        <w:rPr>
          <w:rFonts w:ascii="Times New Roman" w:hAnsi="Times New Roman" w:cs="Times New Roman"/>
        </w:rPr>
        <w:t xml:space="preserve"> €.</w:t>
      </w:r>
    </w:p>
    <w:p w14:paraId="4D51E8A6" w14:textId="10BD35D1" w:rsidR="00C14245" w:rsidRPr="00372CB3" w:rsidRDefault="00C14245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Pomoći unutar općeg proračuna su pomoći iz državnog proračuna, županijskog i općinskih proračuna. Iz državnog proračuna dobivene su slijedeće tekuće pomoći: za COP </w:t>
      </w:r>
      <w:r w:rsidR="00C83696" w:rsidRPr="00372CB3">
        <w:rPr>
          <w:rFonts w:ascii="Times New Roman" w:hAnsi="Times New Roman" w:cs="Times New Roman"/>
        </w:rPr>
        <w:t>1.</w:t>
      </w:r>
      <w:r w:rsidR="004D3245" w:rsidRPr="00372CB3">
        <w:rPr>
          <w:rFonts w:ascii="Times New Roman" w:hAnsi="Times New Roman" w:cs="Times New Roman"/>
        </w:rPr>
        <w:t>028.189,80</w:t>
      </w:r>
      <w:r w:rsidR="00C601A7" w:rsidRPr="00372CB3">
        <w:rPr>
          <w:rFonts w:ascii="Times New Roman" w:hAnsi="Times New Roman" w:cs="Times New Roman"/>
        </w:rPr>
        <w:t xml:space="preserve"> €</w:t>
      </w:r>
      <w:r w:rsidRPr="00372CB3">
        <w:rPr>
          <w:rFonts w:ascii="Times New Roman" w:hAnsi="Times New Roman" w:cs="Times New Roman"/>
        </w:rPr>
        <w:t xml:space="preserve">, za vrtić </w:t>
      </w:r>
      <w:r w:rsidR="004D3245" w:rsidRPr="00372CB3">
        <w:rPr>
          <w:rFonts w:ascii="Times New Roman" w:hAnsi="Times New Roman" w:cs="Times New Roman"/>
        </w:rPr>
        <w:t>9.940</w:t>
      </w:r>
      <w:r w:rsidR="00C601A7" w:rsidRPr="00372CB3">
        <w:rPr>
          <w:rFonts w:ascii="Times New Roman" w:hAnsi="Times New Roman" w:cs="Times New Roman"/>
        </w:rPr>
        <w:t>,00</w:t>
      </w:r>
      <w:r w:rsidRPr="00372CB3">
        <w:rPr>
          <w:rFonts w:ascii="Times New Roman" w:hAnsi="Times New Roman" w:cs="Times New Roman"/>
        </w:rPr>
        <w:t xml:space="preserve"> </w:t>
      </w:r>
      <w:r w:rsidR="00C601A7" w:rsidRPr="00372CB3">
        <w:rPr>
          <w:rFonts w:ascii="Times New Roman" w:hAnsi="Times New Roman" w:cs="Times New Roman"/>
        </w:rPr>
        <w:t>€</w:t>
      </w:r>
      <w:r w:rsidRPr="00372CB3">
        <w:rPr>
          <w:rFonts w:ascii="Times New Roman" w:hAnsi="Times New Roman" w:cs="Times New Roman"/>
        </w:rPr>
        <w:t xml:space="preserve">, za školu </w:t>
      </w:r>
      <w:r w:rsidR="004D3245" w:rsidRPr="00372CB3">
        <w:rPr>
          <w:rFonts w:ascii="Times New Roman" w:hAnsi="Times New Roman" w:cs="Times New Roman"/>
        </w:rPr>
        <w:t>183.621,71</w:t>
      </w:r>
      <w:r w:rsidR="00C601A7" w:rsidRPr="00372CB3">
        <w:rPr>
          <w:rFonts w:ascii="Times New Roman" w:hAnsi="Times New Roman" w:cs="Times New Roman"/>
        </w:rPr>
        <w:t xml:space="preserve"> €</w:t>
      </w:r>
      <w:r w:rsidR="00C83696" w:rsidRPr="00372CB3">
        <w:rPr>
          <w:rFonts w:ascii="Times New Roman" w:hAnsi="Times New Roman" w:cs="Times New Roman"/>
        </w:rPr>
        <w:t xml:space="preserve">, </w:t>
      </w:r>
      <w:r w:rsidRPr="00372CB3">
        <w:rPr>
          <w:rFonts w:ascii="Times New Roman" w:hAnsi="Times New Roman" w:cs="Times New Roman"/>
        </w:rPr>
        <w:t xml:space="preserve">za </w:t>
      </w:r>
      <w:r w:rsidR="00291BA3" w:rsidRPr="00372CB3">
        <w:rPr>
          <w:rFonts w:ascii="Times New Roman" w:hAnsi="Times New Roman" w:cs="Times New Roman"/>
        </w:rPr>
        <w:t xml:space="preserve">poludnevni boravak </w:t>
      </w:r>
      <w:r w:rsidR="00526C6A" w:rsidRPr="00372CB3">
        <w:rPr>
          <w:rFonts w:ascii="Times New Roman" w:hAnsi="Times New Roman" w:cs="Times New Roman"/>
        </w:rPr>
        <w:t>(</w:t>
      </w:r>
      <w:r w:rsidRPr="00372CB3">
        <w:rPr>
          <w:rFonts w:ascii="Times New Roman" w:hAnsi="Times New Roman" w:cs="Times New Roman"/>
        </w:rPr>
        <w:t>RPA</w:t>
      </w:r>
      <w:r w:rsidR="00526C6A" w:rsidRPr="00372CB3">
        <w:rPr>
          <w:rFonts w:ascii="Times New Roman" w:hAnsi="Times New Roman" w:cs="Times New Roman"/>
        </w:rPr>
        <w:t>)</w:t>
      </w:r>
      <w:r w:rsidRPr="00372CB3">
        <w:rPr>
          <w:rFonts w:ascii="Times New Roman" w:hAnsi="Times New Roman" w:cs="Times New Roman"/>
        </w:rPr>
        <w:t xml:space="preserve"> </w:t>
      </w:r>
      <w:r w:rsidR="00C83696" w:rsidRPr="00372CB3">
        <w:rPr>
          <w:rFonts w:ascii="Times New Roman" w:hAnsi="Times New Roman" w:cs="Times New Roman"/>
        </w:rPr>
        <w:t>67.</w:t>
      </w:r>
      <w:r w:rsidR="004D3245" w:rsidRPr="00372CB3">
        <w:rPr>
          <w:rFonts w:ascii="Times New Roman" w:hAnsi="Times New Roman" w:cs="Times New Roman"/>
        </w:rPr>
        <w:t>236,84</w:t>
      </w:r>
      <w:r w:rsidR="00C601A7" w:rsidRPr="00372CB3">
        <w:rPr>
          <w:rFonts w:ascii="Times New Roman" w:hAnsi="Times New Roman" w:cs="Times New Roman"/>
        </w:rPr>
        <w:t xml:space="preserve"> €</w:t>
      </w:r>
      <w:r w:rsidR="00C83696" w:rsidRPr="00372CB3">
        <w:rPr>
          <w:rFonts w:ascii="Times New Roman" w:hAnsi="Times New Roman" w:cs="Times New Roman"/>
        </w:rPr>
        <w:t xml:space="preserve"> i za ranu razvojnu podršku (RRP) </w:t>
      </w:r>
      <w:r w:rsidR="004D3245" w:rsidRPr="00372CB3">
        <w:rPr>
          <w:rFonts w:ascii="Times New Roman" w:hAnsi="Times New Roman" w:cs="Times New Roman"/>
        </w:rPr>
        <w:t>12.238,90</w:t>
      </w:r>
      <w:r w:rsidR="00C83696" w:rsidRPr="00372CB3">
        <w:rPr>
          <w:rFonts w:ascii="Times New Roman" w:hAnsi="Times New Roman" w:cs="Times New Roman"/>
        </w:rPr>
        <w:t xml:space="preserve"> €.</w:t>
      </w:r>
    </w:p>
    <w:p w14:paraId="5A56F8C7" w14:textId="01D13D30" w:rsidR="00B11C3D" w:rsidRPr="00372CB3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Iz županijskog proračuna tekuća je pomoć iznosila </w:t>
      </w:r>
      <w:r w:rsidR="00C83696" w:rsidRPr="00372CB3">
        <w:rPr>
          <w:rFonts w:ascii="Times New Roman" w:hAnsi="Times New Roman" w:cs="Times New Roman"/>
        </w:rPr>
        <w:t>2</w:t>
      </w:r>
      <w:r w:rsidR="004D3245" w:rsidRPr="00372CB3">
        <w:rPr>
          <w:rFonts w:ascii="Times New Roman" w:hAnsi="Times New Roman" w:cs="Times New Roman"/>
        </w:rPr>
        <w:t>8.968,39</w:t>
      </w:r>
      <w:r w:rsidR="00C601A7" w:rsidRPr="00372CB3">
        <w:rPr>
          <w:rFonts w:ascii="Times New Roman" w:hAnsi="Times New Roman" w:cs="Times New Roman"/>
        </w:rPr>
        <w:t xml:space="preserve"> €</w:t>
      </w:r>
      <w:r w:rsidRPr="00372CB3">
        <w:rPr>
          <w:rFonts w:ascii="Times New Roman" w:hAnsi="Times New Roman" w:cs="Times New Roman"/>
        </w:rPr>
        <w:t xml:space="preserve"> za financiranje </w:t>
      </w:r>
      <w:r w:rsidR="00262725" w:rsidRPr="00372CB3">
        <w:rPr>
          <w:rFonts w:ascii="Times New Roman" w:hAnsi="Times New Roman" w:cs="Times New Roman"/>
        </w:rPr>
        <w:t xml:space="preserve">djelatnosti </w:t>
      </w:r>
      <w:r w:rsidRPr="00372CB3">
        <w:rPr>
          <w:rFonts w:ascii="Times New Roman" w:hAnsi="Times New Roman" w:cs="Times New Roman"/>
        </w:rPr>
        <w:t>logope</w:t>
      </w:r>
      <w:r w:rsidR="00262725" w:rsidRPr="00372CB3">
        <w:rPr>
          <w:rFonts w:ascii="Times New Roman" w:hAnsi="Times New Roman" w:cs="Times New Roman"/>
        </w:rPr>
        <w:t>dije za vanjske korisnike.</w:t>
      </w:r>
    </w:p>
    <w:p w14:paraId="5592C747" w14:textId="391184DF" w:rsidR="00B11C3D" w:rsidRPr="00372CB3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Iz općinskih proračuna je prihodovano </w:t>
      </w:r>
      <w:r w:rsidR="00C83696" w:rsidRPr="00372CB3">
        <w:rPr>
          <w:rFonts w:ascii="Times New Roman" w:hAnsi="Times New Roman" w:cs="Times New Roman"/>
        </w:rPr>
        <w:t>1</w:t>
      </w:r>
      <w:r w:rsidR="004D3245" w:rsidRPr="00372CB3">
        <w:rPr>
          <w:rFonts w:ascii="Times New Roman" w:hAnsi="Times New Roman" w:cs="Times New Roman"/>
        </w:rPr>
        <w:t>1.856,80</w:t>
      </w:r>
      <w:r w:rsidR="00C601A7" w:rsidRPr="00372CB3">
        <w:rPr>
          <w:rFonts w:ascii="Times New Roman" w:hAnsi="Times New Roman" w:cs="Times New Roman"/>
        </w:rPr>
        <w:t xml:space="preserve"> €</w:t>
      </w:r>
      <w:r w:rsidRPr="00372CB3">
        <w:rPr>
          <w:rFonts w:ascii="Times New Roman" w:hAnsi="Times New Roman" w:cs="Times New Roman"/>
        </w:rPr>
        <w:t xml:space="preserve"> za </w:t>
      </w:r>
      <w:r w:rsidR="006B207D" w:rsidRPr="00372CB3">
        <w:rPr>
          <w:rFonts w:ascii="Times New Roman" w:hAnsi="Times New Roman" w:cs="Times New Roman"/>
        </w:rPr>
        <w:t>su</w:t>
      </w:r>
      <w:r w:rsidRPr="00372CB3">
        <w:rPr>
          <w:rFonts w:ascii="Times New Roman" w:hAnsi="Times New Roman" w:cs="Times New Roman"/>
        </w:rPr>
        <w:t>financiranje vrtića</w:t>
      </w:r>
      <w:r w:rsidR="006B207D" w:rsidRPr="00372CB3">
        <w:rPr>
          <w:rFonts w:ascii="Times New Roman" w:hAnsi="Times New Roman" w:cs="Times New Roman"/>
        </w:rPr>
        <w:t>.</w:t>
      </w:r>
    </w:p>
    <w:p w14:paraId="7AF3D897" w14:textId="2A264F71" w:rsidR="00B11C3D" w:rsidRPr="00372CB3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U podskupini prijenosa između PK istog proračuna</w:t>
      </w:r>
      <w:r w:rsidR="007E1E05" w:rsidRPr="00372CB3">
        <w:rPr>
          <w:rFonts w:ascii="Times New Roman" w:hAnsi="Times New Roman" w:cs="Times New Roman"/>
        </w:rPr>
        <w:t xml:space="preserve">, za </w:t>
      </w:r>
      <w:r w:rsidR="00291BA3" w:rsidRPr="00372CB3">
        <w:rPr>
          <w:rFonts w:ascii="Times New Roman" w:hAnsi="Times New Roman" w:cs="Times New Roman"/>
        </w:rPr>
        <w:t>financiranje pomoćnika u nastavi</w:t>
      </w:r>
      <w:r w:rsidR="007E1E05" w:rsidRPr="00372CB3">
        <w:rPr>
          <w:rFonts w:ascii="Times New Roman" w:hAnsi="Times New Roman" w:cs="Times New Roman"/>
        </w:rPr>
        <w:t>,</w:t>
      </w:r>
      <w:r w:rsidRPr="00372CB3">
        <w:rPr>
          <w:rFonts w:ascii="Times New Roman" w:hAnsi="Times New Roman" w:cs="Times New Roman"/>
        </w:rPr>
        <w:t xml:space="preserve"> iskazan je iznos nacionalnog sufinanciranja </w:t>
      </w:r>
      <w:r w:rsidR="007E1E05" w:rsidRPr="00372CB3">
        <w:rPr>
          <w:rFonts w:ascii="Times New Roman" w:hAnsi="Times New Roman" w:cs="Times New Roman"/>
        </w:rPr>
        <w:t xml:space="preserve">od </w:t>
      </w:r>
      <w:r w:rsidR="00C83696" w:rsidRPr="00372CB3">
        <w:rPr>
          <w:rFonts w:ascii="Times New Roman" w:hAnsi="Times New Roman" w:cs="Times New Roman"/>
        </w:rPr>
        <w:t>1</w:t>
      </w:r>
      <w:r w:rsidR="00021EFC" w:rsidRPr="00372CB3">
        <w:rPr>
          <w:rFonts w:ascii="Times New Roman" w:hAnsi="Times New Roman" w:cs="Times New Roman"/>
        </w:rPr>
        <w:t>4.335,14</w:t>
      </w:r>
      <w:r w:rsidR="00C601A7" w:rsidRPr="00372CB3">
        <w:rPr>
          <w:rFonts w:ascii="Times New Roman" w:hAnsi="Times New Roman" w:cs="Times New Roman"/>
        </w:rPr>
        <w:t xml:space="preserve"> €</w:t>
      </w:r>
      <w:r w:rsidR="007E1E05" w:rsidRPr="00372CB3">
        <w:rPr>
          <w:rFonts w:ascii="Times New Roman" w:hAnsi="Times New Roman" w:cs="Times New Roman"/>
        </w:rPr>
        <w:t xml:space="preserve"> i iznos EU sredstava od</w:t>
      </w:r>
      <w:r w:rsidR="00291BA3" w:rsidRPr="00372CB3">
        <w:rPr>
          <w:rFonts w:ascii="Times New Roman" w:hAnsi="Times New Roman" w:cs="Times New Roman"/>
        </w:rPr>
        <w:t xml:space="preserve"> </w:t>
      </w:r>
      <w:r w:rsidR="00021EFC" w:rsidRPr="00372CB3">
        <w:rPr>
          <w:rFonts w:ascii="Times New Roman" w:hAnsi="Times New Roman" w:cs="Times New Roman"/>
        </w:rPr>
        <w:t>80.104,53</w:t>
      </w:r>
      <w:r w:rsidR="00C601A7" w:rsidRPr="00372CB3">
        <w:rPr>
          <w:rFonts w:ascii="Times New Roman" w:hAnsi="Times New Roman" w:cs="Times New Roman"/>
        </w:rPr>
        <w:t xml:space="preserve"> €</w:t>
      </w:r>
      <w:r w:rsidR="004F4F08" w:rsidRPr="00372CB3">
        <w:rPr>
          <w:rFonts w:ascii="Times New Roman" w:hAnsi="Times New Roman" w:cs="Times New Roman"/>
        </w:rPr>
        <w:t>, kao i</w:t>
      </w:r>
      <w:r w:rsidR="00FD3AD7" w:rsidRPr="00372CB3">
        <w:rPr>
          <w:rFonts w:ascii="Times New Roman" w:hAnsi="Times New Roman" w:cs="Times New Roman"/>
        </w:rPr>
        <w:t xml:space="preserve"> </w:t>
      </w:r>
      <w:r w:rsidR="00021EFC" w:rsidRPr="00372CB3">
        <w:rPr>
          <w:rFonts w:ascii="Times New Roman" w:hAnsi="Times New Roman" w:cs="Times New Roman"/>
        </w:rPr>
        <w:t>558,93</w:t>
      </w:r>
      <w:r w:rsidR="004F4F08" w:rsidRPr="00372CB3">
        <w:rPr>
          <w:rFonts w:ascii="Times New Roman" w:hAnsi="Times New Roman" w:cs="Times New Roman"/>
        </w:rPr>
        <w:t xml:space="preserve"> € za školsku shemu voća</w:t>
      </w:r>
      <w:r w:rsidR="00FD3AD7" w:rsidRPr="00372CB3">
        <w:rPr>
          <w:rFonts w:ascii="Times New Roman" w:hAnsi="Times New Roman" w:cs="Times New Roman"/>
        </w:rPr>
        <w:t xml:space="preserve"> (nacionalno sufinanciranje).</w:t>
      </w:r>
    </w:p>
    <w:p w14:paraId="77C904F9" w14:textId="2AEBEBCE" w:rsidR="007E1E05" w:rsidRPr="00372CB3" w:rsidRDefault="007E1E05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Prihodi po posebnim propisima obuhvaćaju sufinanciranje </w:t>
      </w:r>
      <w:r w:rsidR="000F35A8" w:rsidRPr="00372CB3">
        <w:rPr>
          <w:rFonts w:ascii="Times New Roman" w:hAnsi="Times New Roman" w:cs="Times New Roman"/>
        </w:rPr>
        <w:t xml:space="preserve">korisnika </w:t>
      </w:r>
      <w:r w:rsidRPr="00372CB3">
        <w:rPr>
          <w:rFonts w:ascii="Times New Roman" w:hAnsi="Times New Roman" w:cs="Times New Roman"/>
        </w:rPr>
        <w:t xml:space="preserve">cijene usluge za vrtić od </w:t>
      </w:r>
      <w:r w:rsidR="00067B33" w:rsidRPr="00372CB3">
        <w:rPr>
          <w:rFonts w:ascii="Times New Roman" w:hAnsi="Times New Roman" w:cs="Times New Roman"/>
        </w:rPr>
        <w:t>5.578,37</w:t>
      </w:r>
      <w:r w:rsidR="004F4F08" w:rsidRPr="00372CB3">
        <w:rPr>
          <w:rFonts w:ascii="Times New Roman" w:hAnsi="Times New Roman" w:cs="Times New Roman"/>
        </w:rPr>
        <w:t xml:space="preserve"> €, </w:t>
      </w:r>
      <w:r w:rsidR="000F35A8" w:rsidRPr="00372CB3">
        <w:rPr>
          <w:rFonts w:ascii="Times New Roman" w:hAnsi="Times New Roman" w:cs="Times New Roman"/>
        </w:rPr>
        <w:t>za škol</w:t>
      </w:r>
      <w:r w:rsidR="004F4F08" w:rsidRPr="00372CB3">
        <w:rPr>
          <w:rFonts w:ascii="Times New Roman" w:hAnsi="Times New Roman" w:cs="Times New Roman"/>
        </w:rPr>
        <w:t>sku</w:t>
      </w:r>
      <w:r w:rsidR="000F35A8" w:rsidRPr="00372CB3">
        <w:rPr>
          <w:rFonts w:ascii="Times New Roman" w:hAnsi="Times New Roman" w:cs="Times New Roman"/>
        </w:rPr>
        <w:t xml:space="preserve"> prehran</w:t>
      </w:r>
      <w:r w:rsidR="004F4F08" w:rsidRPr="00372CB3">
        <w:rPr>
          <w:rFonts w:ascii="Times New Roman" w:hAnsi="Times New Roman" w:cs="Times New Roman"/>
        </w:rPr>
        <w:t>u</w:t>
      </w:r>
      <w:r w:rsidR="000F35A8" w:rsidRPr="00372CB3">
        <w:rPr>
          <w:rFonts w:ascii="Times New Roman" w:hAnsi="Times New Roman" w:cs="Times New Roman"/>
        </w:rPr>
        <w:t xml:space="preserve"> </w:t>
      </w:r>
      <w:r w:rsidR="00B966CE" w:rsidRPr="00372CB3">
        <w:rPr>
          <w:rFonts w:ascii="Times New Roman" w:hAnsi="Times New Roman" w:cs="Times New Roman"/>
        </w:rPr>
        <w:t>od</w:t>
      </w:r>
      <w:r w:rsidR="00067B33" w:rsidRPr="00372CB3">
        <w:rPr>
          <w:rFonts w:ascii="Times New Roman" w:hAnsi="Times New Roman" w:cs="Times New Roman"/>
        </w:rPr>
        <w:t xml:space="preserve"> 2.927,93</w:t>
      </w:r>
      <w:r w:rsidR="004F4F08" w:rsidRPr="00372CB3">
        <w:rPr>
          <w:rFonts w:ascii="Times New Roman" w:hAnsi="Times New Roman" w:cs="Times New Roman"/>
        </w:rPr>
        <w:t xml:space="preserve"> €</w:t>
      </w:r>
      <w:r w:rsidR="00080867" w:rsidRPr="00372CB3">
        <w:rPr>
          <w:rFonts w:ascii="Times New Roman" w:hAnsi="Times New Roman" w:cs="Times New Roman"/>
        </w:rPr>
        <w:t>,</w:t>
      </w:r>
      <w:r w:rsidR="00A56D67" w:rsidRPr="00372CB3">
        <w:rPr>
          <w:rFonts w:ascii="Times New Roman" w:hAnsi="Times New Roman" w:cs="Times New Roman"/>
        </w:rPr>
        <w:t xml:space="preserve"> za ranu razvojnu podršku</w:t>
      </w:r>
      <w:r w:rsidR="00FD3AD7" w:rsidRPr="00372CB3">
        <w:rPr>
          <w:rFonts w:ascii="Times New Roman" w:hAnsi="Times New Roman" w:cs="Times New Roman"/>
        </w:rPr>
        <w:t xml:space="preserve"> </w:t>
      </w:r>
      <w:r w:rsidR="00A56D67" w:rsidRPr="00372CB3">
        <w:rPr>
          <w:rFonts w:ascii="Times New Roman" w:hAnsi="Times New Roman" w:cs="Times New Roman"/>
        </w:rPr>
        <w:t xml:space="preserve">od </w:t>
      </w:r>
      <w:r w:rsidR="00FD3AD7" w:rsidRPr="00372CB3">
        <w:rPr>
          <w:rFonts w:ascii="Times New Roman" w:hAnsi="Times New Roman" w:cs="Times New Roman"/>
        </w:rPr>
        <w:t>3</w:t>
      </w:r>
      <w:r w:rsidR="00067B33" w:rsidRPr="00372CB3">
        <w:rPr>
          <w:rFonts w:ascii="Times New Roman" w:hAnsi="Times New Roman" w:cs="Times New Roman"/>
        </w:rPr>
        <w:t>.858,21</w:t>
      </w:r>
      <w:r w:rsidR="00A56D67" w:rsidRPr="00372CB3">
        <w:rPr>
          <w:rFonts w:ascii="Times New Roman" w:hAnsi="Times New Roman" w:cs="Times New Roman"/>
        </w:rPr>
        <w:t xml:space="preserve"> € te još</w:t>
      </w:r>
      <w:r w:rsidR="00067B33" w:rsidRPr="00372CB3">
        <w:rPr>
          <w:rFonts w:ascii="Times New Roman" w:hAnsi="Times New Roman" w:cs="Times New Roman"/>
        </w:rPr>
        <w:t xml:space="preserve"> 309,50 € ostalih prihoda za posebne namjene.</w:t>
      </w:r>
    </w:p>
    <w:p w14:paraId="75D0C8DA" w14:textId="5B35ED1B" w:rsidR="00A83744" w:rsidRPr="00372CB3" w:rsidRDefault="000F35A8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Skupina prihoda</w:t>
      </w:r>
      <w:r w:rsidR="00E77AB8" w:rsidRPr="00372CB3">
        <w:rPr>
          <w:rFonts w:ascii="Times New Roman" w:hAnsi="Times New Roman" w:cs="Times New Roman"/>
        </w:rPr>
        <w:t xml:space="preserve"> 66</w:t>
      </w:r>
      <w:r w:rsidRPr="00372CB3">
        <w:rPr>
          <w:rFonts w:ascii="Times New Roman" w:hAnsi="Times New Roman" w:cs="Times New Roman"/>
        </w:rPr>
        <w:t xml:space="preserve"> od</w:t>
      </w:r>
      <w:r w:rsidR="009523D9" w:rsidRPr="00372CB3">
        <w:rPr>
          <w:rFonts w:ascii="Times New Roman" w:hAnsi="Times New Roman" w:cs="Times New Roman"/>
        </w:rPr>
        <w:t xml:space="preserve"> </w:t>
      </w:r>
      <w:r w:rsidR="00735D0F" w:rsidRPr="00372CB3">
        <w:rPr>
          <w:rFonts w:ascii="Times New Roman" w:hAnsi="Times New Roman" w:cs="Times New Roman"/>
        </w:rPr>
        <w:t>8.650,24</w:t>
      </w:r>
      <w:r w:rsidR="00E77AB8" w:rsidRPr="00372CB3">
        <w:rPr>
          <w:rFonts w:ascii="Times New Roman" w:hAnsi="Times New Roman" w:cs="Times New Roman"/>
        </w:rPr>
        <w:t xml:space="preserve"> €</w:t>
      </w:r>
      <w:r w:rsidRPr="00372CB3">
        <w:rPr>
          <w:rFonts w:ascii="Times New Roman" w:hAnsi="Times New Roman" w:cs="Times New Roman"/>
        </w:rPr>
        <w:t xml:space="preserve"> sadrži ostvarene vlastite prihode od</w:t>
      </w:r>
      <w:r w:rsidR="00FD3AD7" w:rsidRPr="00372CB3">
        <w:rPr>
          <w:rFonts w:ascii="Times New Roman" w:hAnsi="Times New Roman" w:cs="Times New Roman"/>
        </w:rPr>
        <w:t xml:space="preserve"> 1.</w:t>
      </w:r>
      <w:r w:rsidR="00735D0F" w:rsidRPr="00372CB3">
        <w:rPr>
          <w:rFonts w:ascii="Times New Roman" w:hAnsi="Times New Roman" w:cs="Times New Roman"/>
        </w:rPr>
        <w:t>768,35</w:t>
      </w:r>
      <w:r w:rsidR="00E77AB8" w:rsidRPr="00372CB3">
        <w:rPr>
          <w:rFonts w:ascii="Times New Roman" w:hAnsi="Times New Roman" w:cs="Times New Roman"/>
        </w:rPr>
        <w:t xml:space="preserve"> €</w:t>
      </w:r>
      <w:r w:rsidRPr="00372CB3">
        <w:rPr>
          <w:rFonts w:ascii="Times New Roman" w:hAnsi="Times New Roman" w:cs="Times New Roman"/>
        </w:rPr>
        <w:t xml:space="preserve"> i donacije od</w:t>
      </w:r>
      <w:r w:rsidR="00E77AB8" w:rsidRPr="00372CB3">
        <w:rPr>
          <w:rFonts w:ascii="Times New Roman" w:hAnsi="Times New Roman" w:cs="Times New Roman"/>
        </w:rPr>
        <w:t xml:space="preserve"> </w:t>
      </w:r>
      <w:r w:rsidR="00735D0F" w:rsidRPr="00372CB3">
        <w:rPr>
          <w:rFonts w:ascii="Times New Roman" w:hAnsi="Times New Roman" w:cs="Times New Roman"/>
        </w:rPr>
        <w:t>6.881,89</w:t>
      </w:r>
      <w:r w:rsidR="00E77AB8" w:rsidRPr="00372CB3">
        <w:rPr>
          <w:rFonts w:ascii="Times New Roman" w:hAnsi="Times New Roman" w:cs="Times New Roman"/>
        </w:rPr>
        <w:t xml:space="preserve"> €.</w:t>
      </w:r>
    </w:p>
    <w:p w14:paraId="65B651E6" w14:textId="0BEF8EAF" w:rsidR="000F35A8" w:rsidRPr="00372CB3" w:rsidRDefault="000F35A8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Vlastiti prihodi su ostvareni </w:t>
      </w:r>
      <w:r w:rsidR="00735D0F" w:rsidRPr="00372CB3">
        <w:rPr>
          <w:rFonts w:ascii="Times New Roman" w:hAnsi="Times New Roman" w:cs="Times New Roman"/>
        </w:rPr>
        <w:t xml:space="preserve">isporukom električne energije od 941,15 €, prodajom proizvoda učeničke zadruge od 65,00 €, </w:t>
      </w:r>
      <w:r w:rsidRPr="00372CB3">
        <w:rPr>
          <w:rFonts w:ascii="Times New Roman" w:hAnsi="Times New Roman" w:cs="Times New Roman"/>
        </w:rPr>
        <w:t xml:space="preserve">prodajom starog papira od </w:t>
      </w:r>
      <w:r w:rsidR="00FD3AD7" w:rsidRPr="00372CB3">
        <w:rPr>
          <w:rFonts w:ascii="Times New Roman" w:hAnsi="Times New Roman" w:cs="Times New Roman"/>
        </w:rPr>
        <w:t>2</w:t>
      </w:r>
      <w:r w:rsidR="00735D0F" w:rsidRPr="00372CB3">
        <w:rPr>
          <w:rFonts w:ascii="Times New Roman" w:hAnsi="Times New Roman" w:cs="Times New Roman"/>
        </w:rPr>
        <w:t>64,50</w:t>
      </w:r>
      <w:r w:rsidR="00E77AB8" w:rsidRPr="00372CB3">
        <w:rPr>
          <w:rFonts w:ascii="Times New Roman" w:hAnsi="Times New Roman" w:cs="Times New Roman"/>
        </w:rPr>
        <w:t xml:space="preserve"> €</w:t>
      </w:r>
      <w:r w:rsidR="00080867" w:rsidRPr="00372CB3">
        <w:rPr>
          <w:rFonts w:ascii="Times New Roman" w:hAnsi="Times New Roman" w:cs="Times New Roman"/>
        </w:rPr>
        <w:t xml:space="preserve"> te</w:t>
      </w:r>
      <w:r w:rsidRPr="00372CB3">
        <w:rPr>
          <w:rFonts w:ascii="Times New Roman" w:hAnsi="Times New Roman" w:cs="Times New Roman"/>
        </w:rPr>
        <w:t xml:space="preserve"> od </w:t>
      </w:r>
      <w:r w:rsidR="00A83744" w:rsidRPr="00372CB3">
        <w:rPr>
          <w:rFonts w:ascii="Times New Roman" w:hAnsi="Times New Roman" w:cs="Times New Roman"/>
        </w:rPr>
        <w:t xml:space="preserve">pruženih usluga </w:t>
      </w:r>
      <w:r w:rsidR="00FD3AD7" w:rsidRPr="00372CB3">
        <w:rPr>
          <w:rFonts w:ascii="Times New Roman" w:hAnsi="Times New Roman" w:cs="Times New Roman"/>
        </w:rPr>
        <w:t>(</w:t>
      </w:r>
      <w:r w:rsidRPr="00372CB3">
        <w:rPr>
          <w:rFonts w:ascii="Times New Roman" w:hAnsi="Times New Roman" w:cs="Times New Roman"/>
        </w:rPr>
        <w:t xml:space="preserve">zakup </w:t>
      </w:r>
      <w:r w:rsidR="00735D0F" w:rsidRPr="00372CB3">
        <w:rPr>
          <w:rFonts w:ascii="Times New Roman" w:hAnsi="Times New Roman" w:cs="Times New Roman"/>
        </w:rPr>
        <w:t xml:space="preserve">uredskih </w:t>
      </w:r>
      <w:r w:rsidRPr="00372CB3">
        <w:rPr>
          <w:rFonts w:ascii="Times New Roman" w:hAnsi="Times New Roman" w:cs="Times New Roman"/>
        </w:rPr>
        <w:t>prostorija</w:t>
      </w:r>
      <w:r w:rsidR="00FD3AD7" w:rsidRPr="00372CB3">
        <w:rPr>
          <w:rFonts w:ascii="Times New Roman" w:hAnsi="Times New Roman" w:cs="Times New Roman"/>
        </w:rPr>
        <w:t>)</w:t>
      </w:r>
      <w:r w:rsidR="00B966CE" w:rsidRPr="00372CB3">
        <w:rPr>
          <w:rFonts w:ascii="Times New Roman" w:hAnsi="Times New Roman" w:cs="Times New Roman"/>
        </w:rPr>
        <w:t xml:space="preserve"> </w:t>
      </w:r>
      <w:r w:rsidR="00735D0F" w:rsidRPr="00372CB3">
        <w:rPr>
          <w:rFonts w:ascii="Times New Roman" w:hAnsi="Times New Roman" w:cs="Times New Roman"/>
        </w:rPr>
        <w:t>od 497,70</w:t>
      </w:r>
      <w:r w:rsidR="00E77AB8" w:rsidRPr="00372CB3">
        <w:rPr>
          <w:rFonts w:ascii="Times New Roman" w:hAnsi="Times New Roman" w:cs="Times New Roman"/>
        </w:rPr>
        <w:t xml:space="preserve"> €.</w:t>
      </w:r>
    </w:p>
    <w:p w14:paraId="4EC98479" w14:textId="26B239E5" w:rsidR="000F6C35" w:rsidRPr="00372CB3" w:rsidRDefault="000F6C35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lastRenderedPageBreak/>
        <w:t xml:space="preserve">Od ukupno dobivenih donacija </w:t>
      </w:r>
      <w:r w:rsidR="00956237" w:rsidRPr="00372CB3">
        <w:rPr>
          <w:rFonts w:ascii="Times New Roman" w:hAnsi="Times New Roman" w:cs="Times New Roman"/>
        </w:rPr>
        <w:t xml:space="preserve">na tekuće </w:t>
      </w:r>
      <w:r w:rsidR="00526C6A" w:rsidRPr="00372CB3">
        <w:rPr>
          <w:rFonts w:ascii="Times New Roman" w:hAnsi="Times New Roman" w:cs="Times New Roman"/>
        </w:rPr>
        <w:t xml:space="preserve">se odnosi </w:t>
      </w:r>
      <w:r w:rsidR="00956237" w:rsidRPr="00372CB3">
        <w:rPr>
          <w:rFonts w:ascii="Times New Roman" w:hAnsi="Times New Roman" w:cs="Times New Roman"/>
        </w:rPr>
        <w:t>731,27</w:t>
      </w:r>
      <w:r w:rsidR="00E77AB8" w:rsidRPr="00372CB3">
        <w:rPr>
          <w:rFonts w:ascii="Times New Roman" w:hAnsi="Times New Roman" w:cs="Times New Roman"/>
        </w:rPr>
        <w:t xml:space="preserve"> €</w:t>
      </w:r>
      <w:r w:rsidR="00FD3AD7" w:rsidRPr="00372CB3">
        <w:rPr>
          <w:rFonts w:ascii="Times New Roman" w:hAnsi="Times New Roman" w:cs="Times New Roman"/>
        </w:rPr>
        <w:t>,</w:t>
      </w:r>
      <w:r w:rsidR="00956237" w:rsidRPr="00372CB3">
        <w:rPr>
          <w:rFonts w:ascii="Times New Roman" w:hAnsi="Times New Roman" w:cs="Times New Roman"/>
        </w:rPr>
        <w:t xml:space="preserve"> od uplat</w:t>
      </w:r>
      <w:r w:rsidR="00372CB3" w:rsidRPr="00372CB3">
        <w:rPr>
          <w:rFonts w:ascii="Times New Roman" w:hAnsi="Times New Roman" w:cs="Times New Roman"/>
        </w:rPr>
        <w:t>a</w:t>
      </w:r>
      <w:r w:rsidR="00956237" w:rsidRPr="00372CB3">
        <w:rPr>
          <w:rFonts w:ascii="Times New Roman" w:hAnsi="Times New Roman" w:cs="Times New Roman"/>
        </w:rPr>
        <w:t xml:space="preserve"> dvaju trgovačkih društava, a</w:t>
      </w:r>
      <w:r w:rsidR="00FD3AD7" w:rsidRPr="00372CB3">
        <w:rPr>
          <w:rFonts w:ascii="Times New Roman" w:hAnsi="Times New Roman" w:cs="Times New Roman"/>
        </w:rPr>
        <w:t xml:space="preserve"> </w:t>
      </w:r>
      <w:r w:rsidR="00526C6A" w:rsidRPr="00372CB3">
        <w:rPr>
          <w:rFonts w:ascii="Times New Roman" w:hAnsi="Times New Roman" w:cs="Times New Roman"/>
        </w:rPr>
        <w:t xml:space="preserve">na </w:t>
      </w:r>
      <w:r w:rsidR="00956237" w:rsidRPr="00372CB3">
        <w:rPr>
          <w:rFonts w:ascii="Times New Roman" w:hAnsi="Times New Roman" w:cs="Times New Roman"/>
        </w:rPr>
        <w:t>kapita</w:t>
      </w:r>
      <w:r w:rsidR="00372CB3" w:rsidRPr="00372CB3">
        <w:rPr>
          <w:rFonts w:ascii="Times New Roman" w:hAnsi="Times New Roman" w:cs="Times New Roman"/>
        </w:rPr>
        <w:t>l</w:t>
      </w:r>
      <w:r w:rsidR="00956237" w:rsidRPr="00372CB3">
        <w:rPr>
          <w:rFonts w:ascii="Times New Roman" w:hAnsi="Times New Roman" w:cs="Times New Roman"/>
        </w:rPr>
        <w:t>ne 6.150,62 €</w:t>
      </w:r>
      <w:r w:rsidR="00840337" w:rsidRPr="00372CB3">
        <w:rPr>
          <w:rFonts w:ascii="Times New Roman" w:hAnsi="Times New Roman" w:cs="Times New Roman"/>
        </w:rPr>
        <w:t>, i to preko udruga 4.150,62 € i od jednog trgovačkog društva 2.000,00 €.</w:t>
      </w:r>
    </w:p>
    <w:p w14:paraId="1E70C464" w14:textId="011F5670" w:rsidR="00A83744" w:rsidRPr="00372CB3" w:rsidRDefault="00D13B3B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Od ukupnih p</w:t>
      </w:r>
      <w:r w:rsidR="00A83744" w:rsidRPr="00372CB3">
        <w:rPr>
          <w:rFonts w:ascii="Times New Roman" w:hAnsi="Times New Roman" w:cs="Times New Roman"/>
        </w:rPr>
        <w:t>rihod</w:t>
      </w:r>
      <w:r w:rsidRPr="00372CB3">
        <w:rPr>
          <w:rFonts w:ascii="Times New Roman" w:hAnsi="Times New Roman" w:cs="Times New Roman"/>
        </w:rPr>
        <w:t>a</w:t>
      </w:r>
      <w:r w:rsidR="00A83744" w:rsidRPr="00372CB3">
        <w:rPr>
          <w:rFonts w:ascii="Times New Roman" w:hAnsi="Times New Roman" w:cs="Times New Roman"/>
        </w:rPr>
        <w:t xml:space="preserve"> poslovanja iz nadležnog proračuna </w:t>
      </w:r>
      <w:r w:rsidR="001F31BD" w:rsidRPr="00372CB3">
        <w:rPr>
          <w:rFonts w:ascii="Times New Roman" w:hAnsi="Times New Roman" w:cs="Times New Roman"/>
        </w:rPr>
        <w:t>71.048,35</w:t>
      </w:r>
      <w:r w:rsidR="006E1576" w:rsidRPr="00372CB3">
        <w:rPr>
          <w:rFonts w:ascii="Times New Roman" w:hAnsi="Times New Roman" w:cs="Times New Roman"/>
        </w:rPr>
        <w:t xml:space="preserve"> € čine sredstva iz decentralizacij</w:t>
      </w:r>
      <w:r w:rsidR="00246717" w:rsidRPr="00372CB3">
        <w:rPr>
          <w:rFonts w:ascii="Times New Roman" w:hAnsi="Times New Roman" w:cs="Times New Roman"/>
        </w:rPr>
        <w:t>e,</w:t>
      </w:r>
      <w:r w:rsidRPr="00372CB3">
        <w:rPr>
          <w:rFonts w:ascii="Times New Roman" w:hAnsi="Times New Roman" w:cs="Times New Roman"/>
        </w:rPr>
        <w:t xml:space="preserve"> a</w:t>
      </w:r>
      <w:r w:rsidR="001F31BD" w:rsidRPr="00372CB3">
        <w:rPr>
          <w:rFonts w:ascii="Times New Roman" w:hAnsi="Times New Roman" w:cs="Times New Roman"/>
        </w:rPr>
        <w:t xml:space="preserve"> 345.606,28</w:t>
      </w:r>
      <w:r w:rsidRPr="00372CB3">
        <w:rPr>
          <w:rFonts w:ascii="Times New Roman" w:hAnsi="Times New Roman" w:cs="Times New Roman"/>
        </w:rPr>
        <w:t xml:space="preserve"> €</w:t>
      </w:r>
      <w:r w:rsidR="001F31BD" w:rsidRPr="00372CB3">
        <w:rPr>
          <w:rFonts w:ascii="Times New Roman" w:hAnsi="Times New Roman" w:cs="Times New Roman"/>
        </w:rPr>
        <w:t xml:space="preserve"> je od</w:t>
      </w:r>
      <w:r w:rsidRPr="00372CB3">
        <w:rPr>
          <w:rFonts w:ascii="Times New Roman" w:hAnsi="Times New Roman" w:cs="Times New Roman"/>
        </w:rPr>
        <w:t xml:space="preserve"> izvor</w:t>
      </w:r>
      <w:r w:rsidR="001F31BD" w:rsidRPr="00372CB3">
        <w:rPr>
          <w:rFonts w:ascii="Times New Roman" w:hAnsi="Times New Roman" w:cs="Times New Roman"/>
        </w:rPr>
        <w:t>nih prihoda Grada.</w:t>
      </w:r>
    </w:p>
    <w:p w14:paraId="0327307D" w14:textId="7A4191FB" w:rsidR="001F31BD" w:rsidRPr="00372CB3" w:rsidRDefault="001F31BD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Kod prihoda za nabavu nefinancijske imovine iz </w:t>
      </w:r>
      <w:r w:rsidR="00372CB3" w:rsidRPr="00372CB3">
        <w:rPr>
          <w:rFonts w:ascii="Times New Roman" w:hAnsi="Times New Roman" w:cs="Times New Roman"/>
        </w:rPr>
        <w:t xml:space="preserve">izvora </w:t>
      </w:r>
      <w:r w:rsidRPr="00372CB3">
        <w:rPr>
          <w:rFonts w:ascii="Times New Roman" w:hAnsi="Times New Roman" w:cs="Times New Roman"/>
        </w:rPr>
        <w:t xml:space="preserve">decentralizacije je </w:t>
      </w:r>
      <w:r w:rsidR="00B016BD" w:rsidRPr="00372CB3">
        <w:rPr>
          <w:rFonts w:ascii="Times New Roman" w:hAnsi="Times New Roman" w:cs="Times New Roman"/>
        </w:rPr>
        <w:t>dobiveno</w:t>
      </w:r>
      <w:r w:rsidRPr="00372CB3">
        <w:rPr>
          <w:rFonts w:ascii="Times New Roman" w:hAnsi="Times New Roman" w:cs="Times New Roman"/>
        </w:rPr>
        <w:t xml:space="preserve"> </w:t>
      </w:r>
      <w:r w:rsidR="00B016BD" w:rsidRPr="00372CB3">
        <w:rPr>
          <w:rFonts w:ascii="Times New Roman" w:hAnsi="Times New Roman" w:cs="Times New Roman"/>
        </w:rPr>
        <w:t>15.827,97 €, a od izvornih prihoda Grada 1.125,00 €.</w:t>
      </w:r>
    </w:p>
    <w:p w14:paraId="672AF004" w14:textId="35DCC699" w:rsidR="00143C77" w:rsidRPr="00372CB3" w:rsidRDefault="00143C77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>Rashodi poslovanja</w:t>
      </w:r>
      <w:r w:rsidR="00EA090B" w:rsidRPr="00372CB3">
        <w:rPr>
          <w:rFonts w:ascii="Times New Roman" w:hAnsi="Times New Roman" w:cs="Times New Roman"/>
        </w:rPr>
        <w:t xml:space="preserve"> iznosili su</w:t>
      </w:r>
      <w:r w:rsidR="00D861A0" w:rsidRPr="00372CB3">
        <w:rPr>
          <w:rFonts w:ascii="Times New Roman" w:hAnsi="Times New Roman" w:cs="Times New Roman"/>
        </w:rPr>
        <w:t xml:space="preserve"> 1.</w:t>
      </w:r>
      <w:r w:rsidR="00975364" w:rsidRPr="00372CB3">
        <w:rPr>
          <w:rFonts w:ascii="Times New Roman" w:hAnsi="Times New Roman" w:cs="Times New Roman"/>
        </w:rPr>
        <w:t>899.523,64</w:t>
      </w:r>
      <w:r w:rsidR="005F1B9A" w:rsidRPr="00372CB3">
        <w:rPr>
          <w:rFonts w:ascii="Times New Roman" w:hAnsi="Times New Roman" w:cs="Times New Roman"/>
        </w:rPr>
        <w:t xml:space="preserve"> €</w:t>
      </w:r>
      <w:r w:rsidR="00EA090B" w:rsidRPr="00372CB3">
        <w:rPr>
          <w:rFonts w:ascii="Times New Roman" w:hAnsi="Times New Roman" w:cs="Times New Roman"/>
        </w:rPr>
        <w:t xml:space="preserve"> i najvećim dijelom se odnose na rashode za zaposlene u visini od </w:t>
      </w:r>
      <w:r w:rsidR="00D861A0" w:rsidRPr="00372CB3">
        <w:rPr>
          <w:rFonts w:ascii="Times New Roman" w:hAnsi="Times New Roman" w:cs="Times New Roman"/>
        </w:rPr>
        <w:t>1.</w:t>
      </w:r>
      <w:r w:rsidR="00B016BD" w:rsidRPr="00372CB3">
        <w:rPr>
          <w:rFonts w:ascii="Times New Roman" w:hAnsi="Times New Roman" w:cs="Times New Roman"/>
        </w:rPr>
        <w:t>526.858,28</w:t>
      </w:r>
      <w:r w:rsidR="005F1B9A" w:rsidRPr="00372CB3">
        <w:rPr>
          <w:rFonts w:ascii="Times New Roman" w:hAnsi="Times New Roman" w:cs="Times New Roman"/>
        </w:rPr>
        <w:t xml:space="preserve"> €</w:t>
      </w:r>
      <w:r w:rsidR="00EA090B" w:rsidRPr="00372CB3">
        <w:rPr>
          <w:rFonts w:ascii="Times New Roman" w:hAnsi="Times New Roman" w:cs="Times New Roman"/>
        </w:rPr>
        <w:t xml:space="preserve">, </w:t>
      </w:r>
      <w:r w:rsidR="005F1B9A" w:rsidRPr="00372CB3">
        <w:rPr>
          <w:rFonts w:ascii="Times New Roman" w:hAnsi="Times New Roman" w:cs="Times New Roman"/>
        </w:rPr>
        <w:t xml:space="preserve">dok su </w:t>
      </w:r>
      <w:r w:rsidR="00EA090B" w:rsidRPr="00372CB3">
        <w:rPr>
          <w:rFonts w:ascii="Times New Roman" w:hAnsi="Times New Roman" w:cs="Times New Roman"/>
        </w:rPr>
        <w:t xml:space="preserve">materijalni rashodi iznosili </w:t>
      </w:r>
      <w:r w:rsidR="00B016BD" w:rsidRPr="00372CB3">
        <w:rPr>
          <w:rFonts w:ascii="Times New Roman" w:hAnsi="Times New Roman" w:cs="Times New Roman"/>
        </w:rPr>
        <w:t>372.006,93</w:t>
      </w:r>
      <w:r w:rsidR="005F1B9A" w:rsidRPr="00372CB3">
        <w:rPr>
          <w:rFonts w:ascii="Times New Roman" w:hAnsi="Times New Roman" w:cs="Times New Roman"/>
        </w:rPr>
        <w:t xml:space="preserve"> €</w:t>
      </w:r>
      <w:r w:rsidR="00EA090B" w:rsidRPr="00372CB3">
        <w:rPr>
          <w:rFonts w:ascii="Times New Roman" w:hAnsi="Times New Roman" w:cs="Times New Roman"/>
        </w:rPr>
        <w:t xml:space="preserve">, financijski rashodi </w:t>
      </w:r>
      <w:r w:rsidR="00B016BD" w:rsidRPr="00372CB3">
        <w:rPr>
          <w:rFonts w:ascii="Times New Roman" w:hAnsi="Times New Roman" w:cs="Times New Roman"/>
        </w:rPr>
        <w:t>274,43</w:t>
      </w:r>
      <w:r w:rsidR="005F1B9A" w:rsidRPr="00372CB3">
        <w:rPr>
          <w:rFonts w:ascii="Times New Roman" w:hAnsi="Times New Roman" w:cs="Times New Roman"/>
        </w:rPr>
        <w:t xml:space="preserve"> €</w:t>
      </w:r>
      <w:r w:rsidR="00660F53" w:rsidRPr="00372CB3">
        <w:rPr>
          <w:rFonts w:ascii="Times New Roman" w:hAnsi="Times New Roman" w:cs="Times New Roman"/>
        </w:rPr>
        <w:t xml:space="preserve"> </w:t>
      </w:r>
      <w:r w:rsidR="00EA090B" w:rsidRPr="00372CB3">
        <w:rPr>
          <w:rFonts w:ascii="Times New Roman" w:hAnsi="Times New Roman" w:cs="Times New Roman"/>
        </w:rPr>
        <w:t xml:space="preserve">te </w:t>
      </w:r>
      <w:r w:rsidR="005F1B9A" w:rsidRPr="00372CB3">
        <w:rPr>
          <w:rFonts w:ascii="Times New Roman" w:hAnsi="Times New Roman" w:cs="Times New Roman"/>
        </w:rPr>
        <w:t>dane donacije (tekuće, u naravi) 1</w:t>
      </w:r>
      <w:r w:rsidR="00B016BD" w:rsidRPr="00372CB3">
        <w:rPr>
          <w:rFonts w:ascii="Times New Roman" w:hAnsi="Times New Roman" w:cs="Times New Roman"/>
        </w:rPr>
        <w:t>36,47</w:t>
      </w:r>
      <w:r w:rsidR="005F1B9A" w:rsidRPr="00372CB3">
        <w:rPr>
          <w:rFonts w:ascii="Times New Roman" w:hAnsi="Times New Roman" w:cs="Times New Roman"/>
        </w:rPr>
        <w:t xml:space="preserve"> €.</w:t>
      </w:r>
    </w:p>
    <w:p w14:paraId="7546B26D" w14:textId="4BDE2892" w:rsidR="00EA090B" w:rsidRPr="00372CB3" w:rsidRDefault="00EA090B" w:rsidP="0051295D">
      <w:pPr>
        <w:spacing w:after="0" w:line="240" w:lineRule="auto"/>
        <w:rPr>
          <w:rFonts w:ascii="Times New Roman" w:hAnsi="Times New Roman" w:cs="Times New Roman"/>
        </w:rPr>
      </w:pPr>
      <w:r w:rsidRPr="00372CB3">
        <w:rPr>
          <w:rFonts w:ascii="Times New Roman" w:hAnsi="Times New Roman" w:cs="Times New Roman"/>
        </w:rPr>
        <w:t xml:space="preserve">Razliku </w:t>
      </w:r>
      <w:r w:rsidR="003F505E" w:rsidRPr="00372CB3">
        <w:rPr>
          <w:rFonts w:ascii="Times New Roman" w:hAnsi="Times New Roman" w:cs="Times New Roman"/>
        </w:rPr>
        <w:t>od</w:t>
      </w:r>
      <w:r w:rsidR="00666F3E" w:rsidRPr="00372CB3">
        <w:rPr>
          <w:rFonts w:ascii="Times New Roman" w:hAnsi="Times New Roman" w:cs="Times New Roman"/>
        </w:rPr>
        <w:t xml:space="preserve"> </w:t>
      </w:r>
      <w:r w:rsidR="00D861A0" w:rsidRPr="00372CB3">
        <w:rPr>
          <w:rFonts w:ascii="Times New Roman" w:hAnsi="Times New Roman" w:cs="Times New Roman"/>
        </w:rPr>
        <w:t>2</w:t>
      </w:r>
      <w:r w:rsidR="00B016BD" w:rsidRPr="00372CB3">
        <w:rPr>
          <w:rFonts w:ascii="Times New Roman" w:hAnsi="Times New Roman" w:cs="Times New Roman"/>
        </w:rPr>
        <w:t>1.014,29</w:t>
      </w:r>
      <w:r w:rsidR="00D161BA" w:rsidRPr="00372CB3">
        <w:rPr>
          <w:rFonts w:ascii="Times New Roman" w:hAnsi="Times New Roman" w:cs="Times New Roman"/>
        </w:rPr>
        <w:t xml:space="preserve"> €</w:t>
      </w:r>
      <w:r w:rsidR="003F505E" w:rsidRPr="00372CB3">
        <w:rPr>
          <w:rFonts w:ascii="Times New Roman" w:hAnsi="Times New Roman" w:cs="Times New Roman"/>
        </w:rPr>
        <w:t xml:space="preserve"> </w:t>
      </w:r>
      <w:r w:rsidRPr="00372CB3">
        <w:rPr>
          <w:rFonts w:ascii="Times New Roman" w:hAnsi="Times New Roman" w:cs="Times New Roman"/>
        </w:rPr>
        <w:t xml:space="preserve">do ukupnih rashoda čine rashodi za nabavu nefinancijske imovine, </w:t>
      </w:r>
      <w:r w:rsidR="0024056A" w:rsidRPr="00372CB3">
        <w:rPr>
          <w:rFonts w:ascii="Times New Roman" w:hAnsi="Times New Roman" w:cs="Times New Roman"/>
        </w:rPr>
        <w:t>a to su</w:t>
      </w:r>
      <w:r w:rsidRPr="00372CB3">
        <w:rPr>
          <w:rFonts w:ascii="Times New Roman" w:hAnsi="Times New Roman" w:cs="Times New Roman"/>
        </w:rPr>
        <w:t xml:space="preserve"> </w:t>
      </w:r>
      <w:r w:rsidR="00D861A0" w:rsidRPr="00372CB3">
        <w:rPr>
          <w:rFonts w:ascii="Times New Roman" w:hAnsi="Times New Roman" w:cs="Times New Roman"/>
        </w:rPr>
        <w:t>dodatn</w:t>
      </w:r>
      <w:r w:rsidR="0088135B" w:rsidRPr="00372CB3">
        <w:rPr>
          <w:rFonts w:ascii="Times New Roman" w:hAnsi="Times New Roman" w:cs="Times New Roman"/>
        </w:rPr>
        <w:t>a</w:t>
      </w:r>
      <w:r w:rsidR="00D861A0" w:rsidRPr="00372CB3">
        <w:rPr>
          <w:rFonts w:ascii="Times New Roman" w:hAnsi="Times New Roman" w:cs="Times New Roman"/>
        </w:rPr>
        <w:t xml:space="preserve"> ulaganj</w:t>
      </w:r>
      <w:r w:rsidR="0088135B" w:rsidRPr="00372CB3">
        <w:rPr>
          <w:rFonts w:ascii="Times New Roman" w:hAnsi="Times New Roman" w:cs="Times New Roman"/>
        </w:rPr>
        <w:t>a</w:t>
      </w:r>
      <w:r w:rsidR="00D861A0" w:rsidRPr="00372CB3">
        <w:rPr>
          <w:rFonts w:ascii="Times New Roman" w:hAnsi="Times New Roman" w:cs="Times New Roman"/>
        </w:rPr>
        <w:t xml:space="preserve"> na građevinskom objektu od </w:t>
      </w:r>
      <w:r w:rsidR="00B016BD" w:rsidRPr="00372CB3">
        <w:rPr>
          <w:rFonts w:ascii="Times New Roman" w:hAnsi="Times New Roman" w:cs="Times New Roman"/>
        </w:rPr>
        <w:t>8.625,00</w:t>
      </w:r>
      <w:r w:rsidR="00D861A0" w:rsidRPr="00372CB3">
        <w:rPr>
          <w:rFonts w:ascii="Times New Roman" w:hAnsi="Times New Roman" w:cs="Times New Roman"/>
        </w:rPr>
        <w:t xml:space="preserve"> €</w:t>
      </w:r>
      <w:r w:rsidR="00B016BD" w:rsidRPr="00372CB3">
        <w:rPr>
          <w:rFonts w:ascii="Times New Roman" w:hAnsi="Times New Roman" w:cs="Times New Roman"/>
        </w:rPr>
        <w:t xml:space="preserve">, rashodi za nabavu opreme od 10.515,00 € i </w:t>
      </w:r>
      <w:r w:rsidRPr="00372CB3">
        <w:rPr>
          <w:rFonts w:ascii="Times New Roman" w:hAnsi="Times New Roman" w:cs="Times New Roman"/>
        </w:rPr>
        <w:t>rashodi za naba</w:t>
      </w:r>
      <w:r w:rsidR="00D161BA" w:rsidRPr="00372CB3">
        <w:rPr>
          <w:rFonts w:ascii="Times New Roman" w:hAnsi="Times New Roman" w:cs="Times New Roman"/>
        </w:rPr>
        <w:t xml:space="preserve">vu </w:t>
      </w:r>
      <w:r w:rsidR="00144A75" w:rsidRPr="00372CB3">
        <w:rPr>
          <w:rFonts w:ascii="Times New Roman" w:hAnsi="Times New Roman" w:cs="Times New Roman"/>
        </w:rPr>
        <w:t>knjig</w:t>
      </w:r>
      <w:r w:rsidR="00D161BA" w:rsidRPr="00372CB3">
        <w:rPr>
          <w:rFonts w:ascii="Times New Roman" w:hAnsi="Times New Roman" w:cs="Times New Roman"/>
        </w:rPr>
        <w:t>a (</w:t>
      </w:r>
      <w:r w:rsidR="000E36C0" w:rsidRPr="00372CB3">
        <w:rPr>
          <w:rFonts w:ascii="Times New Roman" w:hAnsi="Times New Roman" w:cs="Times New Roman"/>
        </w:rPr>
        <w:t xml:space="preserve">u naravi su to </w:t>
      </w:r>
      <w:r w:rsidR="00B016BD" w:rsidRPr="00372CB3">
        <w:rPr>
          <w:rFonts w:ascii="Times New Roman" w:hAnsi="Times New Roman" w:cs="Times New Roman"/>
        </w:rPr>
        <w:t xml:space="preserve">udžbenici za učenike i </w:t>
      </w:r>
      <w:r w:rsidR="00D161BA" w:rsidRPr="00372CB3">
        <w:rPr>
          <w:rFonts w:ascii="Times New Roman" w:hAnsi="Times New Roman" w:cs="Times New Roman"/>
        </w:rPr>
        <w:t>slikovnice za knjižnicu)</w:t>
      </w:r>
      <w:r w:rsidR="00D861A0" w:rsidRPr="00372CB3">
        <w:rPr>
          <w:rFonts w:ascii="Times New Roman" w:hAnsi="Times New Roman" w:cs="Times New Roman"/>
        </w:rPr>
        <w:t xml:space="preserve"> od </w:t>
      </w:r>
      <w:r w:rsidR="00B016BD" w:rsidRPr="00372CB3">
        <w:rPr>
          <w:rFonts w:ascii="Times New Roman" w:hAnsi="Times New Roman" w:cs="Times New Roman"/>
        </w:rPr>
        <w:t>1.873,49</w:t>
      </w:r>
      <w:r w:rsidR="00D861A0" w:rsidRPr="00372CB3">
        <w:rPr>
          <w:rFonts w:ascii="Times New Roman" w:hAnsi="Times New Roman" w:cs="Times New Roman"/>
        </w:rPr>
        <w:t xml:space="preserve"> €.</w:t>
      </w:r>
    </w:p>
    <w:p w14:paraId="3437EBCC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605DAFAC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Izv</w:t>
      </w:r>
      <w:r>
        <w:rPr>
          <w:rFonts w:ascii="Times New Roman" w:hAnsi="Times New Roman" w:cs="Times New Roman"/>
          <w:u w:val="single"/>
        </w:rPr>
        <w:t>o</w:t>
      </w:r>
      <w:r w:rsidRPr="00CB2ACC">
        <w:rPr>
          <w:rFonts w:ascii="Times New Roman" w:hAnsi="Times New Roman" w:cs="Times New Roman"/>
          <w:u w:val="single"/>
        </w:rPr>
        <w:t>ri financiranja sa rezultatima</w:t>
      </w:r>
    </w:p>
    <w:p w14:paraId="05294D07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AF66C31" w14:textId="77777777" w:rsidR="009D3A7F" w:rsidRPr="00B5782C" w:rsidRDefault="00A0713C" w:rsidP="0051295D">
      <w:pPr>
        <w:spacing w:after="0" w:line="240" w:lineRule="auto"/>
        <w:rPr>
          <w:rFonts w:ascii="Times New Roman" w:hAnsi="Times New Roman" w:cs="Times New Roman"/>
        </w:rPr>
      </w:pPr>
      <w:r w:rsidRPr="00B5782C">
        <w:rPr>
          <w:rFonts w:ascii="Times New Roman" w:hAnsi="Times New Roman" w:cs="Times New Roman"/>
        </w:rPr>
        <w:t>Prihodi su ostvareni iz pet izvora financiranja: opći, vlastiti, prihodi za posebne namjene, pomoći i donacije, sa odgovarajući</w:t>
      </w:r>
      <w:r w:rsidR="002D2D1D" w:rsidRPr="00B5782C">
        <w:rPr>
          <w:rFonts w:ascii="Times New Roman" w:hAnsi="Times New Roman" w:cs="Times New Roman"/>
        </w:rPr>
        <w:t>m</w:t>
      </w:r>
      <w:r w:rsidRPr="00B5782C">
        <w:rPr>
          <w:rFonts w:ascii="Times New Roman" w:hAnsi="Times New Roman" w:cs="Times New Roman"/>
        </w:rPr>
        <w:t xml:space="preserve"> podizvorima, prema klasifikaciji</w:t>
      </w:r>
      <w:r w:rsidR="002E4258" w:rsidRPr="00B5782C">
        <w:rPr>
          <w:rFonts w:ascii="Times New Roman" w:hAnsi="Times New Roman" w:cs="Times New Roman"/>
        </w:rPr>
        <w:t xml:space="preserve"> i označavanju</w:t>
      </w:r>
      <w:r w:rsidRPr="00B5782C">
        <w:rPr>
          <w:rFonts w:ascii="Times New Roman" w:hAnsi="Times New Roman" w:cs="Times New Roman"/>
        </w:rPr>
        <w:t xml:space="preserve"> izvora financiranja na </w:t>
      </w:r>
      <w:r w:rsidR="00CD72CA" w:rsidRPr="00B5782C">
        <w:rPr>
          <w:rFonts w:ascii="Times New Roman" w:hAnsi="Times New Roman" w:cs="Times New Roman"/>
        </w:rPr>
        <w:t>g</w:t>
      </w:r>
      <w:r w:rsidRPr="00B5782C">
        <w:rPr>
          <w:rFonts w:ascii="Times New Roman" w:hAnsi="Times New Roman" w:cs="Times New Roman"/>
        </w:rPr>
        <w:t>radskoj riznici.</w:t>
      </w:r>
      <w:r w:rsidR="009D3A7F" w:rsidRPr="00B5782C">
        <w:rPr>
          <w:rFonts w:ascii="Times New Roman" w:hAnsi="Times New Roman" w:cs="Times New Roman"/>
        </w:rPr>
        <w:t xml:space="preserve"> </w:t>
      </w:r>
    </w:p>
    <w:p w14:paraId="78570089" w14:textId="1B712670" w:rsidR="00A0713C" w:rsidRPr="00B5782C" w:rsidRDefault="00A0713C" w:rsidP="0051295D">
      <w:pPr>
        <w:spacing w:after="0" w:line="240" w:lineRule="auto"/>
        <w:rPr>
          <w:rFonts w:ascii="Times New Roman" w:hAnsi="Times New Roman" w:cs="Times New Roman"/>
        </w:rPr>
      </w:pPr>
      <w:r w:rsidRPr="00B5782C">
        <w:rPr>
          <w:rFonts w:ascii="Times New Roman" w:hAnsi="Times New Roman" w:cs="Times New Roman"/>
        </w:rPr>
        <w:t>Opći prihodi iz I-1</w:t>
      </w:r>
      <w:r w:rsidR="002E4258" w:rsidRPr="00B5782C">
        <w:rPr>
          <w:rFonts w:ascii="Times New Roman" w:hAnsi="Times New Roman" w:cs="Times New Roman"/>
        </w:rPr>
        <w:t xml:space="preserve">, Proračun Grada, iznosili su </w:t>
      </w:r>
      <w:r w:rsidR="00D21838" w:rsidRPr="00B5782C">
        <w:rPr>
          <w:rFonts w:ascii="Times New Roman" w:hAnsi="Times New Roman" w:cs="Times New Roman"/>
        </w:rPr>
        <w:t>346.731,28</w:t>
      </w:r>
      <w:r w:rsidR="00A15A58" w:rsidRPr="00B5782C">
        <w:rPr>
          <w:rFonts w:ascii="Times New Roman" w:hAnsi="Times New Roman" w:cs="Times New Roman"/>
        </w:rPr>
        <w:t xml:space="preserve"> €</w:t>
      </w:r>
      <w:r w:rsidR="002E4258" w:rsidRPr="00B5782C">
        <w:rPr>
          <w:rFonts w:ascii="Times New Roman" w:hAnsi="Times New Roman" w:cs="Times New Roman"/>
        </w:rPr>
        <w:t xml:space="preserve">, a rashodi </w:t>
      </w:r>
      <w:r w:rsidR="00D21838" w:rsidRPr="00B5782C">
        <w:rPr>
          <w:rFonts w:ascii="Times New Roman" w:hAnsi="Times New Roman" w:cs="Times New Roman"/>
        </w:rPr>
        <w:t>366.829,90</w:t>
      </w:r>
      <w:r w:rsidR="00A15A58" w:rsidRPr="00B5782C">
        <w:rPr>
          <w:rFonts w:ascii="Times New Roman" w:hAnsi="Times New Roman" w:cs="Times New Roman"/>
        </w:rPr>
        <w:t xml:space="preserve"> €</w:t>
      </w:r>
      <w:r w:rsidR="002E4258" w:rsidRPr="00B5782C">
        <w:rPr>
          <w:rFonts w:ascii="Times New Roman" w:hAnsi="Times New Roman" w:cs="Times New Roman"/>
        </w:rPr>
        <w:t>,</w:t>
      </w:r>
      <w:r w:rsidR="006E7085" w:rsidRPr="00B5782C">
        <w:rPr>
          <w:rFonts w:ascii="Times New Roman" w:hAnsi="Times New Roman" w:cs="Times New Roman"/>
        </w:rPr>
        <w:t xml:space="preserve"> </w:t>
      </w:r>
      <w:r w:rsidR="00D21838" w:rsidRPr="00B5782C">
        <w:rPr>
          <w:rFonts w:ascii="Times New Roman" w:hAnsi="Times New Roman" w:cs="Times New Roman"/>
        </w:rPr>
        <w:t xml:space="preserve">od čega se 1.125,00 € odnosi na nabavu nefinancijske imovine. </w:t>
      </w:r>
      <w:r w:rsidR="00523F27" w:rsidRPr="00B5782C">
        <w:rPr>
          <w:rFonts w:ascii="Times New Roman" w:hAnsi="Times New Roman" w:cs="Times New Roman"/>
        </w:rPr>
        <w:t xml:space="preserve">Nakon pokrića prenesenog manjka preostao je iznos neplaćenih obveza  od </w:t>
      </w:r>
      <w:r w:rsidR="00D21838" w:rsidRPr="00B5782C">
        <w:rPr>
          <w:rFonts w:ascii="Times New Roman" w:hAnsi="Times New Roman" w:cs="Times New Roman"/>
        </w:rPr>
        <w:t>40.737,37</w:t>
      </w:r>
      <w:r w:rsidR="00523F27" w:rsidRPr="00B5782C">
        <w:rPr>
          <w:rFonts w:ascii="Times New Roman" w:hAnsi="Times New Roman" w:cs="Times New Roman"/>
        </w:rPr>
        <w:t xml:space="preserve"> €.</w:t>
      </w:r>
    </w:p>
    <w:p w14:paraId="3CBC89C5" w14:textId="75ADBB2D" w:rsidR="007C049B" w:rsidRPr="00B5782C" w:rsidRDefault="002E4258" w:rsidP="0051295D">
      <w:pPr>
        <w:spacing w:after="0" w:line="240" w:lineRule="auto"/>
        <w:rPr>
          <w:rFonts w:ascii="Times New Roman" w:hAnsi="Times New Roman" w:cs="Times New Roman"/>
        </w:rPr>
      </w:pPr>
      <w:r w:rsidRPr="00B5782C">
        <w:rPr>
          <w:rFonts w:ascii="Times New Roman" w:hAnsi="Times New Roman" w:cs="Times New Roman"/>
        </w:rPr>
        <w:t>Opći prihodi od decentraliziranih sredstava</w:t>
      </w:r>
      <w:r w:rsidR="00E61108">
        <w:rPr>
          <w:rFonts w:ascii="Times New Roman" w:hAnsi="Times New Roman" w:cs="Times New Roman"/>
        </w:rPr>
        <w:t xml:space="preserve"> po I-11</w:t>
      </w:r>
      <w:r w:rsidR="0050060D" w:rsidRPr="00B5782C">
        <w:rPr>
          <w:rFonts w:ascii="Times New Roman" w:hAnsi="Times New Roman" w:cs="Times New Roman"/>
        </w:rPr>
        <w:t xml:space="preserve"> </w:t>
      </w:r>
      <w:r w:rsidRPr="00B5782C">
        <w:rPr>
          <w:rFonts w:ascii="Times New Roman" w:hAnsi="Times New Roman" w:cs="Times New Roman"/>
        </w:rPr>
        <w:t xml:space="preserve">iznosili su </w:t>
      </w:r>
      <w:r w:rsidR="00B15FBB" w:rsidRPr="00B5782C">
        <w:rPr>
          <w:rFonts w:ascii="Times New Roman" w:hAnsi="Times New Roman" w:cs="Times New Roman"/>
        </w:rPr>
        <w:t>13.141,96</w:t>
      </w:r>
      <w:r w:rsidR="00457636" w:rsidRPr="00B5782C">
        <w:rPr>
          <w:rFonts w:ascii="Times New Roman" w:hAnsi="Times New Roman" w:cs="Times New Roman"/>
        </w:rPr>
        <w:t xml:space="preserve"> €</w:t>
      </w:r>
      <w:r w:rsidRPr="00B5782C">
        <w:rPr>
          <w:rFonts w:ascii="Times New Roman" w:hAnsi="Times New Roman" w:cs="Times New Roman"/>
        </w:rPr>
        <w:t>, rashodi</w:t>
      </w:r>
      <w:r w:rsidR="00457636" w:rsidRPr="00B5782C">
        <w:rPr>
          <w:rFonts w:ascii="Times New Roman" w:hAnsi="Times New Roman" w:cs="Times New Roman"/>
        </w:rPr>
        <w:t xml:space="preserve"> </w:t>
      </w:r>
      <w:r w:rsidR="00B15FBB" w:rsidRPr="00B5782C">
        <w:rPr>
          <w:rFonts w:ascii="Times New Roman" w:hAnsi="Times New Roman" w:cs="Times New Roman"/>
        </w:rPr>
        <w:t>7.674,67</w:t>
      </w:r>
      <w:r w:rsidR="00457636" w:rsidRPr="00B5782C">
        <w:rPr>
          <w:rFonts w:ascii="Times New Roman" w:hAnsi="Times New Roman" w:cs="Times New Roman"/>
        </w:rPr>
        <w:t xml:space="preserve"> €</w:t>
      </w:r>
      <w:r w:rsidR="007C049B" w:rsidRPr="00B5782C">
        <w:rPr>
          <w:rFonts w:ascii="Times New Roman" w:hAnsi="Times New Roman" w:cs="Times New Roman"/>
        </w:rPr>
        <w:t xml:space="preserve"> te je uz preneseni (metodološki) manjak od </w:t>
      </w:r>
      <w:r w:rsidR="00B15FBB" w:rsidRPr="00B5782C">
        <w:rPr>
          <w:rFonts w:ascii="Times New Roman" w:hAnsi="Times New Roman" w:cs="Times New Roman"/>
        </w:rPr>
        <w:t xml:space="preserve">5.467,29 </w:t>
      </w:r>
      <w:r w:rsidR="00457636" w:rsidRPr="00B5782C">
        <w:rPr>
          <w:rFonts w:ascii="Times New Roman" w:hAnsi="Times New Roman" w:cs="Times New Roman"/>
        </w:rPr>
        <w:t>€</w:t>
      </w:r>
      <w:r w:rsidR="00B15FBB" w:rsidRPr="00B5782C">
        <w:rPr>
          <w:rFonts w:ascii="Times New Roman" w:hAnsi="Times New Roman" w:cs="Times New Roman"/>
        </w:rPr>
        <w:t xml:space="preserve"> saldo </w:t>
      </w:r>
      <w:r w:rsidR="007C049B" w:rsidRPr="00B5782C">
        <w:rPr>
          <w:rFonts w:ascii="Times New Roman" w:hAnsi="Times New Roman" w:cs="Times New Roman"/>
        </w:rPr>
        <w:t xml:space="preserve">na </w:t>
      </w:r>
      <w:r w:rsidR="009A1729" w:rsidRPr="00B5782C">
        <w:rPr>
          <w:rFonts w:ascii="Times New Roman" w:hAnsi="Times New Roman" w:cs="Times New Roman"/>
        </w:rPr>
        <w:t xml:space="preserve">kraju godine </w:t>
      </w:r>
      <w:r w:rsidR="00B15FBB" w:rsidRPr="00B5782C">
        <w:rPr>
          <w:rFonts w:ascii="Times New Roman" w:hAnsi="Times New Roman" w:cs="Times New Roman"/>
        </w:rPr>
        <w:t>bio nula. Iskazani rashod odnosi se na energiju.</w:t>
      </w:r>
    </w:p>
    <w:p w14:paraId="54BA9709" w14:textId="48FED8A9" w:rsidR="004D433B" w:rsidRPr="00B5782C" w:rsidRDefault="004D433B" w:rsidP="0051295D">
      <w:pPr>
        <w:spacing w:after="0" w:line="240" w:lineRule="auto"/>
        <w:rPr>
          <w:rFonts w:ascii="Times New Roman" w:hAnsi="Times New Roman" w:cs="Times New Roman"/>
        </w:rPr>
      </w:pPr>
      <w:r w:rsidRPr="00B5782C">
        <w:rPr>
          <w:rFonts w:ascii="Times New Roman" w:hAnsi="Times New Roman" w:cs="Times New Roman"/>
        </w:rPr>
        <w:t xml:space="preserve">Drugi dio </w:t>
      </w:r>
      <w:r w:rsidR="00457636" w:rsidRPr="00B5782C">
        <w:rPr>
          <w:rFonts w:ascii="Times New Roman" w:hAnsi="Times New Roman" w:cs="Times New Roman"/>
        </w:rPr>
        <w:t>p</w:t>
      </w:r>
      <w:r w:rsidR="009D3A7F" w:rsidRPr="00B5782C">
        <w:rPr>
          <w:rFonts w:ascii="Times New Roman" w:hAnsi="Times New Roman" w:cs="Times New Roman"/>
        </w:rPr>
        <w:t>r</w:t>
      </w:r>
      <w:r w:rsidR="00457636" w:rsidRPr="00B5782C">
        <w:rPr>
          <w:rFonts w:ascii="Times New Roman" w:hAnsi="Times New Roman" w:cs="Times New Roman"/>
        </w:rPr>
        <w:t xml:space="preserve">ihoda od </w:t>
      </w:r>
      <w:r w:rsidRPr="00B5782C">
        <w:rPr>
          <w:rFonts w:ascii="Times New Roman" w:hAnsi="Times New Roman" w:cs="Times New Roman"/>
        </w:rPr>
        <w:t xml:space="preserve">sredstava decentralizacije, koje osnivač dobiva kao sredstva izravnanja, iskazan je kao pomoć s oznakom izvora I-40 na gradskoj riznici, iako je to za PK opći prihod kao i prethodni, iznosio je </w:t>
      </w:r>
      <w:r w:rsidR="00B15FBB" w:rsidRPr="00B5782C">
        <w:rPr>
          <w:rFonts w:ascii="Times New Roman" w:hAnsi="Times New Roman" w:cs="Times New Roman"/>
        </w:rPr>
        <w:t>73.734,36</w:t>
      </w:r>
      <w:r w:rsidR="00457636" w:rsidRPr="00B5782C">
        <w:rPr>
          <w:rFonts w:ascii="Times New Roman" w:hAnsi="Times New Roman" w:cs="Times New Roman"/>
        </w:rPr>
        <w:t xml:space="preserve"> €.</w:t>
      </w:r>
      <w:r w:rsidRPr="00B5782C">
        <w:rPr>
          <w:rFonts w:ascii="Times New Roman" w:hAnsi="Times New Roman" w:cs="Times New Roman"/>
        </w:rPr>
        <w:t xml:space="preserve"> Pošto su rashodi </w:t>
      </w:r>
      <w:r w:rsidR="00B15FBB" w:rsidRPr="00B5782C">
        <w:rPr>
          <w:rFonts w:ascii="Times New Roman" w:hAnsi="Times New Roman" w:cs="Times New Roman"/>
        </w:rPr>
        <w:t>iznosili 79.073,30</w:t>
      </w:r>
      <w:r w:rsidR="00457636" w:rsidRPr="00B5782C">
        <w:rPr>
          <w:rFonts w:ascii="Times New Roman" w:hAnsi="Times New Roman" w:cs="Times New Roman"/>
        </w:rPr>
        <w:t xml:space="preserve"> €</w:t>
      </w:r>
      <w:r w:rsidR="00CA087A" w:rsidRPr="00B5782C">
        <w:rPr>
          <w:rFonts w:ascii="Times New Roman" w:hAnsi="Times New Roman" w:cs="Times New Roman"/>
        </w:rPr>
        <w:t xml:space="preserve"> to je</w:t>
      </w:r>
      <w:r w:rsidR="00457636" w:rsidRPr="00B5782C">
        <w:rPr>
          <w:rFonts w:ascii="Times New Roman" w:hAnsi="Times New Roman" w:cs="Times New Roman"/>
        </w:rPr>
        <w:t xml:space="preserve">, uz </w:t>
      </w:r>
      <w:r w:rsidR="00CA087A" w:rsidRPr="00B5782C">
        <w:rPr>
          <w:rFonts w:ascii="Times New Roman" w:hAnsi="Times New Roman" w:cs="Times New Roman"/>
        </w:rPr>
        <w:t>pre</w:t>
      </w:r>
      <w:r w:rsidR="00457636" w:rsidRPr="00B5782C">
        <w:rPr>
          <w:rFonts w:ascii="Times New Roman" w:hAnsi="Times New Roman" w:cs="Times New Roman"/>
        </w:rPr>
        <w:t>neseni</w:t>
      </w:r>
      <w:r w:rsidR="00CA087A" w:rsidRPr="00B5782C">
        <w:rPr>
          <w:rFonts w:ascii="Times New Roman" w:hAnsi="Times New Roman" w:cs="Times New Roman"/>
        </w:rPr>
        <w:t xml:space="preserve"> metodološki manjak od </w:t>
      </w:r>
      <w:r w:rsidR="00B15FBB" w:rsidRPr="00B5782C">
        <w:rPr>
          <w:rFonts w:ascii="Times New Roman" w:hAnsi="Times New Roman" w:cs="Times New Roman"/>
        </w:rPr>
        <w:t>2.646,47</w:t>
      </w:r>
      <w:r w:rsidR="00457636" w:rsidRPr="00B5782C">
        <w:rPr>
          <w:rFonts w:ascii="Times New Roman" w:hAnsi="Times New Roman" w:cs="Times New Roman"/>
        </w:rPr>
        <w:t xml:space="preserve"> €, </w:t>
      </w:r>
      <w:r w:rsidR="00925390" w:rsidRPr="00B5782C">
        <w:rPr>
          <w:rFonts w:ascii="Times New Roman" w:hAnsi="Times New Roman" w:cs="Times New Roman"/>
        </w:rPr>
        <w:t xml:space="preserve">iskazan </w:t>
      </w:r>
      <w:r w:rsidR="00457636" w:rsidRPr="00B5782C">
        <w:rPr>
          <w:rFonts w:ascii="Times New Roman" w:hAnsi="Times New Roman" w:cs="Times New Roman"/>
        </w:rPr>
        <w:t>manjak</w:t>
      </w:r>
      <w:r w:rsidR="00685DD5" w:rsidRPr="00B5782C">
        <w:rPr>
          <w:rFonts w:ascii="Times New Roman" w:hAnsi="Times New Roman" w:cs="Times New Roman"/>
        </w:rPr>
        <w:t xml:space="preserve"> </w:t>
      </w:r>
      <w:r w:rsidR="00925390" w:rsidRPr="00B5782C">
        <w:rPr>
          <w:rFonts w:ascii="Times New Roman" w:hAnsi="Times New Roman" w:cs="Times New Roman"/>
        </w:rPr>
        <w:t>od</w:t>
      </w:r>
      <w:r w:rsidR="00457636" w:rsidRPr="00B5782C">
        <w:rPr>
          <w:rFonts w:ascii="Times New Roman" w:hAnsi="Times New Roman" w:cs="Times New Roman"/>
        </w:rPr>
        <w:t xml:space="preserve"> </w:t>
      </w:r>
      <w:r w:rsidR="00B15FBB" w:rsidRPr="00B5782C">
        <w:rPr>
          <w:rFonts w:ascii="Times New Roman" w:hAnsi="Times New Roman" w:cs="Times New Roman"/>
        </w:rPr>
        <w:t>7.985,41</w:t>
      </w:r>
      <w:r w:rsidR="00457636" w:rsidRPr="00B5782C">
        <w:rPr>
          <w:rFonts w:ascii="Times New Roman" w:hAnsi="Times New Roman" w:cs="Times New Roman"/>
        </w:rPr>
        <w:t xml:space="preserve"> €</w:t>
      </w:r>
      <w:r w:rsidR="00685DD5" w:rsidRPr="00B5782C">
        <w:rPr>
          <w:rFonts w:ascii="Times New Roman" w:hAnsi="Times New Roman" w:cs="Times New Roman"/>
        </w:rPr>
        <w:t xml:space="preserve"> na kraju godine.</w:t>
      </w:r>
    </w:p>
    <w:p w14:paraId="0354167A" w14:textId="77777777" w:rsidR="003F505E" w:rsidRPr="00600BC3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27FE2A1A" w14:textId="5D81DB5F" w:rsidR="002E4258" w:rsidRPr="00600BC3" w:rsidRDefault="007C049B" w:rsidP="0051295D">
      <w:pPr>
        <w:spacing w:after="0" w:line="240" w:lineRule="auto"/>
        <w:rPr>
          <w:rFonts w:ascii="Times New Roman" w:hAnsi="Times New Roman" w:cs="Times New Roman"/>
        </w:rPr>
      </w:pPr>
      <w:r w:rsidRPr="00600BC3">
        <w:rPr>
          <w:rFonts w:ascii="Times New Roman" w:hAnsi="Times New Roman" w:cs="Times New Roman"/>
        </w:rPr>
        <w:t>Vlastiti prihodi ostvareni su od prodaje</w:t>
      </w:r>
      <w:r w:rsidR="0035766A" w:rsidRPr="00600BC3">
        <w:rPr>
          <w:rFonts w:ascii="Times New Roman" w:hAnsi="Times New Roman" w:cs="Times New Roman"/>
        </w:rPr>
        <w:t xml:space="preserve"> proizvoda i</w:t>
      </w:r>
      <w:r w:rsidRPr="00600BC3">
        <w:rPr>
          <w:rFonts w:ascii="Times New Roman" w:hAnsi="Times New Roman" w:cs="Times New Roman"/>
        </w:rPr>
        <w:t xml:space="preserve"> robe u visini od </w:t>
      </w:r>
      <w:r w:rsidR="00B5782C" w:rsidRPr="00600BC3">
        <w:rPr>
          <w:rFonts w:ascii="Times New Roman" w:hAnsi="Times New Roman" w:cs="Times New Roman"/>
        </w:rPr>
        <w:t>1.270,65</w:t>
      </w:r>
      <w:r w:rsidR="00D61AED" w:rsidRPr="00600BC3">
        <w:rPr>
          <w:rFonts w:ascii="Times New Roman" w:hAnsi="Times New Roman" w:cs="Times New Roman"/>
        </w:rPr>
        <w:t xml:space="preserve"> €</w:t>
      </w:r>
      <w:r w:rsidRPr="00600BC3">
        <w:rPr>
          <w:rFonts w:ascii="Times New Roman" w:hAnsi="Times New Roman" w:cs="Times New Roman"/>
        </w:rPr>
        <w:t xml:space="preserve"> i od pruženih usluga (prostorije dane u zakup) </w:t>
      </w:r>
      <w:r w:rsidR="00B5782C" w:rsidRPr="00600BC3">
        <w:rPr>
          <w:rFonts w:ascii="Times New Roman" w:hAnsi="Times New Roman" w:cs="Times New Roman"/>
        </w:rPr>
        <w:t>497,70</w:t>
      </w:r>
      <w:r w:rsidR="00D61AED" w:rsidRPr="00600BC3">
        <w:rPr>
          <w:rFonts w:ascii="Times New Roman" w:hAnsi="Times New Roman" w:cs="Times New Roman"/>
        </w:rPr>
        <w:t xml:space="preserve"> €</w:t>
      </w:r>
      <w:r w:rsidRPr="00600BC3">
        <w:rPr>
          <w:rFonts w:ascii="Times New Roman" w:hAnsi="Times New Roman" w:cs="Times New Roman"/>
        </w:rPr>
        <w:t>. Od tih sredstava izvršeni su rashodi od</w:t>
      </w:r>
      <w:r w:rsidR="00685DD5" w:rsidRPr="00600BC3">
        <w:rPr>
          <w:rFonts w:ascii="Times New Roman" w:hAnsi="Times New Roman" w:cs="Times New Roman"/>
        </w:rPr>
        <w:t xml:space="preserve"> </w:t>
      </w:r>
      <w:r w:rsidR="00B5782C" w:rsidRPr="00600BC3">
        <w:rPr>
          <w:rFonts w:ascii="Times New Roman" w:hAnsi="Times New Roman" w:cs="Times New Roman"/>
        </w:rPr>
        <w:t>1.728,37</w:t>
      </w:r>
      <w:r w:rsidR="00D61AED" w:rsidRPr="00600BC3">
        <w:rPr>
          <w:rFonts w:ascii="Times New Roman" w:hAnsi="Times New Roman" w:cs="Times New Roman"/>
        </w:rPr>
        <w:t xml:space="preserve"> €</w:t>
      </w:r>
      <w:r w:rsidR="0094239E" w:rsidRPr="00600BC3">
        <w:rPr>
          <w:rFonts w:ascii="Times New Roman" w:hAnsi="Times New Roman" w:cs="Times New Roman"/>
        </w:rPr>
        <w:t>, pa je</w:t>
      </w:r>
      <w:r w:rsidR="00D61AED" w:rsidRPr="00600BC3">
        <w:rPr>
          <w:rFonts w:ascii="Times New Roman" w:hAnsi="Times New Roman" w:cs="Times New Roman"/>
        </w:rPr>
        <w:t xml:space="preserve"> tako,</w:t>
      </w:r>
      <w:r w:rsidR="0094239E" w:rsidRPr="00600BC3">
        <w:rPr>
          <w:rFonts w:ascii="Times New Roman" w:hAnsi="Times New Roman" w:cs="Times New Roman"/>
        </w:rPr>
        <w:t xml:space="preserve"> uz preneseni višak</w:t>
      </w:r>
      <w:r w:rsidR="000E36C0" w:rsidRPr="00600BC3">
        <w:rPr>
          <w:rFonts w:ascii="Times New Roman" w:hAnsi="Times New Roman" w:cs="Times New Roman"/>
        </w:rPr>
        <w:t xml:space="preserve"> prihoda</w:t>
      </w:r>
      <w:r w:rsidR="0094239E" w:rsidRPr="00600BC3">
        <w:rPr>
          <w:rFonts w:ascii="Times New Roman" w:hAnsi="Times New Roman" w:cs="Times New Roman"/>
        </w:rPr>
        <w:t xml:space="preserve"> od</w:t>
      </w:r>
      <w:r w:rsidR="00B5782C" w:rsidRPr="00600BC3">
        <w:rPr>
          <w:rFonts w:ascii="Times New Roman" w:hAnsi="Times New Roman" w:cs="Times New Roman"/>
        </w:rPr>
        <w:t xml:space="preserve"> 5.085,88</w:t>
      </w:r>
      <w:r w:rsidR="00D61AED" w:rsidRPr="00600BC3">
        <w:rPr>
          <w:rFonts w:ascii="Times New Roman" w:hAnsi="Times New Roman" w:cs="Times New Roman"/>
        </w:rPr>
        <w:t xml:space="preserve"> €,</w:t>
      </w:r>
      <w:r w:rsidR="0094239E" w:rsidRPr="00600BC3">
        <w:rPr>
          <w:rFonts w:ascii="Times New Roman" w:hAnsi="Times New Roman" w:cs="Times New Roman"/>
        </w:rPr>
        <w:t xml:space="preserve"> rezultat </w:t>
      </w:r>
      <w:r w:rsidR="00D61AED" w:rsidRPr="00600BC3">
        <w:rPr>
          <w:rFonts w:ascii="Times New Roman" w:hAnsi="Times New Roman" w:cs="Times New Roman"/>
        </w:rPr>
        <w:t xml:space="preserve">na </w:t>
      </w:r>
      <w:r w:rsidR="00685DD5" w:rsidRPr="00600BC3">
        <w:rPr>
          <w:rFonts w:ascii="Times New Roman" w:hAnsi="Times New Roman" w:cs="Times New Roman"/>
        </w:rPr>
        <w:t>kraju godine</w:t>
      </w:r>
      <w:r w:rsidR="00D61AED" w:rsidRPr="00600BC3">
        <w:rPr>
          <w:rFonts w:ascii="Times New Roman" w:hAnsi="Times New Roman" w:cs="Times New Roman"/>
        </w:rPr>
        <w:t xml:space="preserve"> višak od </w:t>
      </w:r>
      <w:r w:rsidR="00B5782C" w:rsidRPr="00600BC3">
        <w:rPr>
          <w:rFonts w:ascii="Times New Roman" w:hAnsi="Times New Roman" w:cs="Times New Roman"/>
        </w:rPr>
        <w:t>5.125,86</w:t>
      </w:r>
      <w:r w:rsidR="00D61AED" w:rsidRPr="00600BC3">
        <w:rPr>
          <w:rFonts w:ascii="Times New Roman" w:hAnsi="Times New Roman" w:cs="Times New Roman"/>
        </w:rPr>
        <w:t xml:space="preserve"> €.</w:t>
      </w:r>
    </w:p>
    <w:p w14:paraId="2C7B7B8F" w14:textId="77777777" w:rsidR="003F505E" w:rsidRPr="00AA02F8" w:rsidRDefault="003F505E" w:rsidP="0051295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5CA1F19F" w14:textId="60084B6F" w:rsidR="007325AA" w:rsidRPr="00CE4F24" w:rsidRDefault="00F724AD" w:rsidP="0051295D">
      <w:pPr>
        <w:spacing w:after="0" w:line="240" w:lineRule="auto"/>
        <w:rPr>
          <w:rFonts w:ascii="Times New Roman" w:hAnsi="Times New Roman" w:cs="Times New Roman"/>
        </w:rPr>
      </w:pPr>
      <w:r w:rsidRPr="00CE4F24">
        <w:rPr>
          <w:rFonts w:ascii="Times New Roman" w:hAnsi="Times New Roman" w:cs="Times New Roman"/>
        </w:rPr>
        <w:t>Prihodi za posebne namjene</w:t>
      </w:r>
      <w:r w:rsidR="00A8568E" w:rsidRPr="00CE4F24">
        <w:rPr>
          <w:rFonts w:ascii="Times New Roman" w:hAnsi="Times New Roman" w:cs="Times New Roman"/>
        </w:rPr>
        <w:t xml:space="preserve"> su</w:t>
      </w:r>
      <w:r w:rsidR="007325AA" w:rsidRPr="00CE4F24">
        <w:rPr>
          <w:rFonts w:ascii="Times New Roman" w:hAnsi="Times New Roman" w:cs="Times New Roman"/>
        </w:rPr>
        <w:t xml:space="preserve"> od sufinanciranja </w:t>
      </w:r>
      <w:r w:rsidR="00F5136F" w:rsidRPr="00CE4F24">
        <w:rPr>
          <w:rFonts w:ascii="Times New Roman" w:hAnsi="Times New Roman" w:cs="Times New Roman"/>
        </w:rPr>
        <w:t xml:space="preserve">polaska vrtića, </w:t>
      </w:r>
      <w:r w:rsidR="007325AA" w:rsidRPr="00CE4F24">
        <w:rPr>
          <w:rFonts w:ascii="Times New Roman" w:hAnsi="Times New Roman" w:cs="Times New Roman"/>
        </w:rPr>
        <w:t>šk</w:t>
      </w:r>
      <w:r w:rsidR="008F1943" w:rsidRPr="00CE4F24">
        <w:rPr>
          <w:rFonts w:ascii="Times New Roman" w:hAnsi="Times New Roman" w:cs="Times New Roman"/>
        </w:rPr>
        <w:t xml:space="preserve">olske </w:t>
      </w:r>
      <w:r w:rsidR="007325AA" w:rsidRPr="00CE4F24">
        <w:rPr>
          <w:rFonts w:ascii="Times New Roman" w:hAnsi="Times New Roman" w:cs="Times New Roman"/>
        </w:rPr>
        <w:t>prehrane</w:t>
      </w:r>
      <w:r w:rsidR="00F5136F" w:rsidRPr="00CE4F24">
        <w:rPr>
          <w:rFonts w:ascii="Times New Roman" w:hAnsi="Times New Roman" w:cs="Times New Roman"/>
        </w:rPr>
        <w:t xml:space="preserve"> i </w:t>
      </w:r>
      <w:r w:rsidR="00A02DAD">
        <w:rPr>
          <w:rFonts w:ascii="Times New Roman" w:hAnsi="Times New Roman" w:cs="Times New Roman"/>
        </w:rPr>
        <w:t xml:space="preserve">uplata korisnika </w:t>
      </w:r>
      <w:r w:rsidR="00F5136F" w:rsidRPr="00CE4F24">
        <w:rPr>
          <w:rFonts w:ascii="Times New Roman" w:hAnsi="Times New Roman" w:cs="Times New Roman"/>
        </w:rPr>
        <w:t>usluge rane razvojne podrške i</w:t>
      </w:r>
      <w:r w:rsidR="007325AA" w:rsidRPr="00CE4F24">
        <w:rPr>
          <w:rFonts w:ascii="Times New Roman" w:hAnsi="Times New Roman" w:cs="Times New Roman"/>
        </w:rPr>
        <w:t xml:space="preserve"> </w:t>
      </w:r>
      <w:r w:rsidR="00A8568E" w:rsidRPr="00CE4F24">
        <w:rPr>
          <w:rFonts w:ascii="Times New Roman" w:hAnsi="Times New Roman" w:cs="Times New Roman"/>
        </w:rPr>
        <w:t>iznosili</w:t>
      </w:r>
      <w:r w:rsidR="007325AA" w:rsidRPr="00CE4F24">
        <w:rPr>
          <w:rFonts w:ascii="Times New Roman" w:hAnsi="Times New Roman" w:cs="Times New Roman"/>
        </w:rPr>
        <w:t xml:space="preserve"> su</w:t>
      </w:r>
      <w:r w:rsidR="00A8568E" w:rsidRPr="00CE4F24">
        <w:rPr>
          <w:rFonts w:ascii="Times New Roman" w:hAnsi="Times New Roman" w:cs="Times New Roman"/>
        </w:rPr>
        <w:t xml:space="preserve"> </w:t>
      </w:r>
      <w:r w:rsidR="008E1ECD" w:rsidRPr="00CE4F24">
        <w:rPr>
          <w:rFonts w:ascii="Times New Roman" w:hAnsi="Times New Roman" w:cs="Times New Roman"/>
        </w:rPr>
        <w:t>ukupno</w:t>
      </w:r>
      <w:r w:rsidR="00C916E4" w:rsidRPr="00CE4F24">
        <w:rPr>
          <w:rFonts w:ascii="Times New Roman" w:hAnsi="Times New Roman" w:cs="Times New Roman"/>
        </w:rPr>
        <w:t xml:space="preserve"> </w:t>
      </w:r>
      <w:r w:rsidR="008E1ECD" w:rsidRPr="00CE4F24">
        <w:rPr>
          <w:rFonts w:ascii="Times New Roman" w:hAnsi="Times New Roman" w:cs="Times New Roman"/>
        </w:rPr>
        <w:t>1</w:t>
      </w:r>
      <w:r w:rsidR="006B3B12" w:rsidRPr="00CE4F24">
        <w:rPr>
          <w:rFonts w:ascii="Times New Roman" w:hAnsi="Times New Roman" w:cs="Times New Roman"/>
        </w:rPr>
        <w:t>2.674,01</w:t>
      </w:r>
      <w:r w:rsidR="00B43F35" w:rsidRPr="00CE4F24">
        <w:rPr>
          <w:rFonts w:ascii="Times New Roman" w:hAnsi="Times New Roman" w:cs="Times New Roman"/>
        </w:rPr>
        <w:t xml:space="preserve"> €,</w:t>
      </w:r>
      <w:r w:rsidR="007325AA" w:rsidRPr="00CE4F24">
        <w:rPr>
          <w:rFonts w:ascii="Times New Roman" w:hAnsi="Times New Roman" w:cs="Times New Roman"/>
        </w:rPr>
        <w:t xml:space="preserve"> a rashodi </w:t>
      </w:r>
      <w:r w:rsidR="006B3B12" w:rsidRPr="00CE4F24">
        <w:rPr>
          <w:rFonts w:ascii="Times New Roman" w:hAnsi="Times New Roman" w:cs="Times New Roman"/>
        </w:rPr>
        <w:t>8.022,91</w:t>
      </w:r>
      <w:r w:rsidR="00B43F35" w:rsidRPr="00CE4F24">
        <w:rPr>
          <w:rFonts w:ascii="Times New Roman" w:hAnsi="Times New Roman" w:cs="Times New Roman"/>
        </w:rPr>
        <w:t xml:space="preserve"> €</w:t>
      </w:r>
      <w:r w:rsidR="00C6074D" w:rsidRPr="00CE4F24">
        <w:rPr>
          <w:rFonts w:ascii="Times New Roman" w:hAnsi="Times New Roman" w:cs="Times New Roman"/>
        </w:rPr>
        <w:t>.</w:t>
      </w:r>
      <w:r w:rsidR="008F1943" w:rsidRPr="00CE4F24">
        <w:rPr>
          <w:rFonts w:ascii="Times New Roman" w:hAnsi="Times New Roman" w:cs="Times New Roman"/>
        </w:rPr>
        <w:t xml:space="preserve"> </w:t>
      </w:r>
      <w:r w:rsidR="00C6074D" w:rsidRPr="00CE4F24">
        <w:rPr>
          <w:rFonts w:ascii="Times New Roman" w:hAnsi="Times New Roman" w:cs="Times New Roman"/>
        </w:rPr>
        <w:t xml:space="preserve">Ukupno je </w:t>
      </w:r>
      <w:r w:rsidR="00B43F35" w:rsidRPr="00CE4F24">
        <w:rPr>
          <w:rFonts w:ascii="Times New Roman" w:hAnsi="Times New Roman" w:cs="Times New Roman"/>
        </w:rPr>
        <w:t xml:space="preserve">na ovom izvoru </w:t>
      </w:r>
      <w:r w:rsidR="00C6074D" w:rsidRPr="00CE4F24">
        <w:rPr>
          <w:rFonts w:ascii="Times New Roman" w:hAnsi="Times New Roman" w:cs="Times New Roman"/>
        </w:rPr>
        <w:t xml:space="preserve">došlo do povećanja prenesenog viška na </w:t>
      </w:r>
      <w:r w:rsidR="006B3B12" w:rsidRPr="00CE4F24">
        <w:rPr>
          <w:rFonts w:ascii="Times New Roman" w:hAnsi="Times New Roman" w:cs="Times New Roman"/>
        </w:rPr>
        <w:t>8.026,62</w:t>
      </w:r>
      <w:r w:rsidR="004D6D1C" w:rsidRPr="00CE4F24">
        <w:rPr>
          <w:rFonts w:ascii="Times New Roman" w:hAnsi="Times New Roman" w:cs="Times New Roman"/>
        </w:rPr>
        <w:t xml:space="preserve"> €.</w:t>
      </w:r>
    </w:p>
    <w:p w14:paraId="64F4C2B4" w14:textId="77777777" w:rsidR="003F505E" w:rsidRPr="00AA02F8" w:rsidRDefault="003F505E" w:rsidP="0051295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41B9B615" w14:textId="630183F0" w:rsidR="00210033" w:rsidRPr="00CE4F24" w:rsidRDefault="00BF1EFC" w:rsidP="0051295D">
      <w:pPr>
        <w:spacing w:after="0" w:line="240" w:lineRule="auto"/>
        <w:rPr>
          <w:rFonts w:ascii="Times New Roman" w:hAnsi="Times New Roman" w:cs="Times New Roman"/>
        </w:rPr>
      </w:pPr>
      <w:r w:rsidRPr="00CE4F24">
        <w:rPr>
          <w:rFonts w:ascii="Times New Roman" w:hAnsi="Times New Roman" w:cs="Times New Roman"/>
        </w:rPr>
        <w:t>Izvor Pomoći unutar općeg proračuna – Grad, I-41</w:t>
      </w:r>
      <w:r w:rsidR="00210033" w:rsidRPr="00CE4F24">
        <w:rPr>
          <w:rFonts w:ascii="Times New Roman" w:hAnsi="Times New Roman" w:cs="Times New Roman"/>
        </w:rPr>
        <w:t>2</w:t>
      </w:r>
      <w:r w:rsidRPr="00CE4F24">
        <w:rPr>
          <w:rFonts w:ascii="Times New Roman" w:hAnsi="Times New Roman" w:cs="Times New Roman"/>
        </w:rPr>
        <w:t>, odnosi se na nacionalno sufinanciranj</w:t>
      </w:r>
      <w:r w:rsidR="00210033" w:rsidRPr="00CE4F24">
        <w:rPr>
          <w:rFonts w:ascii="Times New Roman" w:hAnsi="Times New Roman" w:cs="Times New Roman"/>
        </w:rPr>
        <w:t xml:space="preserve">e </w:t>
      </w:r>
      <w:r w:rsidR="00A65E60" w:rsidRPr="00CE4F24">
        <w:rPr>
          <w:rFonts w:ascii="Times New Roman" w:hAnsi="Times New Roman" w:cs="Times New Roman"/>
        </w:rPr>
        <w:t xml:space="preserve">školske sheme voća i </w:t>
      </w:r>
      <w:r w:rsidR="005D3942" w:rsidRPr="00CE4F24">
        <w:rPr>
          <w:rFonts w:ascii="Times New Roman" w:hAnsi="Times New Roman" w:cs="Times New Roman"/>
        </w:rPr>
        <w:t>povrća</w:t>
      </w:r>
      <w:r w:rsidR="00031A34" w:rsidRPr="00CE4F24">
        <w:rPr>
          <w:rFonts w:ascii="Times New Roman" w:hAnsi="Times New Roman" w:cs="Times New Roman"/>
        </w:rPr>
        <w:t xml:space="preserve"> </w:t>
      </w:r>
      <w:r w:rsidR="00210033" w:rsidRPr="00CE4F24">
        <w:rPr>
          <w:rFonts w:ascii="Times New Roman" w:hAnsi="Times New Roman" w:cs="Times New Roman"/>
        </w:rPr>
        <w:t>i po toj osnovi je prihodovano</w:t>
      </w:r>
      <w:r w:rsidR="00CE4F24" w:rsidRPr="00CE4F24">
        <w:rPr>
          <w:rFonts w:ascii="Times New Roman" w:hAnsi="Times New Roman" w:cs="Times New Roman"/>
        </w:rPr>
        <w:t xml:space="preserve"> 558,93</w:t>
      </w:r>
      <w:r w:rsidR="005D3942" w:rsidRPr="00CE4F24">
        <w:rPr>
          <w:rFonts w:ascii="Times New Roman" w:hAnsi="Times New Roman" w:cs="Times New Roman"/>
        </w:rPr>
        <w:t xml:space="preserve"> €</w:t>
      </w:r>
      <w:r w:rsidR="00210033" w:rsidRPr="00CE4F24">
        <w:rPr>
          <w:rFonts w:ascii="Times New Roman" w:hAnsi="Times New Roman" w:cs="Times New Roman"/>
        </w:rPr>
        <w:t xml:space="preserve"> </w:t>
      </w:r>
      <w:r w:rsidR="005D3942" w:rsidRPr="00CE4F24">
        <w:rPr>
          <w:rFonts w:ascii="Times New Roman" w:hAnsi="Times New Roman" w:cs="Times New Roman"/>
        </w:rPr>
        <w:t xml:space="preserve">prema istom iznosu izvršenog </w:t>
      </w:r>
      <w:r w:rsidR="00210033" w:rsidRPr="00CE4F24">
        <w:rPr>
          <w:rFonts w:ascii="Times New Roman" w:hAnsi="Times New Roman" w:cs="Times New Roman"/>
        </w:rPr>
        <w:t>rashod</w:t>
      </w:r>
      <w:r w:rsidR="005D3942" w:rsidRPr="00CE4F24">
        <w:rPr>
          <w:rFonts w:ascii="Times New Roman" w:hAnsi="Times New Roman" w:cs="Times New Roman"/>
        </w:rPr>
        <w:t>a, tako da je rezultat sučeljavanja nula, s obzirom da nije bilo prenesenog viška/manjka.</w:t>
      </w:r>
    </w:p>
    <w:p w14:paraId="7CCACCD7" w14:textId="77777777" w:rsidR="00F3220C" w:rsidRPr="00AA02F8" w:rsidRDefault="00F3220C" w:rsidP="0051295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06F5010C" w14:textId="5CD8D51F" w:rsidR="00BF1EFC" w:rsidRPr="008C5951" w:rsidRDefault="0086051D" w:rsidP="0051295D">
      <w:pPr>
        <w:spacing w:after="0" w:line="240" w:lineRule="auto"/>
        <w:rPr>
          <w:rFonts w:ascii="Times New Roman" w:hAnsi="Times New Roman" w:cs="Times New Roman"/>
        </w:rPr>
      </w:pPr>
      <w:r w:rsidRPr="008C5951">
        <w:rPr>
          <w:rFonts w:ascii="Times New Roman" w:hAnsi="Times New Roman" w:cs="Times New Roman"/>
        </w:rPr>
        <w:t>Za projekt Odjek V</w:t>
      </w:r>
      <w:r w:rsidR="00F725BC" w:rsidRPr="008C5951">
        <w:rPr>
          <w:rFonts w:ascii="Times New Roman" w:hAnsi="Times New Roman" w:cs="Times New Roman"/>
        </w:rPr>
        <w:t>I</w:t>
      </w:r>
      <w:r w:rsidRPr="008C5951">
        <w:rPr>
          <w:rFonts w:ascii="Times New Roman" w:hAnsi="Times New Roman" w:cs="Times New Roman"/>
        </w:rPr>
        <w:t xml:space="preserve"> za školsku godinu 202</w:t>
      </w:r>
      <w:r w:rsidR="00F725BC" w:rsidRPr="008C5951">
        <w:rPr>
          <w:rFonts w:ascii="Times New Roman" w:hAnsi="Times New Roman" w:cs="Times New Roman"/>
        </w:rPr>
        <w:t>3</w:t>
      </w:r>
      <w:r w:rsidRPr="008C5951">
        <w:rPr>
          <w:rFonts w:ascii="Times New Roman" w:hAnsi="Times New Roman" w:cs="Times New Roman"/>
        </w:rPr>
        <w:t>./202</w:t>
      </w:r>
      <w:r w:rsidR="00F725BC" w:rsidRPr="008C5951">
        <w:rPr>
          <w:rFonts w:ascii="Times New Roman" w:hAnsi="Times New Roman" w:cs="Times New Roman"/>
        </w:rPr>
        <w:t>4</w:t>
      </w:r>
      <w:r w:rsidRPr="008C5951">
        <w:rPr>
          <w:rFonts w:ascii="Times New Roman" w:hAnsi="Times New Roman" w:cs="Times New Roman"/>
        </w:rPr>
        <w:t xml:space="preserve">. na riznici je otvoren poseban </w:t>
      </w:r>
      <w:r w:rsidR="00210033" w:rsidRPr="008C5951">
        <w:rPr>
          <w:rFonts w:ascii="Times New Roman" w:hAnsi="Times New Roman" w:cs="Times New Roman"/>
        </w:rPr>
        <w:t>pod</w:t>
      </w:r>
      <w:r w:rsidRPr="008C5951">
        <w:rPr>
          <w:rFonts w:ascii="Times New Roman" w:hAnsi="Times New Roman" w:cs="Times New Roman"/>
        </w:rPr>
        <w:t>izvor s oznakom I-412</w:t>
      </w:r>
      <w:r w:rsidR="00F725BC" w:rsidRPr="008C5951">
        <w:rPr>
          <w:rFonts w:ascii="Times New Roman" w:hAnsi="Times New Roman" w:cs="Times New Roman"/>
        </w:rPr>
        <w:t>2</w:t>
      </w:r>
      <w:r w:rsidRPr="008C5951">
        <w:rPr>
          <w:rFonts w:ascii="Times New Roman" w:hAnsi="Times New Roman" w:cs="Times New Roman"/>
        </w:rPr>
        <w:t xml:space="preserve"> i po njemu je ostvareno</w:t>
      </w:r>
      <w:r w:rsidR="00210033" w:rsidRPr="008C5951">
        <w:rPr>
          <w:rFonts w:ascii="Times New Roman" w:hAnsi="Times New Roman" w:cs="Times New Roman"/>
        </w:rPr>
        <w:t xml:space="preserve"> </w:t>
      </w:r>
      <w:r w:rsidR="00F725BC" w:rsidRPr="008C5951">
        <w:rPr>
          <w:rFonts w:ascii="Times New Roman" w:hAnsi="Times New Roman" w:cs="Times New Roman"/>
        </w:rPr>
        <w:t>8.793,74</w:t>
      </w:r>
      <w:r w:rsidR="005D3942" w:rsidRPr="008C5951">
        <w:rPr>
          <w:rFonts w:ascii="Times New Roman" w:hAnsi="Times New Roman" w:cs="Times New Roman"/>
        </w:rPr>
        <w:t xml:space="preserve"> €</w:t>
      </w:r>
      <w:r w:rsidRPr="008C5951">
        <w:rPr>
          <w:rFonts w:ascii="Times New Roman" w:hAnsi="Times New Roman" w:cs="Times New Roman"/>
        </w:rPr>
        <w:t xml:space="preserve"> prihoda</w:t>
      </w:r>
      <w:r w:rsidR="009535B9" w:rsidRPr="008C5951">
        <w:rPr>
          <w:rFonts w:ascii="Times New Roman" w:hAnsi="Times New Roman" w:cs="Times New Roman"/>
        </w:rPr>
        <w:t xml:space="preserve">, </w:t>
      </w:r>
      <w:r w:rsidR="00210033" w:rsidRPr="008C5951">
        <w:rPr>
          <w:rFonts w:ascii="Times New Roman" w:hAnsi="Times New Roman" w:cs="Times New Roman"/>
        </w:rPr>
        <w:t>čime je,</w:t>
      </w:r>
      <w:r w:rsidR="009535B9" w:rsidRPr="008C5951">
        <w:rPr>
          <w:rFonts w:ascii="Times New Roman" w:hAnsi="Times New Roman" w:cs="Times New Roman"/>
        </w:rPr>
        <w:t xml:space="preserve"> uz izvršenje rashoda o</w:t>
      </w:r>
      <w:r w:rsidR="00F725BC" w:rsidRPr="008C5951">
        <w:rPr>
          <w:rFonts w:ascii="Times New Roman" w:hAnsi="Times New Roman" w:cs="Times New Roman"/>
        </w:rPr>
        <w:t>d 7.341,86</w:t>
      </w:r>
      <w:r w:rsidR="005D3942" w:rsidRPr="008C5951">
        <w:rPr>
          <w:rFonts w:ascii="Times New Roman" w:hAnsi="Times New Roman" w:cs="Times New Roman"/>
        </w:rPr>
        <w:t xml:space="preserve"> € i </w:t>
      </w:r>
      <w:r w:rsidR="00210033" w:rsidRPr="008C5951">
        <w:rPr>
          <w:rFonts w:ascii="Times New Roman" w:hAnsi="Times New Roman" w:cs="Times New Roman"/>
        </w:rPr>
        <w:t xml:space="preserve"> pokri</w:t>
      </w:r>
      <w:r w:rsidR="005D3942" w:rsidRPr="008C5951">
        <w:rPr>
          <w:rFonts w:ascii="Times New Roman" w:hAnsi="Times New Roman" w:cs="Times New Roman"/>
        </w:rPr>
        <w:t xml:space="preserve">će </w:t>
      </w:r>
      <w:r w:rsidR="00210033" w:rsidRPr="008C5951">
        <w:rPr>
          <w:rFonts w:ascii="Times New Roman" w:hAnsi="Times New Roman" w:cs="Times New Roman"/>
        </w:rPr>
        <w:t>prenesen</w:t>
      </w:r>
      <w:r w:rsidR="005D3942" w:rsidRPr="008C5951">
        <w:rPr>
          <w:rFonts w:ascii="Times New Roman" w:hAnsi="Times New Roman" w:cs="Times New Roman"/>
        </w:rPr>
        <w:t>og</w:t>
      </w:r>
      <w:r w:rsidR="00210033" w:rsidRPr="008C5951">
        <w:rPr>
          <w:rFonts w:ascii="Times New Roman" w:hAnsi="Times New Roman" w:cs="Times New Roman"/>
        </w:rPr>
        <w:t xml:space="preserve"> manj</w:t>
      </w:r>
      <w:r w:rsidR="005D3942" w:rsidRPr="008C5951">
        <w:rPr>
          <w:rFonts w:ascii="Times New Roman" w:hAnsi="Times New Roman" w:cs="Times New Roman"/>
        </w:rPr>
        <w:t>ka</w:t>
      </w:r>
      <w:r w:rsidR="00210033" w:rsidRPr="008C5951">
        <w:rPr>
          <w:rFonts w:ascii="Times New Roman" w:hAnsi="Times New Roman" w:cs="Times New Roman"/>
        </w:rPr>
        <w:t xml:space="preserve"> od </w:t>
      </w:r>
      <w:r w:rsidR="00F725BC" w:rsidRPr="008C5951">
        <w:rPr>
          <w:rFonts w:ascii="Times New Roman" w:hAnsi="Times New Roman" w:cs="Times New Roman"/>
        </w:rPr>
        <w:t>1.451,88 €</w:t>
      </w:r>
      <w:r w:rsidR="005D3942" w:rsidRPr="008C5951">
        <w:rPr>
          <w:rFonts w:ascii="Times New Roman" w:hAnsi="Times New Roman" w:cs="Times New Roman"/>
        </w:rPr>
        <w:t>,</w:t>
      </w:r>
      <w:r w:rsidR="00EF2F7A" w:rsidRPr="008C5951">
        <w:rPr>
          <w:rFonts w:ascii="Times New Roman" w:hAnsi="Times New Roman" w:cs="Times New Roman"/>
        </w:rPr>
        <w:t xml:space="preserve"> rezultat sveden na nulu.</w:t>
      </w:r>
    </w:p>
    <w:p w14:paraId="4B746E47" w14:textId="24996631" w:rsidR="00210033" w:rsidRPr="008C5951" w:rsidRDefault="00210033" w:rsidP="0051295D">
      <w:pPr>
        <w:spacing w:after="0" w:line="240" w:lineRule="auto"/>
        <w:rPr>
          <w:rFonts w:ascii="Times New Roman" w:hAnsi="Times New Roman" w:cs="Times New Roman"/>
        </w:rPr>
      </w:pPr>
      <w:r w:rsidRPr="008C5951">
        <w:rPr>
          <w:rFonts w:ascii="Times New Roman" w:hAnsi="Times New Roman" w:cs="Times New Roman"/>
        </w:rPr>
        <w:t>Za projekt Odjek V</w:t>
      </w:r>
      <w:r w:rsidR="008C7F47" w:rsidRPr="008C5951">
        <w:rPr>
          <w:rFonts w:ascii="Times New Roman" w:hAnsi="Times New Roman" w:cs="Times New Roman"/>
        </w:rPr>
        <w:t>I</w:t>
      </w:r>
      <w:r w:rsidR="00F725BC" w:rsidRPr="008C5951">
        <w:rPr>
          <w:rFonts w:ascii="Times New Roman" w:hAnsi="Times New Roman" w:cs="Times New Roman"/>
        </w:rPr>
        <w:t xml:space="preserve">I </w:t>
      </w:r>
      <w:r w:rsidRPr="008C5951">
        <w:rPr>
          <w:rFonts w:ascii="Times New Roman" w:hAnsi="Times New Roman" w:cs="Times New Roman"/>
        </w:rPr>
        <w:t xml:space="preserve"> za školsku godinu 202</w:t>
      </w:r>
      <w:r w:rsidR="00F725BC" w:rsidRPr="008C5951">
        <w:rPr>
          <w:rFonts w:ascii="Times New Roman" w:hAnsi="Times New Roman" w:cs="Times New Roman"/>
        </w:rPr>
        <w:t>4</w:t>
      </w:r>
      <w:r w:rsidRPr="008C5951">
        <w:rPr>
          <w:rFonts w:ascii="Times New Roman" w:hAnsi="Times New Roman" w:cs="Times New Roman"/>
        </w:rPr>
        <w:t>./202</w:t>
      </w:r>
      <w:r w:rsidR="00F725BC" w:rsidRPr="008C5951">
        <w:rPr>
          <w:rFonts w:ascii="Times New Roman" w:hAnsi="Times New Roman" w:cs="Times New Roman"/>
        </w:rPr>
        <w:t>5</w:t>
      </w:r>
      <w:r w:rsidRPr="008C5951">
        <w:rPr>
          <w:rFonts w:ascii="Times New Roman" w:hAnsi="Times New Roman" w:cs="Times New Roman"/>
        </w:rPr>
        <w:t>. također je otvoren poseban podizvor I-412</w:t>
      </w:r>
      <w:r w:rsidR="00F725BC" w:rsidRPr="008C5951">
        <w:rPr>
          <w:rFonts w:ascii="Times New Roman" w:hAnsi="Times New Roman" w:cs="Times New Roman"/>
        </w:rPr>
        <w:t>3</w:t>
      </w:r>
      <w:r w:rsidRPr="008C5951">
        <w:rPr>
          <w:rFonts w:ascii="Times New Roman" w:hAnsi="Times New Roman" w:cs="Times New Roman"/>
        </w:rPr>
        <w:t xml:space="preserve"> gdje </w:t>
      </w:r>
      <w:r w:rsidR="00EF2F7A" w:rsidRPr="008C5951">
        <w:rPr>
          <w:rFonts w:ascii="Times New Roman" w:hAnsi="Times New Roman" w:cs="Times New Roman"/>
        </w:rPr>
        <w:t xml:space="preserve">su ostvareni prihodi od </w:t>
      </w:r>
      <w:r w:rsidR="00F725BC" w:rsidRPr="008C5951">
        <w:rPr>
          <w:rFonts w:ascii="Times New Roman" w:hAnsi="Times New Roman" w:cs="Times New Roman"/>
        </w:rPr>
        <w:t>5.541,40</w:t>
      </w:r>
      <w:r w:rsidR="00EF2F7A" w:rsidRPr="008C5951">
        <w:rPr>
          <w:rFonts w:ascii="Times New Roman" w:hAnsi="Times New Roman" w:cs="Times New Roman"/>
        </w:rPr>
        <w:t xml:space="preserve"> €, pa je uz izvršene rashode od </w:t>
      </w:r>
      <w:r w:rsidR="00F725BC" w:rsidRPr="008C5951">
        <w:rPr>
          <w:rFonts w:ascii="Times New Roman" w:hAnsi="Times New Roman" w:cs="Times New Roman"/>
        </w:rPr>
        <w:t>7.478,80</w:t>
      </w:r>
      <w:r w:rsidR="00EF2F7A" w:rsidRPr="008C5951">
        <w:rPr>
          <w:rFonts w:ascii="Times New Roman" w:hAnsi="Times New Roman" w:cs="Times New Roman"/>
        </w:rPr>
        <w:t xml:space="preserve"> € preostao (metodološki) manjak od </w:t>
      </w:r>
      <w:r w:rsidR="00F725BC" w:rsidRPr="008C5951">
        <w:rPr>
          <w:rFonts w:ascii="Times New Roman" w:hAnsi="Times New Roman" w:cs="Times New Roman"/>
        </w:rPr>
        <w:t>1.937,40</w:t>
      </w:r>
      <w:r w:rsidR="00EF2F7A" w:rsidRPr="008C5951">
        <w:rPr>
          <w:rFonts w:ascii="Times New Roman" w:hAnsi="Times New Roman" w:cs="Times New Roman"/>
        </w:rPr>
        <w:t xml:space="preserve"> €.</w:t>
      </w:r>
    </w:p>
    <w:p w14:paraId="16A103FC" w14:textId="77777777" w:rsidR="00F3220C" w:rsidRPr="008C5951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0035CFA7" w14:textId="0A2FB4C1" w:rsidR="00A8568E" w:rsidRPr="008C5951" w:rsidRDefault="00D429AA" w:rsidP="0051295D">
      <w:pPr>
        <w:spacing w:after="0" w:line="240" w:lineRule="auto"/>
        <w:rPr>
          <w:rFonts w:ascii="Times New Roman" w:hAnsi="Times New Roman" w:cs="Times New Roman"/>
        </w:rPr>
      </w:pPr>
      <w:r w:rsidRPr="008C5951">
        <w:rPr>
          <w:rFonts w:ascii="Times New Roman" w:hAnsi="Times New Roman" w:cs="Times New Roman"/>
        </w:rPr>
        <w:t>Izvor Pomoći unutar općeg proračuna – PK je sintetički, i obuhvaća podizvore I-42</w:t>
      </w:r>
      <w:r w:rsidR="00D10B4A" w:rsidRPr="008C5951">
        <w:rPr>
          <w:rFonts w:ascii="Times New Roman" w:hAnsi="Times New Roman" w:cs="Times New Roman"/>
        </w:rPr>
        <w:t>3</w:t>
      </w:r>
      <w:r w:rsidRPr="008C5951">
        <w:rPr>
          <w:rFonts w:ascii="Times New Roman" w:hAnsi="Times New Roman" w:cs="Times New Roman"/>
        </w:rPr>
        <w:t xml:space="preserve"> COP, I-482 Tekuće pomoći iz nenadležnih proračuna i I-483 Kapitalne pomoći iz nenadležnih proračuna. </w:t>
      </w:r>
    </w:p>
    <w:p w14:paraId="2B6BE62D" w14:textId="1CB78C57" w:rsidR="00A8568E" w:rsidRPr="008C5951" w:rsidRDefault="00D429AA" w:rsidP="0051295D">
      <w:pPr>
        <w:spacing w:after="0" w:line="240" w:lineRule="auto"/>
        <w:rPr>
          <w:rFonts w:ascii="Times New Roman" w:hAnsi="Times New Roman" w:cs="Times New Roman"/>
        </w:rPr>
      </w:pPr>
      <w:r w:rsidRPr="008C5951">
        <w:rPr>
          <w:rFonts w:ascii="Times New Roman" w:hAnsi="Times New Roman" w:cs="Times New Roman"/>
        </w:rPr>
        <w:t xml:space="preserve">Kod COP-a je prihod jednak rashodu i iznosi </w:t>
      </w:r>
      <w:r w:rsidR="00AF4651" w:rsidRPr="008C5951">
        <w:rPr>
          <w:rFonts w:ascii="Times New Roman" w:hAnsi="Times New Roman" w:cs="Times New Roman"/>
        </w:rPr>
        <w:t>1.028.189,80</w:t>
      </w:r>
      <w:r w:rsidR="00DD7EF7" w:rsidRPr="008C5951">
        <w:rPr>
          <w:rFonts w:ascii="Times New Roman" w:hAnsi="Times New Roman" w:cs="Times New Roman"/>
        </w:rPr>
        <w:t xml:space="preserve"> €</w:t>
      </w:r>
      <w:r w:rsidRPr="008C5951">
        <w:rPr>
          <w:rFonts w:ascii="Times New Roman" w:hAnsi="Times New Roman" w:cs="Times New Roman"/>
        </w:rPr>
        <w:t xml:space="preserve">. </w:t>
      </w:r>
    </w:p>
    <w:p w14:paraId="7F3EE550" w14:textId="263D05B2" w:rsidR="00362E24" w:rsidRPr="008C5951" w:rsidRDefault="00B732EB" w:rsidP="0051295D">
      <w:pPr>
        <w:spacing w:after="0" w:line="240" w:lineRule="auto"/>
        <w:rPr>
          <w:rFonts w:ascii="Times New Roman" w:hAnsi="Times New Roman" w:cs="Times New Roman"/>
        </w:rPr>
      </w:pPr>
      <w:r w:rsidRPr="008C5951">
        <w:rPr>
          <w:rFonts w:ascii="Times New Roman" w:hAnsi="Times New Roman" w:cs="Times New Roman"/>
        </w:rPr>
        <w:t>Prihod od tekućih pomoći, I-482, iznosio je</w:t>
      </w:r>
      <w:r w:rsidR="00314360" w:rsidRPr="008C5951">
        <w:rPr>
          <w:rFonts w:ascii="Times New Roman" w:hAnsi="Times New Roman" w:cs="Times New Roman"/>
        </w:rPr>
        <w:t xml:space="preserve"> </w:t>
      </w:r>
      <w:r w:rsidR="00AF4651" w:rsidRPr="008C5951">
        <w:rPr>
          <w:rFonts w:ascii="Times New Roman" w:hAnsi="Times New Roman" w:cs="Times New Roman"/>
        </w:rPr>
        <w:t>313.862,64</w:t>
      </w:r>
      <w:r w:rsidR="00E76B50" w:rsidRPr="008C5951">
        <w:rPr>
          <w:rFonts w:ascii="Times New Roman" w:hAnsi="Times New Roman" w:cs="Times New Roman"/>
        </w:rPr>
        <w:t xml:space="preserve"> €</w:t>
      </w:r>
      <w:r w:rsidRPr="008C5951">
        <w:rPr>
          <w:rFonts w:ascii="Times New Roman" w:hAnsi="Times New Roman" w:cs="Times New Roman"/>
        </w:rPr>
        <w:t>, rashod</w:t>
      </w:r>
      <w:r w:rsidR="00E56F69" w:rsidRPr="008C5951">
        <w:rPr>
          <w:rFonts w:ascii="Times New Roman" w:hAnsi="Times New Roman" w:cs="Times New Roman"/>
        </w:rPr>
        <w:t xml:space="preserve">i poslovanja </w:t>
      </w:r>
      <w:r w:rsidR="00314360" w:rsidRPr="008C5951">
        <w:rPr>
          <w:rFonts w:ascii="Times New Roman" w:hAnsi="Times New Roman" w:cs="Times New Roman"/>
        </w:rPr>
        <w:t>31</w:t>
      </w:r>
      <w:r w:rsidR="00AF4651" w:rsidRPr="008C5951">
        <w:rPr>
          <w:rFonts w:ascii="Times New Roman" w:hAnsi="Times New Roman" w:cs="Times New Roman"/>
        </w:rPr>
        <w:t>9.978,98</w:t>
      </w:r>
      <w:r w:rsidR="00E76B50" w:rsidRPr="008C5951">
        <w:rPr>
          <w:rFonts w:ascii="Times New Roman" w:hAnsi="Times New Roman" w:cs="Times New Roman"/>
        </w:rPr>
        <w:t xml:space="preserve"> €</w:t>
      </w:r>
      <w:r w:rsidR="00F23556" w:rsidRPr="008C5951">
        <w:rPr>
          <w:rFonts w:ascii="Times New Roman" w:hAnsi="Times New Roman" w:cs="Times New Roman"/>
        </w:rPr>
        <w:t>,</w:t>
      </w:r>
      <w:r w:rsidR="00E56F69" w:rsidRPr="008C5951">
        <w:rPr>
          <w:rFonts w:ascii="Times New Roman" w:hAnsi="Times New Roman" w:cs="Times New Roman"/>
        </w:rPr>
        <w:t xml:space="preserve"> pa je uz preneseni </w:t>
      </w:r>
      <w:r w:rsidR="00F23556" w:rsidRPr="008C5951">
        <w:rPr>
          <w:rFonts w:ascii="Times New Roman" w:hAnsi="Times New Roman" w:cs="Times New Roman"/>
        </w:rPr>
        <w:t xml:space="preserve">manjak od </w:t>
      </w:r>
      <w:r w:rsidR="00AF4651" w:rsidRPr="008C5951">
        <w:rPr>
          <w:rFonts w:ascii="Times New Roman" w:hAnsi="Times New Roman" w:cs="Times New Roman"/>
        </w:rPr>
        <w:t>955,6</w:t>
      </w:r>
      <w:r w:rsidR="008C5951" w:rsidRPr="008C5951">
        <w:rPr>
          <w:rFonts w:ascii="Times New Roman" w:hAnsi="Times New Roman" w:cs="Times New Roman"/>
        </w:rPr>
        <w:t>5</w:t>
      </w:r>
      <w:r w:rsidR="00E76B50" w:rsidRPr="008C5951">
        <w:rPr>
          <w:rFonts w:ascii="Times New Roman" w:hAnsi="Times New Roman" w:cs="Times New Roman"/>
        </w:rPr>
        <w:t xml:space="preserve"> €</w:t>
      </w:r>
      <w:r w:rsidR="00E56F69" w:rsidRPr="008C5951">
        <w:rPr>
          <w:rFonts w:ascii="Times New Roman" w:hAnsi="Times New Roman" w:cs="Times New Roman"/>
        </w:rPr>
        <w:t xml:space="preserve"> </w:t>
      </w:r>
      <w:r w:rsidR="00E76B50" w:rsidRPr="008C5951">
        <w:rPr>
          <w:rFonts w:ascii="Times New Roman" w:hAnsi="Times New Roman" w:cs="Times New Roman"/>
        </w:rPr>
        <w:t>godišnji</w:t>
      </w:r>
      <w:r w:rsidR="00E56F69" w:rsidRPr="008C5951">
        <w:rPr>
          <w:rFonts w:ascii="Times New Roman" w:hAnsi="Times New Roman" w:cs="Times New Roman"/>
        </w:rPr>
        <w:t xml:space="preserve"> rezultat manjak prihoda od </w:t>
      </w:r>
      <w:r w:rsidR="00AF4651" w:rsidRPr="008C5951">
        <w:rPr>
          <w:rFonts w:ascii="Times New Roman" w:hAnsi="Times New Roman" w:cs="Times New Roman"/>
        </w:rPr>
        <w:t>7.071,99</w:t>
      </w:r>
      <w:r w:rsidR="00E76B50" w:rsidRPr="008C5951">
        <w:rPr>
          <w:rFonts w:ascii="Times New Roman" w:hAnsi="Times New Roman" w:cs="Times New Roman"/>
        </w:rPr>
        <w:t xml:space="preserve"> €</w:t>
      </w:r>
      <w:r w:rsidR="00E56F69" w:rsidRPr="008C5951">
        <w:rPr>
          <w:rFonts w:ascii="Times New Roman" w:hAnsi="Times New Roman" w:cs="Times New Roman"/>
        </w:rPr>
        <w:t>.</w:t>
      </w:r>
    </w:p>
    <w:p w14:paraId="656A2224" w14:textId="42089657" w:rsidR="000F7794" w:rsidRPr="008C5951" w:rsidRDefault="00F23556" w:rsidP="0051295D">
      <w:pPr>
        <w:spacing w:after="0" w:line="240" w:lineRule="auto"/>
        <w:rPr>
          <w:rFonts w:ascii="Times New Roman" w:hAnsi="Times New Roman" w:cs="Times New Roman"/>
        </w:rPr>
      </w:pPr>
      <w:r w:rsidRPr="008C5951">
        <w:rPr>
          <w:rFonts w:ascii="Times New Roman" w:hAnsi="Times New Roman" w:cs="Times New Roman"/>
        </w:rPr>
        <w:t>P</w:t>
      </w:r>
      <w:r w:rsidR="00A65E60" w:rsidRPr="008C5951">
        <w:rPr>
          <w:rFonts w:ascii="Times New Roman" w:hAnsi="Times New Roman" w:cs="Times New Roman"/>
        </w:rPr>
        <w:t>rihod</w:t>
      </w:r>
      <w:r w:rsidR="008C7F47" w:rsidRPr="008C5951">
        <w:rPr>
          <w:rFonts w:ascii="Times New Roman" w:hAnsi="Times New Roman" w:cs="Times New Roman"/>
        </w:rPr>
        <w:t>a</w:t>
      </w:r>
      <w:r w:rsidR="000F7794" w:rsidRPr="008C5951">
        <w:rPr>
          <w:rFonts w:ascii="Times New Roman" w:hAnsi="Times New Roman" w:cs="Times New Roman"/>
        </w:rPr>
        <w:t xml:space="preserve"> od kapitalnih pomoći, I-483,</w:t>
      </w:r>
      <w:r w:rsidR="008C7F47" w:rsidRPr="008C5951">
        <w:rPr>
          <w:rFonts w:ascii="Times New Roman" w:hAnsi="Times New Roman" w:cs="Times New Roman"/>
        </w:rPr>
        <w:t xml:space="preserve"> </w:t>
      </w:r>
      <w:r w:rsidR="00314360" w:rsidRPr="008C5951">
        <w:rPr>
          <w:rFonts w:ascii="Times New Roman" w:hAnsi="Times New Roman" w:cs="Times New Roman"/>
        </w:rPr>
        <w:t xml:space="preserve">bilo je u iznosu </w:t>
      </w:r>
      <w:r w:rsidR="008C5951" w:rsidRPr="008C5951">
        <w:rPr>
          <w:rFonts w:ascii="Times New Roman" w:hAnsi="Times New Roman" w:cs="Times New Roman"/>
        </w:rPr>
        <w:t>1.792,81</w:t>
      </w:r>
      <w:r w:rsidR="00314360" w:rsidRPr="008C5951">
        <w:rPr>
          <w:rFonts w:ascii="Times New Roman" w:hAnsi="Times New Roman" w:cs="Times New Roman"/>
        </w:rPr>
        <w:t xml:space="preserve"> €</w:t>
      </w:r>
      <w:r w:rsidR="001B01E9" w:rsidRPr="008C5951">
        <w:rPr>
          <w:rFonts w:ascii="Times New Roman" w:hAnsi="Times New Roman" w:cs="Times New Roman"/>
        </w:rPr>
        <w:t>,</w:t>
      </w:r>
      <w:r w:rsidR="00314360" w:rsidRPr="008C5951">
        <w:rPr>
          <w:rFonts w:ascii="Times New Roman" w:hAnsi="Times New Roman" w:cs="Times New Roman"/>
        </w:rPr>
        <w:t xml:space="preserve"> koliko i rashoda, pa je rezultat po</w:t>
      </w:r>
      <w:r w:rsidR="00A41D1B" w:rsidRPr="008C5951">
        <w:rPr>
          <w:rFonts w:ascii="Times New Roman" w:hAnsi="Times New Roman" w:cs="Times New Roman"/>
        </w:rPr>
        <w:t xml:space="preserve"> </w:t>
      </w:r>
      <w:r w:rsidR="00314360" w:rsidRPr="008C5951">
        <w:rPr>
          <w:rFonts w:ascii="Times New Roman" w:hAnsi="Times New Roman" w:cs="Times New Roman"/>
        </w:rPr>
        <w:t>ovom izvoru nula.</w:t>
      </w:r>
    </w:p>
    <w:p w14:paraId="29BBC783" w14:textId="5594A3AF" w:rsidR="0020757A" w:rsidRPr="009B0690" w:rsidRDefault="0020757A" w:rsidP="0020757A">
      <w:pPr>
        <w:spacing w:after="0" w:line="240" w:lineRule="auto"/>
        <w:rPr>
          <w:rFonts w:ascii="Times New Roman" w:hAnsi="Times New Roman" w:cs="Times New Roman"/>
        </w:rPr>
      </w:pPr>
      <w:r w:rsidRPr="009B0690">
        <w:rPr>
          <w:rFonts w:ascii="Times New Roman" w:hAnsi="Times New Roman" w:cs="Times New Roman"/>
        </w:rPr>
        <w:lastRenderedPageBreak/>
        <w:t xml:space="preserve">Kod izvora I-484 Tekuće pomoći iz državnog proračuna - EU sredstva - PK, što se odnosi na program/aktivnost Erasmus+, </w:t>
      </w:r>
      <w:r w:rsidR="00983FE7" w:rsidRPr="009B0690">
        <w:rPr>
          <w:rFonts w:ascii="Times New Roman" w:hAnsi="Times New Roman" w:cs="Times New Roman"/>
        </w:rPr>
        <w:t xml:space="preserve">tekući je prihod iznosio </w:t>
      </w:r>
      <w:r w:rsidR="009B0690" w:rsidRPr="009B0690">
        <w:rPr>
          <w:rFonts w:ascii="Times New Roman" w:hAnsi="Times New Roman" w:cs="Times New Roman"/>
        </w:rPr>
        <w:t>232,85</w:t>
      </w:r>
      <w:r w:rsidR="00983FE7" w:rsidRPr="009B0690">
        <w:rPr>
          <w:rFonts w:ascii="Times New Roman" w:hAnsi="Times New Roman" w:cs="Times New Roman"/>
        </w:rPr>
        <w:t xml:space="preserve"> €, a rashod </w:t>
      </w:r>
      <w:r w:rsidR="009B0690" w:rsidRPr="009B0690">
        <w:rPr>
          <w:rFonts w:ascii="Times New Roman" w:hAnsi="Times New Roman" w:cs="Times New Roman"/>
        </w:rPr>
        <w:t>2.303,56</w:t>
      </w:r>
      <w:r w:rsidR="00983FE7" w:rsidRPr="009B0690">
        <w:rPr>
          <w:rFonts w:ascii="Times New Roman" w:hAnsi="Times New Roman" w:cs="Times New Roman"/>
        </w:rPr>
        <w:t xml:space="preserve"> €, tako da je uz preneseni višak od </w:t>
      </w:r>
      <w:r w:rsidR="009B0690" w:rsidRPr="009B0690">
        <w:rPr>
          <w:rFonts w:ascii="Times New Roman" w:hAnsi="Times New Roman" w:cs="Times New Roman"/>
        </w:rPr>
        <w:t>3.123,52</w:t>
      </w:r>
      <w:r w:rsidR="00983FE7" w:rsidRPr="009B0690">
        <w:rPr>
          <w:rFonts w:ascii="Times New Roman" w:hAnsi="Times New Roman" w:cs="Times New Roman"/>
        </w:rPr>
        <w:t xml:space="preserve"> €, iznos viška za prijenos u slijedeću godinu iznosio </w:t>
      </w:r>
      <w:r w:rsidR="009B0690" w:rsidRPr="009B0690">
        <w:rPr>
          <w:rFonts w:ascii="Times New Roman" w:hAnsi="Times New Roman" w:cs="Times New Roman"/>
        </w:rPr>
        <w:t>1.052,81</w:t>
      </w:r>
      <w:r w:rsidR="00983FE7" w:rsidRPr="009B0690">
        <w:rPr>
          <w:rFonts w:ascii="Times New Roman" w:hAnsi="Times New Roman" w:cs="Times New Roman"/>
        </w:rPr>
        <w:t xml:space="preserve"> €.</w:t>
      </w:r>
    </w:p>
    <w:p w14:paraId="33ACA67B" w14:textId="12596DE9" w:rsidR="000F7794" w:rsidRPr="009B0690" w:rsidRDefault="00F43B79" w:rsidP="0051295D">
      <w:pPr>
        <w:spacing w:after="0" w:line="240" w:lineRule="auto"/>
        <w:rPr>
          <w:rFonts w:ascii="Times New Roman" w:hAnsi="Times New Roman" w:cs="Times New Roman"/>
        </w:rPr>
      </w:pPr>
      <w:r w:rsidRPr="009B0690">
        <w:rPr>
          <w:rFonts w:ascii="Times New Roman" w:hAnsi="Times New Roman" w:cs="Times New Roman"/>
        </w:rPr>
        <w:t>Izvor I-485</w:t>
      </w:r>
      <w:r w:rsidR="009B0690" w:rsidRPr="009B0690">
        <w:rPr>
          <w:rFonts w:ascii="Times New Roman" w:hAnsi="Times New Roman" w:cs="Times New Roman"/>
        </w:rPr>
        <w:t>6</w:t>
      </w:r>
      <w:r w:rsidRPr="009B0690">
        <w:rPr>
          <w:rFonts w:ascii="Times New Roman" w:hAnsi="Times New Roman" w:cs="Times New Roman"/>
        </w:rPr>
        <w:t xml:space="preserve"> Pomoći iz državnog proračuna od EU sredstava – Grad odnosi se na 72% financiranja rashoda</w:t>
      </w:r>
      <w:r w:rsidR="009B0690" w:rsidRPr="009B0690">
        <w:rPr>
          <w:rFonts w:ascii="Times New Roman" w:hAnsi="Times New Roman" w:cs="Times New Roman"/>
        </w:rPr>
        <w:t xml:space="preserve"> (projektom prihvatljivih)</w:t>
      </w:r>
      <w:r w:rsidRPr="009B0690">
        <w:rPr>
          <w:rFonts w:ascii="Times New Roman" w:hAnsi="Times New Roman" w:cs="Times New Roman"/>
        </w:rPr>
        <w:t xml:space="preserve"> za pomoćnike u nastavi</w:t>
      </w:r>
      <w:r w:rsidR="0020757A" w:rsidRPr="009B0690">
        <w:rPr>
          <w:rFonts w:ascii="Times New Roman" w:hAnsi="Times New Roman" w:cs="Times New Roman"/>
        </w:rPr>
        <w:t xml:space="preserve"> u projektu Odjek </w:t>
      </w:r>
      <w:r w:rsidR="007D296F" w:rsidRPr="009B0690">
        <w:rPr>
          <w:rFonts w:ascii="Times New Roman" w:hAnsi="Times New Roman" w:cs="Times New Roman"/>
        </w:rPr>
        <w:t>V</w:t>
      </w:r>
      <w:r w:rsidR="009B0690" w:rsidRPr="009B0690">
        <w:rPr>
          <w:rFonts w:ascii="Times New Roman" w:hAnsi="Times New Roman" w:cs="Times New Roman"/>
        </w:rPr>
        <w:t>I</w:t>
      </w:r>
      <w:r w:rsidR="0020757A" w:rsidRPr="009B0690">
        <w:rPr>
          <w:rFonts w:ascii="Times New Roman" w:hAnsi="Times New Roman" w:cs="Times New Roman"/>
        </w:rPr>
        <w:t>.</w:t>
      </w:r>
      <w:r w:rsidRPr="009B0690">
        <w:rPr>
          <w:rFonts w:ascii="Times New Roman" w:hAnsi="Times New Roman" w:cs="Times New Roman"/>
        </w:rPr>
        <w:t xml:space="preserve"> Ostvareno je </w:t>
      </w:r>
      <w:r w:rsidR="009B0690" w:rsidRPr="009B0690">
        <w:rPr>
          <w:rFonts w:ascii="Times New Roman" w:hAnsi="Times New Roman" w:cs="Times New Roman"/>
        </w:rPr>
        <w:t>48.703,78</w:t>
      </w:r>
      <w:r w:rsidR="008C7F47" w:rsidRPr="009B0690">
        <w:rPr>
          <w:rFonts w:ascii="Times New Roman" w:hAnsi="Times New Roman" w:cs="Times New Roman"/>
        </w:rPr>
        <w:t xml:space="preserve"> €</w:t>
      </w:r>
      <w:r w:rsidRPr="009B0690">
        <w:rPr>
          <w:rFonts w:ascii="Times New Roman" w:hAnsi="Times New Roman" w:cs="Times New Roman"/>
        </w:rPr>
        <w:t xml:space="preserve"> prihoda i </w:t>
      </w:r>
      <w:r w:rsidR="008C7F47" w:rsidRPr="009B0690">
        <w:rPr>
          <w:rFonts w:ascii="Times New Roman" w:hAnsi="Times New Roman" w:cs="Times New Roman"/>
        </w:rPr>
        <w:t xml:space="preserve">izvršeno </w:t>
      </w:r>
      <w:r w:rsidR="009B0690" w:rsidRPr="009B0690">
        <w:rPr>
          <w:rFonts w:ascii="Times New Roman" w:hAnsi="Times New Roman" w:cs="Times New Roman"/>
        </w:rPr>
        <w:t>40.662,55</w:t>
      </w:r>
      <w:r w:rsidR="008C7F47" w:rsidRPr="009B0690">
        <w:rPr>
          <w:rFonts w:ascii="Times New Roman" w:hAnsi="Times New Roman" w:cs="Times New Roman"/>
        </w:rPr>
        <w:t xml:space="preserve"> €</w:t>
      </w:r>
      <w:r w:rsidRPr="009B0690">
        <w:rPr>
          <w:rFonts w:ascii="Times New Roman" w:hAnsi="Times New Roman" w:cs="Times New Roman"/>
        </w:rPr>
        <w:t xml:space="preserve"> rashoda, pa </w:t>
      </w:r>
      <w:r w:rsidR="00983FE7" w:rsidRPr="009B0690">
        <w:rPr>
          <w:rFonts w:ascii="Times New Roman" w:hAnsi="Times New Roman" w:cs="Times New Roman"/>
        </w:rPr>
        <w:t>su</w:t>
      </w:r>
      <w:r w:rsidR="0086051D" w:rsidRPr="009B0690">
        <w:rPr>
          <w:rFonts w:ascii="Times New Roman" w:hAnsi="Times New Roman" w:cs="Times New Roman"/>
        </w:rPr>
        <w:t xml:space="preserve"> tako </w:t>
      </w:r>
      <w:r w:rsidR="000A124E" w:rsidRPr="009B0690">
        <w:rPr>
          <w:rFonts w:ascii="Times New Roman" w:hAnsi="Times New Roman" w:cs="Times New Roman"/>
        </w:rPr>
        <w:t xml:space="preserve">uz pokriće </w:t>
      </w:r>
      <w:r w:rsidRPr="009B0690">
        <w:rPr>
          <w:rFonts w:ascii="Times New Roman" w:hAnsi="Times New Roman" w:cs="Times New Roman"/>
        </w:rPr>
        <w:t>prenesen</w:t>
      </w:r>
      <w:r w:rsidR="000A124E" w:rsidRPr="009B0690">
        <w:rPr>
          <w:rFonts w:ascii="Times New Roman" w:hAnsi="Times New Roman" w:cs="Times New Roman"/>
        </w:rPr>
        <w:t>og</w:t>
      </w:r>
      <w:r w:rsidRPr="009B0690">
        <w:rPr>
          <w:rFonts w:ascii="Times New Roman" w:hAnsi="Times New Roman" w:cs="Times New Roman"/>
        </w:rPr>
        <w:t xml:space="preserve"> manj</w:t>
      </w:r>
      <w:r w:rsidR="000A124E" w:rsidRPr="009B0690">
        <w:rPr>
          <w:rFonts w:ascii="Times New Roman" w:hAnsi="Times New Roman" w:cs="Times New Roman"/>
        </w:rPr>
        <w:t>ka</w:t>
      </w:r>
      <w:r w:rsidRPr="009B0690">
        <w:rPr>
          <w:rFonts w:ascii="Times New Roman" w:hAnsi="Times New Roman" w:cs="Times New Roman"/>
        </w:rPr>
        <w:t xml:space="preserve"> od </w:t>
      </w:r>
      <w:r w:rsidR="009B0690" w:rsidRPr="009B0690">
        <w:rPr>
          <w:rFonts w:ascii="Times New Roman" w:hAnsi="Times New Roman" w:cs="Times New Roman"/>
        </w:rPr>
        <w:t>8.041,23</w:t>
      </w:r>
      <w:r w:rsidR="000A124E" w:rsidRPr="009B0690">
        <w:rPr>
          <w:rFonts w:ascii="Times New Roman" w:hAnsi="Times New Roman" w:cs="Times New Roman"/>
        </w:rPr>
        <w:t xml:space="preserve"> €</w:t>
      </w:r>
      <w:r w:rsidR="00983FE7" w:rsidRPr="009B0690">
        <w:rPr>
          <w:rFonts w:ascii="Times New Roman" w:hAnsi="Times New Roman" w:cs="Times New Roman"/>
        </w:rPr>
        <w:t>, izjednačeni prihodi i rashodi.</w:t>
      </w:r>
    </w:p>
    <w:p w14:paraId="274F1BFB" w14:textId="1F8A5C1B" w:rsidR="00523F27" w:rsidRPr="009B0690" w:rsidRDefault="00523F27" w:rsidP="0051295D">
      <w:pPr>
        <w:spacing w:after="0" w:line="240" w:lineRule="auto"/>
        <w:rPr>
          <w:rFonts w:ascii="Times New Roman" w:hAnsi="Times New Roman" w:cs="Times New Roman"/>
        </w:rPr>
      </w:pPr>
      <w:r w:rsidRPr="009B0690">
        <w:rPr>
          <w:rFonts w:ascii="Times New Roman" w:hAnsi="Times New Roman" w:cs="Times New Roman"/>
        </w:rPr>
        <w:t>Za aktivnost Odjek VI</w:t>
      </w:r>
      <w:r w:rsidR="009B0690" w:rsidRPr="009B0690">
        <w:rPr>
          <w:rFonts w:ascii="Times New Roman" w:hAnsi="Times New Roman" w:cs="Times New Roman"/>
        </w:rPr>
        <w:t>I</w:t>
      </w:r>
      <w:r w:rsidRPr="009B0690">
        <w:rPr>
          <w:rFonts w:ascii="Times New Roman" w:hAnsi="Times New Roman" w:cs="Times New Roman"/>
        </w:rPr>
        <w:t xml:space="preserve"> otvoren je poseban izvor I-485</w:t>
      </w:r>
      <w:r w:rsidR="009B0690" w:rsidRPr="009B0690">
        <w:rPr>
          <w:rFonts w:ascii="Times New Roman" w:hAnsi="Times New Roman" w:cs="Times New Roman"/>
        </w:rPr>
        <w:t xml:space="preserve">9 </w:t>
      </w:r>
      <w:r w:rsidRPr="009B0690">
        <w:rPr>
          <w:rFonts w:ascii="Times New Roman" w:hAnsi="Times New Roman" w:cs="Times New Roman"/>
        </w:rPr>
        <w:t xml:space="preserve">i uz </w:t>
      </w:r>
      <w:r w:rsidR="009B0690" w:rsidRPr="009B0690">
        <w:rPr>
          <w:rFonts w:ascii="Times New Roman" w:hAnsi="Times New Roman" w:cs="Times New Roman"/>
        </w:rPr>
        <w:t>31.400,75</w:t>
      </w:r>
      <w:r w:rsidRPr="009B0690">
        <w:rPr>
          <w:rFonts w:ascii="Times New Roman" w:hAnsi="Times New Roman" w:cs="Times New Roman"/>
        </w:rPr>
        <w:t xml:space="preserve"> € prihoda i </w:t>
      </w:r>
      <w:r w:rsidR="009B0690" w:rsidRPr="009B0690">
        <w:rPr>
          <w:rFonts w:ascii="Times New Roman" w:hAnsi="Times New Roman" w:cs="Times New Roman"/>
        </w:rPr>
        <w:t>42.379,10</w:t>
      </w:r>
      <w:r w:rsidRPr="009B0690">
        <w:rPr>
          <w:rFonts w:ascii="Times New Roman" w:hAnsi="Times New Roman" w:cs="Times New Roman"/>
        </w:rPr>
        <w:t xml:space="preserve"> € rashoda, preostao je manjak prihoda od </w:t>
      </w:r>
      <w:r w:rsidR="009B0690" w:rsidRPr="009B0690">
        <w:rPr>
          <w:rFonts w:ascii="Times New Roman" w:hAnsi="Times New Roman" w:cs="Times New Roman"/>
        </w:rPr>
        <w:t>10.978,35</w:t>
      </w:r>
      <w:r w:rsidRPr="009B0690">
        <w:rPr>
          <w:rFonts w:ascii="Times New Roman" w:hAnsi="Times New Roman" w:cs="Times New Roman"/>
        </w:rPr>
        <w:t xml:space="preserve"> €.</w:t>
      </w:r>
    </w:p>
    <w:p w14:paraId="63039D7B" w14:textId="77777777" w:rsidR="0020757A" w:rsidRPr="00AA02F8" w:rsidRDefault="0020757A" w:rsidP="0051295D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307110D3" w14:textId="7F8D34AC" w:rsidR="003F505E" w:rsidRPr="00764C7B" w:rsidRDefault="003F505E" w:rsidP="003F505E">
      <w:pPr>
        <w:spacing w:after="0" w:line="240" w:lineRule="auto"/>
        <w:rPr>
          <w:rFonts w:ascii="Times New Roman" w:hAnsi="Times New Roman" w:cs="Times New Roman"/>
        </w:rPr>
      </w:pPr>
      <w:r w:rsidRPr="00764C7B">
        <w:rPr>
          <w:rFonts w:ascii="Times New Roman" w:hAnsi="Times New Roman" w:cs="Times New Roman"/>
        </w:rPr>
        <w:t xml:space="preserve">Tekuće donacije </w:t>
      </w:r>
      <w:r w:rsidR="006373FD" w:rsidRPr="00764C7B">
        <w:rPr>
          <w:rFonts w:ascii="Times New Roman" w:hAnsi="Times New Roman" w:cs="Times New Roman"/>
        </w:rPr>
        <w:t>u 202</w:t>
      </w:r>
      <w:r w:rsidR="00C41617" w:rsidRPr="00764C7B">
        <w:rPr>
          <w:rFonts w:ascii="Times New Roman" w:hAnsi="Times New Roman" w:cs="Times New Roman"/>
        </w:rPr>
        <w:t>4</w:t>
      </w:r>
      <w:r w:rsidR="006373FD" w:rsidRPr="00764C7B">
        <w:rPr>
          <w:rFonts w:ascii="Times New Roman" w:hAnsi="Times New Roman" w:cs="Times New Roman"/>
        </w:rPr>
        <w:t xml:space="preserve">. </w:t>
      </w:r>
      <w:r w:rsidR="004670CC" w:rsidRPr="00764C7B">
        <w:rPr>
          <w:rFonts w:ascii="Times New Roman" w:hAnsi="Times New Roman" w:cs="Times New Roman"/>
        </w:rPr>
        <w:t>godin</w:t>
      </w:r>
      <w:r w:rsidR="006373FD" w:rsidRPr="00764C7B">
        <w:rPr>
          <w:rFonts w:ascii="Times New Roman" w:hAnsi="Times New Roman" w:cs="Times New Roman"/>
        </w:rPr>
        <w:t>i</w:t>
      </w:r>
      <w:r w:rsidR="004670CC" w:rsidRPr="00764C7B">
        <w:rPr>
          <w:rFonts w:ascii="Times New Roman" w:hAnsi="Times New Roman" w:cs="Times New Roman"/>
        </w:rPr>
        <w:t xml:space="preserve"> </w:t>
      </w:r>
      <w:r w:rsidRPr="00764C7B">
        <w:rPr>
          <w:rFonts w:ascii="Times New Roman" w:hAnsi="Times New Roman" w:cs="Times New Roman"/>
        </w:rPr>
        <w:t xml:space="preserve">iznosile su </w:t>
      </w:r>
      <w:r w:rsidR="00C41617" w:rsidRPr="00764C7B">
        <w:rPr>
          <w:rFonts w:ascii="Times New Roman" w:hAnsi="Times New Roman" w:cs="Times New Roman"/>
        </w:rPr>
        <w:t>731,27</w:t>
      </w:r>
      <w:r w:rsidR="004670CC" w:rsidRPr="00764C7B">
        <w:rPr>
          <w:rFonts w:ascii="Times New Roman" w:hAnsi="Times New Roman" w:cs="Times New Roman"/>
        </w:rPr>
        <w:t xml:space="preserve"> €</w:t>
      </w:r>
      <w:r w:rsidRPr="00764C7B">
        <w:rPr>
          <w:rFonts w:ascii="Times New Roman" w:hAnsi="Times New Roman" w:cs="Times New Roman"/>
        </w:rPr>
        <w:t xml:space="preserve">, a </w:t>
      </w:r>
      <w:r w:rsidR="009E7F83" w:rsidRPr="00764C7B">
        <w:rPr>
          <w:rFonts w:ascii="Times New Roman" w:hAnsi="Times New Roman" w:cs="Times New Roman"/>
        </w:rPr>
        <w:t xml:space="preserve">financirani </w:t>
      </w:r>
      <w:r w:rsidRPr="00764C7B">
        <w:rPr>
          <w:rFonts w:ascii="Times New Roman" w:hAnsi="Times New Roman" w:cs="Times New Roman"/>
        </w:rPr>
        <w:t>rashodi</w:t>
      </w:r>
      <w:r w:rsidR="006373FD" w:rsidRPr="00764C7B">
        <w:rPr>
          <w:rFonts w:ascii="Times New Roman" w:hAnsi="Times New Roman" w:cs="Times New Roman"/>
        </w:rPr>
        <w:t xml:space="preserve"> poslovanja</w:t>
      </w:r>
      <w:r w:rsidR="00C41617" w:rsidRPr="00764C7B">
        <w:rPr>
          <w:rFonts w:ascii="Times New Roman" w:hAnsi="Times New Roman" w:cs="Times New Roman"/>
        </w:rPr>
        <w:t xml:space="preserve"> 4.</w:t>
      </w:r>
      <w:r w:rsidR="00764C7B" w:rsidRPr="00764C7B">
        <w:rPr>
          <w:rFonts w:ascii="Times New Roman" w:hAnsi="Times New Roman" w:cs="Times New Roman"/>
        </w:rPr>
        <w:t>253,88</w:t>
      </w:r>
      <w:r w:rsidR="004670CC" w:rsidRPr="00764C7B">
        <w:rPr>
          <w:rFonts w:ascii="Times New Roman" w:hAnsi="Times New Roman" w:cs="Times New Roman"/>
        </w:rPr>
        <w:t xml:space="preserve"> €</w:t>
      </w:r>
      <w:r w:rsidR="006373FD" w:rsidRPr="00764C7B">
        <w:rPr>
          <w:rFonts w:ascii="Times New Roman" w:hAnsi="Times New Roman" w:cs="Times New Roman"/>
        </w:rPr>
        <w:t xml:space="preserve"> plus</w:t>
      </w:r>
      <w:r w:rsidR="009E7F83" w:rsidRPr="00764C7B">
        <w:rPr>
          <w:rFonts w:ascii="Times New Roman" w:hAnsi="Times New Roman" w:cs="Times New Roman"/>
        </w:rPr>
        <w:t xml:space="preserve"> </w:t>
      </w:r>
      <w:r w:rsidR="00764C7B" w:rsidRPr="00764C7B">
        <w:rPr>
          <w:rFonts w:ascii="Times New Roman" w:hAnsi="Times New Roman" w:cs="Times New Roman"/>
        </w:rPr>
        <w:t>268,51</w:t>
      </w:r>
      <w:r w:rsidR="004670CC" w:rsidRPr="00764C7B">
        <w:rPr>
          <w:rFonts w:ascii="Times New Roman" w:hAnsi="Times New Roman" w:cs="Times New Roman"/>
        </w:rPr>
        <w:t xml:space="preserve"> €</w:t>
      </w:r>
      <w:r w:rsidRPr="00764C7B">
        <w:rPr>
          <w:rFonts w:ascii="Times New Roman" w:hAnsi="Times New Roman" w:cs="Times New Roman"/>
        </w:rPr>
        <w:t xml:space="preserve"> rashod</w:t>
      </w:r>
      <w:r w:rsidR="006373FD" w:rsidRPr="00764C7B">
        <w:rPr>
          <w:rFonts w:ascii="Times New Roman" w:hAnsi="Times New Roman" w:cs="Times New Roman"/>
        </w:rPr>
        <w:t>a</w:t>
      </w:r>
      <w:r w:rsidRPr="00764C7B">
        <w:rPr>
          <w:rFonts w:ascii="Times New Roman" w:hAnsi="Times New Roman" w:cs="Times New Roman"/>
        </w:rPr>
        <w:t xml:space="preserve"> za nabavu nefinancijske imovine</w:t>
      </w:r>
      <w:r w:rsidR="009E7F83" w:rsidRPr="00764C7B">
        <w:rPr>
          <w:rFonts w:ascii="Times New Roman" w:hAnsi="Times New Roman" w:cs="Times New Roman"/>
        </w:rPr>
        <w:t xml:space="preserve">. Uz prenesenih </w:t>
      </w:r>
      <w:r w:rsidR="00764C7B" w:rsidRPr="00764C7B">
        <w:rPr>
          <w:rFonts w:ascii="Times New Roman" w:hAnsi="Times New Roman" w:cs="Times New Roman"/>
        </w:rPr>
        <w:t>7.054,21</w:t>
      </w:r>
      <w:r w:rsidR="004670CC" w:rsidRPr="00764C7B">
        <w:rPr>
          <w:rFonts w:ascii="Times New Roman" w:hAnsi="Times New Roman" w:cs="Times New Roman"/>
        </w:rPr>
        <w:t xml:space="preserve"> €</w:t>
      </w:r>
      <w:r w:rsidR="009E7F83" w:rsidRPr="00764C7B">
        <w:rPr>
          <w:rFonts w:ascii="Times New Roman" w:hAnsi="Times New Roman" w:cs="Times New Roman"/>
        </w:rPr>
        <w:t xml:space="preserve"> viška iz prethodne godine, ukupan </w:t>
      </w:r>
      <w:r w:rsidR="004670CC" w:rsidRPr="00764C7B">
        <w:rPr>
          <w:rFonts w:ascii="Times New Roman" w:hAnsi="Times New Roman" w:cs="Times New Roman"/>
        </w:rPr>
        <w:t xml:space="preserve">preostali </w:t>
      </w:r>
      <w:r w:rsidR="009E7F83" w:rsidRPr="00764C7B">
        <w:rPr>
          <w:rFonts w:ascii="Times New Roman" w:hAnsi="Times New Roman" w:cs="Times New Roman"/>
        </w:rPr>
        <w:t xml:space="preserve">višak </w:t>
      </w:r>
      <w:r w:rsidR="004670CC" w:rsidRPr="00764C7B">
        <w:rPr>
          <w:rFonts w:ascii="Times New Roman" w:hAnsi="Times New Roman" w:cs="Times New Roman"/>
        </w:rPr>
        <w:t xml:space="preserve">iznosi </w:t>
      </w:r>
      <w:r w:rsidR="00764C7B" w:rsidRPr="00764C7B">
        <w:rPr>
          <w:rFonts w:ascii="Times New Roman" w:hAnsi="Times New Roman" w:cs="Times New Roman"/>
        </w:rPr>
        <w:t>3.263,09</w:t>
      </w:r>
      <w:r w:rsidR="004670CC" w:rsidRPr="00764C7B">
        <w:rPr>
          <w:rFonts w:ascii="Times New Roman" w:hAnsi="Times New Roman" w:cs="Times New Roman"/>
        </w:rPr>
        <w:t xml:space="preserve"> €.</w:t>
      </w:r>
    </w:p>
    <w:p w14:paraId="2E7FBF45" w14:textId="77777777" w:rsidR="00857FAD" w:rsidRDefault="00857FAD" w:rsidP="0051295D">
      <w:pPr>
        <w:spacing w:after="0" w:line="240" w:lineRule="auto"/>
        <w:rPr>
          <w:rFonts w:ascii="Times New Roman" w:hAnsi="Times New Roman" w:cs="Times New Roman"/>
        </w:rPr>
      </w:pPr>
    </w:p>
    <w:p w14:paraId="4136F495" w14:textId="2817A773" w:rsidR="00CB2ACC" w:rsidRPr="00764C7B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64C7B">
        <w:rPr>
          <w:rFonts w:ascii="Times New Roman" w:hAnsi="Times New Roman" w:cs="Times New Roman"/>
          <w:u w:val="single"/>
        </w:rPr>
        <w:t>Funkcijska klasifikacija</w:t>
      </w:r>
    </w:p>
    <w:p w14:paraId="7451E034" w14:textId="77777777" w:rsidR="00CB2ACC" w:rsidRPr="00764C7B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90E4420" w14:textId="77777777" w:rsidR="00FA1E34" w:rsidRPr="00764C7B" w:rsidRDefault="001A777D" w:rsidP="0051295D">
      <w:pPr>
        <w:spacing w:after="0" w:line="240" w:lineRule="auto"/>
        <w:rPr>
          <w:rFonts w:ascii="Times New Roman" w:hAnsi="Times New Roman" w:cs="Times New Roman"/>
        </w:rPr>
      </w:pPr>
      <w:r w:rsidRPr="00764C7B">
        <w:rPr>
          <w:rFonts w:ascii="Times New Roman" w:hAnsi="Times New Roman" w:cs="Times New Roman"/>
        </w:rPr>
        <w:t xml:space="preserve">Prema funkcijskoj klasifikaciji rashodi su klasificirani na gradskoj riznici u dvije skupine funkcije 09 Obrazovanje. </w:t>
      </w:r>
    </w:p>
    <w:p w14:paraId="04131033" w14:textId="1151CF05" w:rsidR="001A777D" w:rsidRPr="00764C7B" w:rsidRDefault="000F2374" w:rsidP="0051295D">
      <w:pPr>
        <w:spacing w:after="0" w:line="240" w:lineRule="auto"/>
        <w:rPr>
          <w:rFonts w:ascii="Times New Roman" w:hAnsi="Times New Roman" w:cs="Times New Roman"/>
        </w:rPr>
      </w:pPr>
      <w:r w:rsidRPr="00764C7B">
        <w:rPr>
          <w:rFonts w:ascii="Times New Roman" w:hAnsi="Times New Roman" w:cs="Times New Roman"/>
        </w:rPr>
        <w:t xml:space="preserve">Za predškolsko </w:t>
      </w:r>
      <w:r w:rsidR="00880DF4" w:rsidRPr="00764C7B">
        <w:rPr>
          <w:rFonts w:ascii="Times New Roman" w:hAnsi="Times New Roman" w:cs="Times New Roman"/>
        </w:rPr>
        <w:t xml:space="preserve">i osnovno </w:t>
      </w:r>
      <w:r w:rsidRPr="00764C7B">
        <w:rPr>
          <w:rFonts w:ascii="Times New Roman" w:hAnsi="Times New Roman" w:cs="Times New Roman"/>
        </w:rPr>
        <w:t xml:space="preserve">obrazovanje </w:t>
      </w:r>
      <w:r w:rsidR="00880DF4" w:rsidRPr="00764C7B">
        <w:rPr>
          <w:rFonts w:ascii="Times New Roman" w:hAnsi="Times New Roman" w:cs="Times New Roman"/>
        </w:rPr>
        <w:t xml:space="preserve">(091) </w:t>
      </w:r>
      <w:r w:rsidRPr="00764C7B">
        <w:rPr>
          <w:rFonts w:ascii="Times New Roman" w:hAnsi="Times New Roman" w:cs="Times New Roman"/>
        </w:rPr>
        <w:t xml:space="preserve">utrošeno je </w:t>
      </w:r>
      <w:r w:rsidR="006373FD" w:rsidRPr="00764C7B">
        <w:rPr>
          <w:rFonts w:ascii="Times New Roman" w:hAnsi="Times New Roman" w:cs="Times New Roman"/>
        </w:rPr>
        <w:t>1.</w:t>
      </w:r>
      <w:r w:rsidR="00764C7B" w:rsidRPr="00764C7B">
        <w:rPr>
          <w:rFonts w:ascii="Times New Roman" w:hAnsi="Times New Roman" w:cs="Times New Roman"/>
        </w:rPr>
        <w:t>696.827,54</w:t>
      </w:r>
      <w:r w:rsidR="00495EAF" w:rsidRPr="00764C7B">
        <w:rPr>
          <w:rFonts w:ascii="Times New Roman" w:hAnsi="Times New Roman" w:cs="Times New Roman"/>
        </w:rPr>
        <w:t xml:space="preserve"> €</w:t>
      </w:r>
      <w:r w:rsidR="00FF6DDF" w:rsidRPr="00764C7B">
        <w:rPr>
          <w:rFonts w:ascii="Times New Roman" w:hAnsi="Times New Roman" w:cs="Times New Roman"/>
        </w:rPr>
        <w:t>, a za dodatne usluge u obrazovanju (096)</w:t>
      </w:r>
      <w:r w:rsidR="006373FD" w:rsidRPr="00764C7B">
        <w:rPr>
          <w:rFonts w:ascii="Times New Roman" w:hAnsi="Times New Roman" w:cs="Times New Roman"/>
        </w:rPr>
        <w:t xml:space="preserve"> 2</w:t>
      </w:r>
      <w:r w:rsidR="00764C7B" w:rsidRPr="00764C7B">
        <w:rPr>
          <w:rFonts w:ascii="Times New Roman" w:hAnsi="Times New Roman" w:cs="Times New Roman"/>
        </w:rPr>
        <w:t>23.710,39</w:t>
      </w:r>
      <w:r w:rsidR="00495EAF" w:rsidRPr="00764C7B">
        <w:rPr>
          <w:rFonts w:ascii="Times New Roman" w:hAnsi="Times New Roman" w:cs="Times New Roman"/>
        </w:rPr>
        <w:t xml:space="preserve"> €</w:t>
      </w:r>
      <w:r w:rsidR="00B41CF5" w:rsidRPr="00764C7B">
        <w:rPr>
          <w:rFonts w:ascii="Times New Roman" w:hAnsi="Times New Roman" w:cs="Times New Roman"/>
        </w:rPr>
        <w:t xml:space="preserve">, što </w:t>
      </w:r>
      <w:r w:rsidR="00E051F0" w:rsidRPr="00764C7B">
        <w:rPr>
          <w:rFonts w:ascii="Times New Roman" w:hAnsi="Times New Roman" w:cs="Times New Roman"/>
        </w:rPr>
        <w:t>obuhvać</w:t>
      </w:r>
      <w:r w:rsidR="00B41CF5" w:rsidRPr="00764C7B">
        <w:rPr>
          <w:rFonts w:ascii="Times New Roman" w:hAnsi="Times New Roman" w:cs="Times New Roman"/>
        </w:rPr>
        <w:t>a</w:t>
      </w:r>
      <w:r w:rsidR="00E051F0" w:rsidRPr="00764C7B">
        <w:rPr>
          <w:rFonts w:ascii="Times New Roman" w:hAnsi="Times New Roman" w:cs="Times New Roman"/>
        </w:rPr>
        <w:t xml:space="preserve"> </w:t>
      </w:r>
      <w:r w:rsidR="006E143A" w:rsidRPr="00764C7B">
        <w:rPr>
          <w:rFonts w:ascii="Times New Roman" w:hAnsi="Times New Roman" w:cs="Times New Roman"/>
        </w:rPr>
        <w:t xml:space="preserve">rashode za </w:t>
      </w:r>
      <w:r w:rsidR="00E051F0" w:rsidRPr="00764C7B">
        <w:rPr>
          <w:rFonts w:ascii="Times New Roman" w:hAnsi="Times New Roman" w:cs="Times New Roman"/>
        </w:rPr>
        <w:t>učenički prijevoz</w:t>
      </w:r>
      <w:r w:rsidR="00B41CF5" w:rsidRPr="00764C7B">
        <w:rPr>
          <w:rFonts w:ascii="Times New Roman" w:hAnsi="Times New Roman" w:cs="Times New Roman"/>
        </w:rPr>
        <w:t xml:space="preserve"> i </w:t>
      </w:r>
      <w:r w:rsidR="00E051F0" w:rsidRPr="00764C7B">
        <w:rPr>
          <w:rFonts w:ascii="Times New Roman" w:hAnsi="Times New Roman" w:cs="Times New Roman"/>
        </w:rPr>
        <w:t>prehranu</w:t>
      </w:r>
      <w:r w:rsidR="006E143A" w:rsidRPr="00764C7B">
        <w:rPr>
          <w:rFonts w:ascii="Times New Roman" w:hAnsi="Times New Roman" w:cs="Times New Roman"/>
        </w:rPr>
        <w:t xml:space="preserve"> u školskoj kuhinji.</w:t>
      </w:r>
    </w:p>
    <w:p w14:paraId="5ED3FE21" w14:textId="77777777" w:rsidR="00F3220C" w:rsidRPr="00764C7B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4978AAFF" w14:textId="77777777" w:rsidR="00D63D1A" w:rsidRDefault="00D63D1A" w:rsidP="007364DC">
      <w:pPr>
        <w:spacing w:after="0" w:line="240" w:lineRule="auto"/>
        <w:rPr>
          <w:rFonts w:ascii="Times New Roman" w:hAnsi="Times New Roman" w:cs="Times New Roman"/>
        </w:rPr>
      </w:pPr>
    </w:p>
    <w:p w14:paraId="11A8A6D0" w14:textId="681989CE" w:rsidR="00A8568E" w:rsidRDefault="00F109BA" w:rsidP="00736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</w:t>
      </w:r>
      <w:r w:rsidR="00B767E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POSEBNI DIO</w:t>
      </w:r>
    </w:p>
    <w:p w14:paraId="0E144625" w14:textId="77777777" w:rsidR="009C258F" w:rsidRDefault="009C258F" w:rsidP="007364DC">
      <w:pPr>
        <w:spacing w:after="0" w:line="240" w:lineRule="auto"/>
        <w:rPr>
          <w:rFonts w:ascii="Times New Roman" w:hAnsi="Times New Roman" w:cs="Times New Roman"/>
        </w:rPr>
      </w:pPr>
    </w:p>
    <w:p w14:paraId="3AD39EFB" w14:textId="4A37CB0F" w:rsidR="001E5C2E" w:rsidRPr="00AA02F8" w:rsidRDefault="0080129A" w:rsidP="007364DC">
      <w:pPr>
        <w:spacing w:after="0" w:line="240" w:lineRule="auto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PROGRAM 3001: PROGRAM PREDŠKOLSKOG ODGOJA</w:t>
      </w:r>
    </w:p>
    <w:p w14:paraId="5975D60A" w14:textId="77777777" w:rsidR="009D3A7F" w:rsidRPr="00AA02F8" w:rsidRDefault="009D3A7F" w:rsidP="007364DC">
      <w:pPr>
        <w:spacing w:after="0" w:line="240" w:lineRule="auto"/>
        <w:rPr>
          <w:rFonts w:ascii="Times New Roman" w:hAnsi="Times New Roman" w:cs="Times New Roman"/>
        </w:rPr>
      </w:pPr>
    </w:p>
    <w:p w14:paraId="1B6CFE9D" w14:textId="27832B5E" w:rsidR="00963B2E" w:rsidRPr="00AA02F8" w:rsidRDefault="00963B2E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Cilj programa je poticanje cjelokupnog razvoja djeteta u skladu s individualnim sposobnostima i mogućnostima</w:t>
      </w:r>
      <w:r w:rsidR="000C1D06" w:rsidRPr="00AA02F8">
        <w:rPr>
          <w:rFonts w:ascii="Times New Roman" w:hAnsi="Times New Roman" w:cs="Times New Roman"/>
        </w:rPr>
        <w:t xml:space="preserve"> od najranije dobi. </w:t>
      </w:r>
      <w:r w:rsidRPr="00AA02F8">
        <w:rPr>
          <w:rFonts w:ascii="Times New Roman" w:hAnsi="Times New Roman" w:cs="Times New Roman"/>
        </w:rPr>
        <w:t>Kroz individualizirani pristup ublažavaju se teškoće te se potiče ostvarivanje djetetovih razvojnih potencijala.</w:t>
      </w:r>
    </w:p>
    <w:p w14:paraId="61E67EF4" w14:textId="66F8E563" w:rsidR="000C1D06" w:rsidRPr="00AA02F8" w:rsidRDefault="000C1D06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Unutar Programa predškolskog odgoja provodi se i pružanje socijalne usluge rane razvojne podrške (ranije „rane intervencije“).</w:t>
      </w:r>
    </w:p>
    <w:p w14:paraId="28A56813" w14:textId="30E8DA63" w:rsidR="000C1D06" w:rsidRPr="00AA02F8" w:rsidRDefault="000C1D06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Za kvalitetan rad s djecom s teškoćama predškolske dobi neophodna je</w:t>
      </w:r>
      <w:r w:rsidR="00F76265" w:rsidRPr="00AA02F8">
        <w:rPr>
          <w:rFonts w:ascii="Times New Roman" w:hAnsi="Times New Roman" w:cs="Times New Roman"/>
        </w:rPr>
        <w:t xml:space="preserve"> </w:t>
      </w:r>
      <w:r w:rsidRPr="00AA02F8">
        <w:rPr>
          <w:rFonts w:ascii="Times New Roman" w:hAnsi="Times New Roman" w:cs="Times New Roman"/>
        </w:rPr>
        <w:t>edukacija odgojitelja i edukacijskog rehabilitatora, kao i potrošni materijal i didaktička sredstva. Permanentnom edukacijom i nabavom potrebnih sredstava osiguran je kvalitetan rad s polaznicima.</w:t>
      </w:r>
    </w:p>
    <w:p w14:paraId="6AA8D5D1" w14:textId="413D5568" w:rsidR="000C1D06" w:rsidRPr="00AA02F8" w:rsidRDefault="000C1D06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U predškolski program uključeno je 1</w:t>
      </w:r>
      <w:r w:rsidR="00EF3693" w:rsidRPr="00AA02F8">
        <w:rPr>
          <w:rFonts w:ascii="Times New Roman" w:hAnsi="Times New Roman" w:cs="Times New Roman"/>
        </w:rPr>
        <w:t>3</w:t>
      </w:r>
      <w:r w:rsidRPr="00AA02F8">
        <w:rPr>
          <w:rFonts w:ascii="Times New Roman" w:hAnsi="Times New Roman" w:cs="Times New Roman"/>
        </w:rPr>
        <w:t xml:space="preserve"> polaznika, dok </w:t>
      </w:r>
      <w:r w:rsidR="0090405A" w:rsidRPr="00AA02F8">
        <w:rPr>
          <w:rFonts w:ascii="Times New Roman" w:hAnsi="Times New Roman" w:cs="Times New Roman"/>
        </w:rPr>
        <w:t xml:space="preserve">broj pruženih jedinica </w:t>
      </w:r>
      <w:r w:rsidRPr="00AA02F8">
        <w:rPr>
          <w:rFonts w:ascii="Times New Roman" w:hAnsi="Times New Roman" w:cs="Times New Roman"/>
        </w:rPr>
        <w:t>uslug</w:t>
      </w:r>
      <w:r w:rsidR="0090405A" w:rsidRPr="00AA02F8">
        <w:rPr>
          <w:rFonts w:ascii="Times New Roman" w:hAnsi="Times New Roman" w:cs="Times New Roman"/>
        </w:rPr>
        <w:t>e</w:t>
      </w:r>
      <w:r w:rsidRPr="00AA02F8">
        <w:rPr>
          <w:rFonts w:ascii="Times New Roman" w:hAnsi="Times New Roman" w:cs="Times New Roman"/>
        </w:rPr>
        <w:t xml:space="preserve"> rane razvojne podrške</w:t>
      </w:r>
      <w:r w:rsidR="00CD3DEF" w:rsidRPr="00AA02F8">
        <w:rPr>
          <w:rFonts w:ascii="Times New Roman" w:hAnsi="Times New Roman" w:cs="Times New Roman"/>
        </w:rPr>
        <w:t xml:space="preserve"> </w:t>
      </w:r>
      <w:r w:rsidR="0090405A" w:rsidRPr="00AA02F8">
        <w:rPr>
          <w:rFonts w:ascii="Times New Roman" w:hAnsi="Times New Roman" w:cs="Times New Roman"/>
        </w:rPr>
        <w:t>na temelju uputnice Hrvatskog zavoda za socijalni rad  iznos</w:t>
      </w:r>
      <w:r w:rsidR="00DF3092">
        <w:rPr>
          <w:rFonts w:ascii="Times New Roman" w:hAnsi="Times New Roman" w:cs="Times New Roman"/>
        </w:rPr>
        <w:t>i</w:t>
      </w:r>
      <w:r w:rsidR="00AE7FDD" w:rsidRPr="00AA02F8">
        <w:rPr>
          <w:rFonts w:ascii="Times New Roman" w:hAnsi="Times New Roman" w:cs="Times New Roman"/>
        </w:rPr>
        <w:t xml:space="preserve"> 50 jedinica</w:t>
      </w:r>
      <w:r w:rsidR="00DF3092">
        <w:rPr>
          <w:rFonts w:ascii="Times New Roman" w:hAnsi="Times New Roman" w:cs="Times New Roman"/>
        </w:rPr>
        <w:t xml:space="preserve"> i</w:t>
      </w:r>
      <w:r w:rsidR="00AE7FDD" w:rsidRPr="00AA02F8">
        <w:rPr>
          <w:rFonts w:ascii="Times New Roman" w:hAnsi="Times New Roman" w:cs="Times New Roman"/>
        </w:rPr>
        <w:t xml:space="preserve"> bez uputnice dodatnih 140  jedinica mjesečno.  </w:t>
      </w:r>
    </w:p>
    <w:p w14:paraId="4C954BF9" w14:textId="77777777" w:rsidR="00EF3693" w:rsidRPr="00067F61" w:rsidRDefault="00EF3693" w:rsidP="006C7CA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070BA03" w14:textId="77777777" w:rsidR="00366E90" w:rsidRPr="00067F61" w:rsidRDefault="00366E90" w:rsidP="006C7CA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24"/>
        <w:gridCol w:w="1323"/>
        <w:gridCol w:w="1559"/>
        <w:gridCol w:w="1372"/>
        <w:gridCol w:w="1181"/>
        <w:gridCol w:w="1167"/>
        <w:gridCol w:w="1236"/>
      </w:tblGrid>
      <w:tr w:rsidR="00067F61" w:rsidRPr="00067F61" w14:paraId="358FA313" w14:textId="77777777" w:rsidTr="00B43B6A">
        <w:trPr>
          <w:trHeight w:val="757"/>
        </w:trPr>
        <w:tc>
          <w:tcPr>
            <w:tcW w:w="1224" w:type="dxa"/>
            <w:tcBorders>
              <w:bottom w:val="double" w:sz="4" w:space="0" w:color="auto"/>
            </w:tcBorders>
          </w:tcPr>
          <w:p w14:paraId="5E78C4E4" w14:textId="77777777" w:rsidR="00366E90" w:rsidRPr="00AA02F8" w:rsidRDefault="00366E90" w:rsidP="00B43B6A">
            <w:pPr>
              <w:jc w:val="center"/>
            </w:pPr>
          </w:p>
          <w:p w14:paraId="5A264E65" w14:textId="77777777" w:rsidR="00366E90" w:rsidRPr="00AA02F8" w:rsidRDefault="00366E90" w:rsidP="00B43B6A">
            <w:pPr>
              <w:jc w:val="center"/>
            </w:pPr>
            <w:r w:rsidRPr="00AA02F8">
              <w:t>Pokazatelj rezultata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0A9A644B" w14:textId="77777777" w:rsidR="00366E90" w:rsidRPr="00AA02F8" w:rsidRDefault="00366E90" w:rsidP="00B43B6A">
            <w:pPr>
              <w:jc w:val="center"/>
            </w:pPr>
          </w:p>
          <w:p w14:paraId="60063E6D" w14:textId="77777777" w:rsidR="00366E90" w:rsidRPr="00AA02F8" w:rsidRDefault="00366E90" w:rsidP="00B43B6A">
            <w:pPr>
              <w:jc w:val="center"/>
            </w:pPr>
            <w:r w:rsidRPr="00AA02F8">
              <w:t>Definicija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A95C9BD" w14:textId="77777777" w:rsidR="00366E90" w:rsidRPr="00AA02F8" w:rsidRDefault="00366E90" w:rsidP="00B43B6A">
            <w:pPr>
              <w:jc w:val="center"/>
            </w:pPr>
          </w:p>
          <w:p w14:paraId="0F695851" w14:textId="77777777" w:rsidR="00366E90" w:rsidRPr="00AA02F8" w:rsidRDefault="00366E90" w:rsidP="00B43B6A">
            <w:pPr>
              <w:jc w:val="center"/>
            </w:pPr>
            <w:r w:rsidRPr="00AA02F8">
              <w:t>Jedinica</w:t>
            </w:r>
          </w:p>
        </w:tc>
        <w:tc>
          <w:tcPr>
            <w:tcW w:w="1372" w:type="dxa"/>
            <w:tcBorders>
              <w:bottom w:val="double" w:sz="4" w:space="0" w:color="auto"/>
            </w:tcBorders>
          </w:tcPr>
          <w:p w14:paraId="576DCA2E" w14:textId="77777777" w:rsidR="00366E90" w:rsidRPr="00AA02F8" w:rsidRDefault="00366E90" w:rsidP="00B43B6A">
            <w:pPr>
              <w:jc w:val="center"/>
            </w:pPr>
          </w:p>
          <w:p w14:paraId="29F22DBD" w14:textId="77777777" w:rsidR="00366E90" w:rsidRPr="00AA02F8" w:rsidRDefault="00366E90" w:rsidP="00B43B6A">
            <w:pPr>
              <w:jc w:val="center"/>
            </w:pPr>
            <w:r w:rsidRPr="00AA02F8">
              <w:t>Polazna vrijednost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14:paraId="4AD17C22" w14:textId="77777777" w:rsidR="00366E90" w:rsidRPr="00AA02F8" w:rsidRDefault="00366E90" w:rsidP="00B43B6A">
            <w:pPr>
              <w:jc w:val="center"/>
            </w:pPr>
          </w:p>
          <w:p w14:paraId="61940156" w14:textId="77777777" w:rsidR="00366E90" w:rsidRPr="00AA02F8" w:rsidRDefault="00366E90" w:rsidP="00B43B6A">
            <w:pPr>
              <w:jc w:val="center"/>
            </w:pPr>
            <w:r w:rsidRPr="00AA02F8">
              <w:t>Izvor podataka</w:t>
            </w:r>
          </w:p>
        </w:tc>
        <w:tc>
          <w:tcPr>
            <w:tcW w:w="1167" w:type="dxa"/>
            <w:tcBorders>
              <w:bottom w:val="double" w:sz="4" w:space="0" w:color="auto"/>
            </w:tcBorders>
          </w:tcPr>
          <w:p w14:paraId="06042A0B" w14:textId="05019DF0" w:rsidR="00366E90" w:rsidRPr="00AA02F8" w:rsidRDefault="00366E90" w:rsidP="00B43B6A">
            <w:pPr>
              <w:jc w:val="center"/>
            </w:pPr>
            <w:r w:rsidRPr="00AA02F8">
              <w:t>Ciljana vrijednost za 202</w:t>
            </w:r>
            <w:r w:rsidR="00EF3693" w:rsidRPr="00AA02F8">
              <w:t>4</w:t>
            </w:r>
            <w:r w:rsidRPr="00AA02F8">
              <w:t>.</w:t>
            </w:r>
          </w:p>
        </w:tc>
        <w:tc>
          <w:tcPr>
            <w:tcW w:w="1236" w:type="dxa"/>
            <w:tcBorders>
              <w:bottom w:val="double" w:sz="4" w:space="0" w:color="auto"/>
            </w:tcBorders>
          </w:tcPr>
          <w:p w14:paraId="68CDADC1" w14:textId="77D5AB93" w:rsidR="00366E90" w:rsidRPr="00AA02F8" w:rsidRDefault="00366E90" w:rsidP="00B43B6A">
            <w:pPr>
              <w:jc w:val="center"/>
            </w:pPr>
            <w:r w:rsidRPr="00AA02F8">
              <w:t>Ostvarenje na dan 31.12.202</w:t>
            </w:r>
            <w:r w:rsidR="00EF3693" w:rsidRPr="00AA02F8">
              <w:t>4</w:t>
            </w:r>
            <w:r w:rsidRPr="00AA02F8">
              <w:t>.</w:t>
            </w:r>
          </w:p>
        </w:tc>
      </w:tr>
      <w:tr w:rsidR="00067F61" w:rsidRPr="00067F61" w14:paraId="570C80CD" w14:textId="77777777" w:rsidTr="00B43B6A">
        <w:tc>
          <w:tcPr>
            <w:tcW w:w="1224" w:type="dxa"/>
            <w:tcBorders>
              <w:top w:val="double" w:sz="4" w:space="0" w:color="auto"/>
            </w:tcBorders>
          </w:tcPr>
          <w:p w14:paraId="626FE133" w14:textId="77777777" w:rsidR="00366E90" w:rsidRPr="00AA02F8" w:rsidRDefault="00366E90" w:rsidP="00B43B6A"/>
          <w:p w14:paraId="3EAB3185" w14:textId="18142808" w:rsidR="00366E90" w:rsidRPr="00AA02F8" w:rsidRDefault="00EF3693" w:rsidP="00EF3693">
            <w:r w:rsidRPr="00AA02F8">
              <w:t>Odgojitelji i stručni suradnik stručno se usavršavaju</w:t>
            </w: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8978545" w14:textId="1794C59B" w:rsidR="00366E90" w:rsidRPr="00AA02F8" w:rsidRDefault="00EF3693" w:rsidP="00B43B6A">
            <w:r w:rsidRPr="00AA02F8">
              <w:rPr>
                <w:lang w:eastAsia="hr-HR"/>
              </w:rPr>
              <w:t>Pohađanjem seminara i radionica stječu se neophodna znanja i vještine za kvalitetan rad s djecom s teškoćama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77E08C9E" w14:textId="77777777" w:rsidR="00366E90" w:rsidRPr="00AA02F8" w:rsidRDefault="00366E90" w:rsidP="00B43B6A">
            <w:pPr>
              <w:jc w:val="both"/>
              <w:rPr>
                <w:lang w:eastAsia="hr-HR"/>
              </w:rPr>
            </w:pPr>
          </w:p>
          <w:p w14:paraId="426FFA78" w14:textId="2004BDF0" w:rsidR="00366E90" w:rsidRPr="00AA02F8" w:rsidRDefault="00EF3693" w:rsidP="00B43B6A">
            <w:pPr>
              <w:jc w:val="center"/>
            </w:pPr>
            <w:r w:rsidRPr="00AA02F8">
              <w:rPr>
                <w:lang w:eastAsia="hr-HR"/>
              </w:rPr>
              <w:t>%</w:t>
            </w:r>
          </w:p>
        </w:tc>
        <w:tc>
          <w:tcPr>
            <w:tcW w:w="1372" w:type="dxa"/>
            <w:tcBorders>
              <w:top w:val="double" w:sz="4" w:space="0" w:color="auto"/>
            </w:tcBorders>
          </w:tcPr>
          <w:p w14:paraId="5CE8B212" w14:textId="77777777" w:rsidR="00366E90" w:rsidRPr="00AA02F8" w:rsidRDefault="00366E90" w:rsidP="00B43B6A"/>
          <w:p w14:paraId="66044CA1" w14:textId="0D6FD429" w:rsidR="00366E90" w:rsidRPr="00AA02F8" w:rsidRDefault="00EF3693" w:rsidP="00B43B6A">
            <w:pPr>
              <w:jc w:val="center"/>
            </w:pPr>
            <w:r w:rsidRPr="00AA02F8">
              <w:t>100 %</w:t>
            </w:r>
          </w:p>
        </w:tc>
        <w:tc>
          <w:tcPr>
            <w:tcW w:w="1181" w:type="dxa"/>
            <w:tcBorders>
              <w:top w:val="double" w:sz="4" w:space="0" w:color="auto"/>
            </w:tcBorders>
          </w:tcPr>
          <w:p w14:paraId="4DFCB280" w14:textId="77777777" w:rsidR="00366E90" w:rsidRPr="00AA02F8" w:rsidRDefault="00366E90" w:rsidP="00B43B6A">
            <w:pPr>
              <w:jc w:val="both"/>
              <w:rPr>
                <w:lang w:eastAsia="hr-HR"/>
              </w:rPr>
            </w:pPr>
          </w:p>
          <w:p w14:paraId="7258B58F" w14:textId="77777777" w:rsidR="00366E90" w:rsidRPr="00AA02F8" w:rsidRDefault="00366E90" w:rsidP="00B43B6A">
            <w:r w:rsidRPr="00AA02F8">
              <w:rPr>
                <w:lang w:eastAsia="hr-HR"/>
              </w:rPr>
              <w:t>COOR Podravsko sunce</w:t>
            </w:r>
          </w:p>
        </w:tc>
        <w:tc>
          <w:tcPr>
            <w:tcW w:w="1167" w:type="dxa"/>
            <w:tcBorders>
              <w:top w:val="double" w:sz="4" w:space="0" w:color="auto"/>
            </w:tcBorders>
          </w:tcPr>
          <w:p w14:paraId="503A1FB7" w14:textId="77777777" w:rsidR="00366E90" w:rsidRPr="00AA02F8" w:rsidRDefault="00366E90" w:rsidP="00B43B6A"/>
          <w:p w14:paraId="60DF978E" w14:textId="04C94B84" w:rsidR="00366E90" w:rsidRPr="00AA02F8" w:rsidRDefault="00EF3693" w:rsidP="00B43B6A">
            <w:pPr>
              <w:jc w:val="center"/>
            </w:pPr>
            <w:r w:rsidRPr="00AA02F8">
              <w:t>100 %</w:t>
            </w:r>
          </w:p>
        </w:tc>
        <w:tc>
          <w:tcPr>
            <w:tcW w:w="1236" w:type="dxa"/>
            <w:tcBorders>
              <w:top w:val="double" w:sz="4" w:space="0" w:color="auto"/>
            </w:tcBorders>
          </w:tcPr>
          <w:p w14:paraId="7CC607E3" w14:textId="77777777" w:rsidR="00366E90" w:rsidRPr="00AA02F8" w:rsidRDefault="00366E90" w:rsidP="00B43B6A"/>
          <w:p w14:paraId="54297F7B" w14:textId="54494223" w:rsidR="00366E90" w:rsidRPr="00AA02F8" w:rsidRDefault="00366E90" w:rsidP="00B43B6A">
            <w:pPr>
              <w:jc w:val="center"/>
            </w:pPr>
            <w:r w:rsidRPr="00AA02F8">
              <w:t>1</w:t>
            </w:r>
            <w:r w:rsidR="00EF3693" w:rsidRPr="00AA02F8">
              <w:t>00 %</w:t>
            </w:r>
          </w:p>
        </w:tc>
      </w:tr>
    </w:tbl>
    <w:p w14:paraId="3C626D8D" w14:textId="77777777" w:rsidR="00366E90" w:rsidRPr="00067F61" w:rsidRDefault="00366E90" w:rsidP="006C7CA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06"/>
        <w:gridCol w:w="1766"/>
        <w:gridCol w:w="1527"/>
        <w:gridCol w:w="1016"/>
        <w:gridCol w:w="1168"/>
        <w:gridCol w:w="1151"/>
        <w:gridCol w:w="1228"/>
      </w:tblGrid>
      <w:tr w:rsidR="00067F61" w:rsidRPr="00067F61" w14:paraId="0CEB255A" w14:textId="77777777" w:rsidTr="003B0172">
        <w:trPr>
          <w:trHeight w:val="757"/>
        </w:trPr>
        <w:tc>
          <w:tcPr>
            <w:tcW w:w="1206" w:type="dxa"/>
            <w:tcBorders>
              <w:bottom w:val="double" w:sz="4" w:space="0" w:color="auto"/>
            </w:tcBorders>
          </w:tcPr>
          <w:p w14:paraId="66E00504" w14:textId="77777777" w:rsidR="00366E90" w:rsidRPr="00AA02F8" w:rsidRDefault="00366E90" w:rsidP="00B43B6A">
            <w:pPr>
              <w:jc w:val="center"/>
            </w:pPr>
          </w:p>
          <w:p w14:paraId="3B2D4A36" w14:textId="77777777" w:rsidR="00366E90" w:rsidRPr="00AA02F8" w:rsidRDefault="00366E90" w:rsidP="00B43B6A">
            <w:pPr>
              <w:jc w:val="center"/>
            </w:pPr>
            <w:r w:rsidRPr="00AA02F8">
              <w:t>Pokazatelj rezultata</w:t>
            </w:r>
          </w:p>
        </w:tc>
        <w:tc>
          <w:tcPr>
            <w:tcW w:w="1766" w:type="dxa"/>
            <w:tcBorders>
              <w:bottom w:val="double" w:sz="4" w:space="0" w:color="auto"/>
            </w:tcBorders>
          </w:tcPr>
          <w:p w14:paraId="5384D8B3" w14:textId="77777777" w:rsidR="00366E90" w:rsidRPr="00AA02F8" w:rsidRDefault="00366E90" w:rsidP="00B43B6A">
            <w:pPr>
              <w:jc w:val="center"/>
            </w:pPr>
          </w:p>
          <w:p w14:paraId="2A7A3820" w14:textId="77777777" w:rsidR="00366E90" w:rsidRPr="00AA02F8" w:rsidRDefault="00366E90" w:rsidP="00B43B6A">
            <w:pPr>
              <w:jc w:val="center"/>
            </w:pPr>
            <w:r w:rsidRPr="00AA02F8">
              <w:t>Definicija</w:t>
            </w:r>
          </w:p>
        </w:tc>
        <w:tc>
          <w:tcPr>
            <w:tcW w:w="1527" w:type="dxa"/>
            <w:tcBorders>
              <w:bottom w:val="double" w:sz="4" w:space="0" w:color="auto"/>
            </w:tcBorders>
          </w:tcPr>
          <w:p w14:paraId="2DC7E916" w14:textId="77777777" w:rsidR="00366E90" w:rsidRPr="00AA02F8" w:rsidRDefault="00366E90" w:rsidP="00B43B6A">
            <w:pPr>
              <w:jc w:val="center"/>
            </w:pPr>
          </w:p>
          <w:p w14:paraId="6945B314" w14:textId="77777777" w:rsidR="00366E90" w:rsidRPr="00AA02F8" w:rsidRDefault="00366E90" w:rsidP="00B43B6A">
            <w:pPr>
              <w:jc w:val="center"/>
            </w:pPr>
            <w:r w:rsidRPr="00AA02F8">
              <w:t>Jedinica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31F3E80C" w14:textId="77777777" w:rsidR="00366E90" w:rsidRPr="00AA02F8" w:rsidRDefault="00366E90" w:rsidP="00B43B6A">
            <w:pPr>
              <w:jc w:val="center"/>
            </w:pPr>
          </w:p>
          <w:p w14:paraId="7519EFC5" w14:textId="77777777" w:rsidR="00366E90" w:rsidRPr="00AA02F8" w:rsidRDefault="00366E90" w:rsidP="00B43B6A">
            <w:pPr>
              <w:jc w:val="center"/>
            </w:pPr>
            <w:r w:rsidRPr="00AA02F8">
              <w:t>Polazna vrijednost</w:t>
            </w:r>
          </w:p>
        </w:tc>
        <w:tc>
          <w:tcPr>
            <w:tcW w:w="1168" w:type="dxa"/>
            <w:tcBorders>
              <w:bottom w:val="double" w:sz="4" w:space="0" w:color="auto"/>
            </w:tcBorders>
          </w:tcPr>
          <w:p w14:paraId="7F10497B" w14:textId="77777777" w:rsidR="00366E90" w:rsidRPr="00AA02F8" w:rsidRDefault="00366E90" w:rsidP="00B43B6A">
            <w:pPr>
              <w:jc w:val="center"/>
            </w:pPr>
          </w:p>
          <w:p w14:paraId="2EDFE9B2" w14:textId="77777777" w:rsidR="00366E90" w:rsidRPr="00AA02F8" w:rsidRDefault="00366E90" w:rsidP="00B43B6A">
            <w:pPr>
              <w:jc w:val="center"/>
            </w:pPr>
            <w:r w:rsidRPr="00AA02F8">
              <w:t>Izvor podataka</w:t>
            </w:r>
          </w:p>
        </w:tc>
        <w:tc>
          <w:tcPr>
            <w:tcW w:w="1151" w:type="dxa"/>
            <w:tcBorders>
              <w:bottom w:val="double" w:sz="4" w:space="0" w:color="auto"/>
            </w:tcBorders>
          </w:tcPr>
          <w:p w14:paraId="5F152ECC" w14:textId="6E7640A0" w:rsidR="00366E90" w:rsidRPr="00AA02F8" w:rsidRDefault="00366E90" w:rsidP="00B43B6A">
            <w:pPr>
              <w:jc w:val="center"/>
            </w:pPr>
            <w:r w:rsidRPr="00AA02F8">
              <w:t>Ciljana vrijednost za 202</w:t>
            </w:r>
            <w:r w:rsidR="003B0172" w:rsidRPr="00AA02F8">
              <w:t>4</w:t>
            </w:r>
            <w:r w:rsidRPr="00AA02F8">
              <w:t>.</w:t>
            </w:r>
          </w:p>
        </w:tc>
        <w:tc>
          <w:tcPr>
            <w:tcW w:w="1228" w:type="dxa"/>
            <w:tcBorders>
              <w:bottom w:val="double" w:sz="4" w:space="0" w:color="auto"/>
            </w:tcBorders>
          </w:tcPr>
          <w:p w14:paraId="4AB13FD8" w14:textId="3BE20417" w:rsidR="00366E90" w:rsidRPr="00AA02F8" w:rsidRDefault="00366E90" w:rsidP="00B43B6A">
            <w:pPr>
              <w:jc w:val="center"/>
            </w:pPr>
            <w:r w:rsidRPr="00AA02F8">
              <w:t>Ostvarenje na dan 31.12.202</w:t>
            </w:r>
            <w:r w:rsidR="003B0172" w:rsidRPr="00AA02F8">
              <w:t>4</w:t>
            </w:r>
            <w:r w:rsidRPr="00AA02F8">
              <w:t>.</w:t>
            </w:r>
          </w:p>
        </w:tc>
      </w:tr>
      <w:tr w:rsidR="00067F61" w:rsidRPr="00067F61" w14:paraId="5F84AF8C" w14:textId="77777777" w:rsidTr="003B0172">
        <w:tc>
          <w:tcPr>
            <w:tcW w:w="1206" w:type="dxa"/>
            <w:tcBorders>
              <w:top w:val="double" w:sz="4" w:space="0" w:color="auto"/>
            </w:tcBorders>
          </w:tcPr>
          <w:p w14:paraId="3404A60B" w14:textId="77777777" w:rsidR="00366E90" w:rsidRPr="00AA02F8" w:rsidRDefault="00366E90" w:rsidP="00B43B6A">
            <w:pPr>
              <w:jc w:val="both"/>
              <w:rPr>
                <w:lang w:eastAsia="hr-HR"/>
              </w:rPr>
            </w:pPr>
          </w:p>
          <w:p w14:paraId="3162BE40" w14:textId="3D544ADD" w:rsidR="00366E90" w:rsidRPr="00AA02F8" w:rsidRDefault="00EF3693" w:rsidP="00B43B6A">
            <w:r w:rsidRPr="00AA02F8">
              <w:rPr>
                <w:lang w:eastAsia="hr-HR"/>
              </w:rPr>
              <w:t>Povećanje broja uputnica HZRS</w:t>
            </w:r>
          </w:p>
        </w:tc>
        <w:tc>
          <w:tcPr>
            <w:tcW w:w="1766" w:type="dxa"/>
            <w:tcBorders>
              <w:top w:val="double" w:sz="4" w:space="0" w:color="auto"/>
            </w:tcBorders>
          </w:tcPr>
          <w:p w14:paraId="34297751" w14:textId="36990B1F" w:rsidR="00366E90" w:rsidRPr="00AA02F8" w:rsidRDefault="00EF3693" w:rsidP="00B43B6A">
            <w:r w:rsidRPr="00AA02F8">
              <w:rPr>
                <w:lang w:eastAsia="hr-HR"/>
              </w:rPr>
              <w:t xml:space="preserve">Što ranijim uključivanjem djece s teškoćama u rehabilitacijske postupke poticat će se razvoj u ključnim razvojnim područjima kako bi se maksimalno </w:t>
            </w:r>
            <w:r w:rsidR="003B0172" w:rsidRPr="00AA02F8">
              <w:rPr>
                <w:lang w:eastAsia="hr-HR"/>
              </w:rPr>
              <w:t>iskoristili razvojni potencijali</w:t>
            </w:r>
          </w:p>
        </w:tc>
        <w:tc>
          <w:tcPr>
            <w:tcW w:w="1527" w:type="dxa"/>
            <w:tcBorders>
              <w:top w:val="double" w:sz="4" w:space="0" w:color="auto"/>
            </w:tcBorders>
          </w:tcPr>
          <w:p w14:paraId="35D31EA4" w14:textId="77777777" w:rsidR="00366E90" w:rsidRPr="00AA02F8" w:rsidRDefault="00366E90" w:rsidP="00B43B6A">
            <w:pPr>
              <w:jc w:val="both"/>
              <w:rPr>
                <w:lang w:eastAsia="hr-HR"/>
              </w:rPr>
            </w:pPr>
          </w:p>
          <w:p w14:paraId="63083DC5" w14:textId="77777777" w:rsidR="0090405A" w:rsidRPr="00AA02F8" w:rsidRDefault="00366E90" w:rsidP="00B43B6A">
            <w:pPr>
              <w:jc w:val="center"/>
              <w:rPr>
                <w:lang w:eastAsia="hr-HR"/>
              </w:rPr>
            </w:pPr>
            <w:r w:rsidRPr="00AA02F8">
              <w:rPr>
                <w:lang w:eastAsia="hr-HR"/>
              </w:rPr>
              <w:t>Broj</w:t>
            </w:r>
            <w:r w:rsidR="0090405A" w:rsidRPr="00AA02F8">
              <w:rPr>
                <w:lang w:eastAsia="hr-HR"/>
              </w:rPr>
              <w:t xml:space="preserve"> korisnika</w:t>
            </w:r>
          </w:p>
          <w:p w14:paraId="7F4B469A" w14:textId="268C2028" w:rsidR="00366E90" w:rsidRPr="00AA02F8" w:rsidRDefault="00366E90" w:rsidP="00B43B6A">
            <w:pPr>
              <w:jc w:val="center"/>
            </w:pPr>
            <w:r w:rsidRPr="00AA02F8">
              <w:rPr>
                <w:lang w:eastAsia="hr-HR"/>
              </w:rPr>
              <w:t xml:space="preserve"> </w:t>
            </w:r>
            <w:r w:rsidR="0090405A" w:rsidRPr="00AA02F8">
              <w:rPr>
                <w:lang w:eastAsia="hr-HR"/>
              </w:rPr>
              <w:t xml:space="preserve">kojima je pružena socijalna </w:t>
            </w:r>
            <w:r w:rsidRPr="00AA02F8">
              <w:rPr>
                <w:lang w:eastAsia="hr-HR"/>
              </w:rPr>
              <w:t xml:space="preserve">usluge </w:t>
            </w:r>
            <w:r w:rsidR="0090405A" w:rsidRPr="00AA02F8">
              <w:rPr>
                <w:lang w:eastAsia="hr-HR"/>
              </w:rPr>
              <w:t>na temelju uputnice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5E077A9" w14:textId="77777777" w:rsidR="00366E90" w:rsidRPr="00AA02F8" w:rsidRDefault="00366E90" w:rsidP="00B43B6A"/>
          <w:p w14:paraId="0F5B4FA9" w14:textId="057689B6" w:rsidR="00366E90" w:rsidRPr="00AA02F8" w:rsidRDefault="003B0172" w:rsidP="00B43B6A">
            <w:pPr>
              <w:jc w:val="center"/>
            </w:pPr>
            <w:r w:rsidRPr="00AA02F8">
              <w:t>40</w:t>
            </w:r>
          </w:p>
        </w:tc>
        <w:tc>
          <w:tcPr>
            <w:tcW w:w="1168" w:type="dxa"/>
            <w:tcBorders>
              <w:top w:val="double" w:sz="4" w:space="0" w:color="auto"/>
            </w:tcBorders>
          </w:tcPr>
          <w:p w14:paraId="3D0BC1E3" w14:textId="77777777" w:rsidR="00366E90" w:rsidRPr="00AA02F8" w:rsidRDefault="00366E90" w:rsidP="00B43B6A">
            <w:pPr>
              <w:jc w:val="both"/>
              <w:rPr>
                <w:lang w:eastAsia="hr-HR"/>
              </w:rPr>
            </w:pPr>
          </w:p>
          <w:p w14:paraId="071A03D9" w14:textId="77777777" w:rsidR="00366E90" w:rsidRPr="00AA02F8" w:rsidRDefault="00366E90" w:rsidP="00B43B6A">
            <w:r w:rsidRPr="00AA02F8">
              <w:rPr>
                <w:lang w:eastAsia="hr-HR"/>
              </w:rPr>
              <w:t>COOR Podravsko sunce</w:t>
            </w:r>
          </w:p>
        </w:tc>
        <w:tc>
          <w:tcPr>
            <w:tcW w:w="1151" w:type="dxa"/>
            <w:tcBorders>
              <w:top w:val="double" w:sz="4" w:space="0" w:color="auto"/>
            </w:tcBorders>
          </w:tcPr>
          <w:p w14:paraId="0C126245" w14:textId="77777777" w:rsidR="00366E90" w:rsidRPr="00AA02F8" w:rsidRDefault="00366E90" w:rsidP="00B43B6A"/>
          <w:p w14:paraId="38509AA7" w14:textId="77777777" w:rsidR="00366E90" w:rsidRPr="00AA02F8" w:rsidRDefault="00366E90" w:rsidP="00B43B6A">
            <w:pPr>
              <w:jc w:val="center"/>
            </w:pPr>
            <w:r w:rsidRPr="00AA02F8">
              <w:t>50</w:t>
            </w:r>
          </w:p>
        </w:tc>
        <w:tc>
          <w:tcPr>
            <w:tcW w:w="1228" w:type="dxa"/>
            <w:tcBorders>
              <w:top w:val="double" w:sz="4" w:space="0" w:color="auto"/>
            </w:tcBorders>
          </w:tcPr>
          <w:p w14:paraId="0749CB3E" w14:textId="77777777" w:rsidR="00366E90" w:rsidRPr="00AA02F8" w:rsidRDefault="00366E90" w:rsidP="00B43B6A"/>
          <w:p w14:paraId="3506C372" w14:textId="78328966" w:rsidR="00366E90" w:rsidRPr="00AA02F8" w:rsidRDefault="0090405A" w:rsidP="00B43B6A">
            <w:pPr>
              <w:jc w:val="center"/>
            </w:pPr>
            <w:r w:rsidRPr="00AA02F8">
              <w:t>50</w:t>
            </w:r>
          </w:p>
        </w:tc>
      </w:tr>
    </w:tbl>
    <w:p w14:paraId="0B396213" w14:textId="77777777" w:rsidR="00366E90" w:rsidRPr="00067F61" w:rsidRDefault="00366E90" w:rsidP="006C7CA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386DD18" w14:textId="77777777" w:rsidR="00F0778F" w:rsidRPr="00823CE1" w:rsidRDefault="00F0778F" w:rsidP="007364DC">
      <w:pPr>
        <w:spacing w:after="0" w:line="240" w:lineRule="auto"/>
        <w:rPr>
          <w:rFonts w:ascii="Times New Roman" w:hAnsi="Times New Roman" w:cs="Times New Roman"/>
        </w:rPr>
      </w:pPr>
    </w:p>
    <w:p w14:paraId="47DCE0B9" w14:textId="77777777" w:rsidR="007364DC" w:rsidRPr="00ED061F" w:rsidRDefault="00D37766" w:rsidP="0080129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D061F">
        <w:rPr>
          <w:rFonts w:ascii="Times New Roman" w:hAnsi="Times New Roman" w:cs="Times New Roman"/>
          <w:u w:val="single"/>
        </w:rPr>
        <w:t>Aktivnost A300102: Odgojno i administrativno tehničko osoblje</w:t>
      </w:r>
    </w:p>
    <w:p w14:paraId="7FA5EE79" w14:textId="77777777" w:rsidR="00CD5B13" w:rsidRPr="00ED061F" w:rsidRDefault="00CD5B13" w:rsidP="00CD5B13">
      <w:pPr>
        <w:spacing w:after="0" w:line="240" w:lineRule="auto"/>
        <w:rPr>
          <w:rFonts w:ascii="Times New Roman" w:hAnsi="Times New Roman" w:cs="Times New Roman"/>
          <w:b/>
        </w:rPr>
      </w:pPr>
    </w:p>
    <w:p w14:paraId="1BBA8CEC" w14:textId="05FE979D" w:rsidR="00CD5B13" w:rsidRPr="00ED061F" w:rsidRDefault="0080129A" w:rsidP="00CD5B13">
      <w:pPr>
        <w:spacing w:after="0" w:line="240" w:lineRule="auto"/>
        <w:rPr>
          <w:rFonts w:ascii="Times New Roman" w:hAnsi="Times New Roman" w:cs="Times New Roman"/>
        </w:rPr>
      </w:pPr>
      <w:r w:rsidRPr="00ED061F">
        <w:rPr>
          <w:rFonts w:ascii="Times New Roman" w:hAnsi="Times New Roman" w:cs="Times New Roman"/>
        </w:rPr>
        <w:t>Ov</w:t>
      </w:r>
      <w:r w:rsidR="00DE373D" w:rsidRPr="00ED061F">
        <w:rPr>
          <w:rFonts w:ascii="Times New Roman" w:hAnsi="Times New Roman" w:cs="Times New Roman"/>
        </w:rPr>
        <w:t>a aktivnost obuhvaća rashode za zaposlene</w:t>
      </w:r>
      <w:r w:rsidRPr="00ED061F">
        <w:rPr>
          <w:rFonts w:ascii="Times New Roman" w:hAnsi="Times New Roman" w:cs="Times New Roman"/>
        </w:rPr>
        <w:t xml:space="preserve"> u programu predškolskog odgoja na skupini 31: plaće</w:t>
      </w:r>
      <w:r w:rsidR="00E72520" w:rsidRPr="00ED061F">
        <w:rPr>
          <w:rFonts w:ascii="Times New Roman" w:hAnsi="Times New Roman" w:cs="Times New Roman"/>
        </w:rPr>
        <w:t xml:space="preserve">, </w:t>
      </w:r>
      <w:r w:rsidRPr="00ED061F">
        <w:rPr>
          <w:rFonts w:ascii="Times New Roman" w:hAnsi="Times New Roman" w:cs="Times New Roman"/>
        </w:rPr>
        <w:t>ostale rashode za zaposlene i doprinose na plaće</w:t>
      </w:r>
      <w:r w:rsidR="00E72520" w:rsidRPr="00ED061F">
        <w:rPr>
          <w:rFonts w:ascii="Times New Roman" w:hAnsi="Times New Roman" w:cs="Times New Roman"/>
        </w:rPr>
        <w:t>;</w:t>
      </w:r>
      <w:r w:rsidR="00A24E34" w:rsidRPr="00ED061F">
        <w:rPr>
          <w:rFonts w:ascii="Times New Roman" w:hAnsi="Times New Roman" w:cs="Times New Roman"/>
        </w:rPr>
        <w:t xml:space="preserve"> na skupini 32: naknade troškova zaposlenima</w:t>
      </w:r>
      <w:r w:rsidR="00E72520" w:rsidRPr="00ED061F">
        <w:rPr>
          <w:rFonts w:ascii="Times New Roman" w:hAnsi="Times New Roman" w:cs="Times New Roman"/>
        </w:rPr>
        <w:t>,</w:t>
      </w:r>
      <w:r w:rsidR="005A20BA" w:rsidRPr="00ED061F">
        <w:rPr>
          <w:rFonts w:ascii="Times New Roman" w:hAnsi="Times New Roman" w:cs="Times New Roman"/>
        </w:rPr>
        <w:t xml:space="preserve"> zdravstvene</w:t>
      </w:r>
      <w:r w:rsidR="00A24E34" w:rsidRPr="00ED061F">
        <w:rPr>
          <w:rFonts w:ascii="Times New Roman" w:hAnsi="Times New Roman" w:cs="Times New Roman"/>
        </w:rPr>
        <w:t xml:space="preserve"> </w:t>
      </w:r>
      <w:r w:rsidR="00E72520" w:rsidRPr="00ED061F">
        <w:rPr>
          <w:rFonts w:ascii="Times New Roman" w:hAnsi="Times New Roman" w:cs="Times New Roman"/>
        </w:rPr>
        <w:t xml:space="preserve">usluge te </w:t>
      </w:r>
      <w:r w:rsidR="00A24E34" w:rsidRPr="00ED061F">
        <w:rPr>
          <w:rFonts w:ascii="Times New Roman" w:hAnsi="Times New Roman" w:cs="Times New Roman"/>
        </w:rPr>
        <w:t>ostale nespomenute rashode.</w:t>
      </w:r>
      <w:r w:rsidR="00E72520" w:rsidRPr="00ED061F">
        <w:rPr>
          <w:rFonts w:ascii="Times New Roman" w:hAnsi="Times New Roman" w:cs="Times New Roman"/>
        </w:rPr>
        <w:t xml:space="preserve"> </w:t>
      </w:r>
      <w:r w:rsidR="0054002E" w:rsidRPr="00ED061F">
        <w:rPr>
          <w:rFonts w:ascii="Times New Roman" w:hAnsi="Times New Roman" w:cs="Times New Roman"/>
        </w:rPr>
        <w:t xml:space="preserve">Financiranje </w:t>
      </w:r>
      <w:r w:rsidR="00E72520" w:rsidRPr="00ED061F">
        <w:rPr>
          <w:rFonts w:ascii="Times New Roman" w:hAnsi="Times New Roman" w:cs="Times New Roman"/>
        </w:rPr>
        <w:t xml:space="preserve">aktivnosti </w:t>
      </w:r>
      <w:r w:rsidR="0054002E" w:rsidRPr="00ED061F">
        <w:rPr>
          <w:rFonts w:ascii="Times New Roman" w:hAnsi="Times New Roman" w:cs="Times New Roman"/>
        </w:rPr>
        <w:t xml:space="preserve">je iz </w:t>
      </w:r>
      <w:r w:rsidR="00DF6F23" w:rsidRPr="00ED061F">
        <w:rPr>
          <w:rFonts w:ascii="Times New Roman" w:hAnsi="Times New Roman" w:cs="Times New Roman"/>
        </w:rPr>
        <w:t>proračuna Grada i općinskih proračuna.</w:t>
      </w:r>
      <w:r w:rsidR="00171A50" w:rsidRPr="00ED061F">
        <w:rPr>
          <w:rFonts w:ascii="Times New Roman" w:hAnsi="Times New Roman" w:cs="Times New Roman"/>
        </w:rPr>
        <w:t xml:space="preserve"> U vrtiću je tijekom godine boravilo 12 djece.</w:t>
      </w:r>
    </w:p>
    <w:p w14:paraId="04412E79" w14:textId="18AAAB72" w:rsidR="00896E0E" w:rsidRPr="00ED061F" w:rsidRDefault="008B6C54" w:rsidP="00CD5B13">
      <w:pPr>
        <w:spacing w:after="0" w:line="240" w:lineRule="auto"/>
        <w:rPr>
          <w:rFonts w:ascii="Times New Roman" w:hAnsi="Times New Roman" w:cs="Times New Roman"/>
        </w:rPr>
      </w:pPr>
      <w:r w:rsidRPr="00ED061F">
        <w:rPr>
          <w:rFonts w:ascii="Times New Roman" w:hAnsi="Times New Roman" w:cs="Times New Roman"/>
        </w:rPr>
        <w:t xml:space="preserve">Od planiranih </w:t>
      </w:r>
      <w:r w:rsidR="00601464" w:rsidRPr="00ED061F">
        <w:rPr>
          <w:rFonts w:ascii="Times New Roman" w:hAnsi="Times New Roman" w:cs="Times New Roman"/>
        </w:rPr>
        <w:t>163.857,00</w:t>
      </w:r>
      <w:r w:rsidR="005A20BA" w:rsidRPr="00ED061F">
        <w:rPr>
          <w:rFonts w:ascii="Times New Roman" w:hAnsi="Times New Roman" w:cs="Times New Roman"/>
        </w:rPr>
        <w:t xml:space="preserve"> €</w:t>
      </w:r>
      <w:r w:rsidR="00A16865" w:rsidRPr="00ED061F">
        <w:rPr>
          <w:rFonts w:ascii="Times New Roman" w:hAnsi="Times New Roman" w:cs="Times New Roman"/>
        </w:rPr>
        <w:t xml:space="preserve"> rashoda</w:t>
      </w:r>
      <w:r w:rsidRPr="00ED061F">
        <w:rPr>
          <w:rFonts w:ascii="Times New Roman" w:hAnsi="Times New Roman" w:cs="Times New Roman"/>
        </w:rPr>
        <w:t xml:space="preserve"> </w:t>
      </w:r>
      <w:r w:rsidR="00AC062B" w:rsidRPr="00ED061F">
        <w:rPr>
          <w:rFonts w:ascii="Times New Roman" w:hAnsi="Times New Roman" w:cs="Times New Roman"/>
        </w:rPr>
        <w:t>izvršeno</w:t>
      </w:r>
      <w:r w:rsidRPr="00ED061F">
        <w:rPr>
          <w:rFonts w:ascii="Times New Roman" w:hAnsi="Times New Roman" w:cs="Times New Roman"/>
        </w:rPr>
        <w:t xml:space="preserve"> je </w:t>
      </w:r>
      <w:r w:rsidR="00601464" w:rsidRPr="00ED061F">
        <w:rPr>
          <w:rFonts w:ascii="Times New Roman" w:hAnsi="Times New Roman" w:cs="Times New Roman"/>
        </w:rPr>
        <w:t>163.650,43</w:t>
      </w:r>
      <w:r w:rsidR="005A20BA" w:rsidRPr="00ED061F">
        <w:rPr>
          <w:rFonts w:ascii="Times New Roman" w:hAnsi="Times New Roman" w:cs="Times New Roman"/>
        </w:rPr>
        <w:t xml:space="preserve"> €</w:t>
      </w:r>
      <w:r w:rsidRPr="00ED061F">
        <w:rPr>
          <w:rFonts w:ascii="Times New Roman" w:hAnsi="Times New Roman" w:cs="Times New Roman"/>
        </w:rPr>
        <w:t xml:space="preserve">, postotno </w:t>
      </w:r>
      <w:r w:rsidR="0019546C" w:rsidRPr="00ED061F">
        <w:rPr>
          <w:rFonts w:ascii="Times New Roman" w:hAnsi="Times New Roman" w:cs="Times New Roman"/>
        </w:rPr>
        <w:t>9</w:t>
      </w:r>
      <w:r w:rsidR="00601464" w:rsidRPr="00ED061F">
        <w:rPr>
          <w:rFonts w:ascii="Times New Roman" w:hAnsi="Times New Roman" w:cs="Times New Roman"/>
        </w:rPr>
        <w:t>9,87</w:t>
      </w:r>
      <w:r w:rsidR="001625DF" w:rsidRPr="00ED061F">
        <w:rPr>
          <w:rFonts w:ascii="Times New Roman" w:hAnsi="Times New Roman" w:cs="Times New Roman"/>
        </w:rPr>
        <w:t>%</w:t>
      </w:r>
      <w:r w:rsidR="00E72520" w:rsidRPr="00ED061F">
        <w:rPr>
          <w:rFonts w:ascii="Times New Roman" w:hAnsi="Times New Roman" w:cs="Times New Roman"/>
        </w:rPr>
        <w:t xml:space="preserve">, </w:t>
      </w:r>
      <w:r w:rsidR="00896E0E" w:rsidRPr="00ED061F">
        <w:rPr>
          <w:rFonts w:ascii="Times New Roman" w:hAnsi="Times New Roman" w:cs="Times New Roman"/>
        </w:rPr>
        <w:t xml:space="preserve">od čega su plaće sa obveznim doprinosom iznosile </w:t>
      </w:r>
      <w:r w:rsidR="001C211A">
        <w:rPr>
          <w:rFonts w:ascii="Times New Roman" w:hAnsi="Times New Roman" w:cs="Times New Roman"/>
        </w:rPr>
        <w:t>153.910,82</w:t>
      </w:r>
      <w:r w:rsidR="00896E0E" w:rsidRPr="00ED061F">
        <w:rPr>
          <w:rFonts w:ascii="Times New Roman" w:hAnsi="Times New Roman" w:cs="Times New Roman"/>
        </w:rPr>
        <w:t xml:space="preserve"> €, ostali rashodi za zaposlene </w:t>
      </w:r>
      <w:r w:rsidR="00601464" w:rsidRPr="00ED061F">
        <w:rPr>
          <w:rFonts w:ascii="Times New Roman" w:hAnsi="Times New Roman" w:cs="Times New Roman"/>
        </w:rPr>
        <w:t>4.100,00</w:t>
      </w:r>
      <w:r w:rsidR="00896E0E" w:rsidRPr="00ED061F">
        <w:rPr>
          <w:rFonts w:ascii="Times New Roman" w:hAnsi="Times New Roman" w:cs="Times New Roman"/>
        </w:rPr>
        <w:t xml:space="preserve"> €, naknade troškova zaposlenima (putni troškovi) </w:t>
      </w:r>
      <w:r w:rsidR="00601464" w:rsidRPr="00ED061F">
        <w:rPr>
          <w:rFonts w:ascii="Times New Roman" w:hAnsi="Times New Roman" w:cs="Times New Roman"/>
        </w:rPr>
        <w:t>4.770,07</w:t>
      </w:r>
      <w:r w:rsidR="00896E0E" w:rsidRPr="00ED061F">
        <w:rPr>
          <w:rFonts w:ascii="Times New Roman" w:hAnsi="Times New Roman" w:cs="Times New Roman"/>
        </w:rPr>
        <w:t xml:space="preserve"> €</w:t>
      </w:r>
      <w:r w:rsidR="0019546C" w:rsidRPr="00ED061F">
        <w:rPr>
          <w:rFonts w:ascii="Times New Roman" w:hAnsi="Times New Roman" w:cs="Times New Roman"/>
        </w:rPr>
        <w:t>, rashodi za usluge (zdravstvene) 31</w:t>
      </w:r>
      <w:r w:rsidR="00601464" w:rsidRPr="00ED061F">
        <w:rPr>
          <w:rFonts w:ascii="Times New Roman" w:hAnsi="Times New Roman" w:cs="Times New Roman"/>
        </w:rPr>
        <w:t>9,50</w:t>
      </w:r>
      <w:r w:rsidR="0019546C" w:rsidRPr="00ED061F">
        <w:rPr>
          <w:rFonts w:ascii="Times New Roman" w:hAnsi="Times New Roman" w:cs="Times New Roman"/>
        </w:rPr>
        <w:t xml:space="preserve"> €</w:t>
      </w:r>
      <w:r w:rsidR="00896E0E" w:rsidRPr="00ED061F">
        <w:rPr>
          <w:rFonts w:ascii="Times New Roman" w:hAnsi="Times New Roman" w:cs="Times New Roman"/>
        </w:rPr>
        <w:t xml:space="preserve"> i ostali nespomenuti rashodi</w:t>
      </w:r>
      <w:r w:rsidR="00601464" w:rsidRPr="00ED061F">
        <w:rPr>
          <w:rFonts w:ascii="Times New Roman" w:hAnsi="Times New Roman" w:cs="Times New Roman"/>
        </w:rPr>
        <w:t xml:space="preserve"> (troškovi sudskog postupka)</w:t>
      </w:r>
      <w:r w:rsidR="00896E0E" w:rsidRPr="00ED061F">
        <w:rPr>
          <w:rFonts w:ascii="Times New Roman" w:hAnsi="Times New Roman" w:cs="Times New Roman"/>
        </w:rPr>
        <w:t xml:space="preserve"> </w:t>
      </w:r>
      <w:r w:rsidR="00601464" w:rsidRPr="00ED061F">
        <w:rPr>
          <w:rFonts w:ascii="Times New Roman" w:hAnsi="Times New Roman" w:cs="Times New Roman"/>
        </w:rPr>
        <w:t>275,70</w:t>
      </w:r>
      <w:r w:rsidR="00896E0E" w:rsidRPr="00ED061F">
        <w:rPr>
          <w:rFonts w:ascii="Times New Roman" w:hAnsi="Times New Roman" w:cs="Times New Roman"/>
        </w:rPr>
        <w:t xml:space="preserve"> €</w:t>
      </w:r>
      <w:r w:rsidR="00601464" w:rsidRPr="00ED061F">
        <w:rPr>
          <w:rFonts w:ascii="Times New Roman" w:hAnsi="Times New Roman" w:cs="Times New Roman"/>
        </w:rPr>
        <w:t xml:space="preserve"> te ostali financijski rashodi (zatezne kamate) 274,34 €. </w:t>
      </w:r>
    </w:p>
    <w:p w14:paraId="5EBD020A" w14:textId="1A67C176" w:rsidR="001625DF" w:rsidRPr="00ED061F" w:rsidRDefault="00AC062B" w:rsidP="00CD5B13">
      <w:pPr>
        <w:spacing w:after="0" w:line="240" w:lineRule="auto"/>
        <w:rPr>
          <w:rFonts w:ascii="Times New Roman" w:hAnsi="Times New Roman" w:cs="Times New Roman"/>
        </w:rPr>
      </w:pPr>
      <w:r w:rsidRPr="00ED061F">
        <w:rPr>
          <w:rFonts w:ascii="Times New Roman" w:hAnsi="Times New Roman" w:cs="Times New Roman"/>
        </w:rPr>
        <w:t>F</w:t>
      </w:r>
      <w:r w:rsidR="00A16865" w:rsidRPr="00ED061F">
        <w:rPr>
          <w:rFonts w:ascii="Times New Roman" w:hAnsi="Times New Roman" w:cs="Times New Roman"/>
        </w:rPr>
        <w:t xml:space="preserve">inanciranje </w:t>
      </w:r>
      <w:r w:rsidR="00E61108">
        <w:rPr>
          <w:rFonts w:ascii="Times New Roman" w:hAnsi="Times New Roman" w:cs="Times New Roman"/>
        </w:rPr>
        <w:t xml:space="preserve">rashoda </w:t>
      </w:r>
      <w:r w:rsidR="00A16865" w:rsidRPr="00ED061F">
        <w:rPr>
          <w:rFonts w:ascii="Times New Roman" w:hAnsi="Times New Roman" w:cs="Times New Roman"/>
        </w:rPr>
        <w:t xml:space="preserve">iz </w:t>
      </w:r>
      <w:r w:rsidR="004C122B" w:rsidRPr="00ED061F">
        <w:rPr>
          <w:rFonts w:ascii="Times New Roman" w:hAnsi="Times New Roman" w:cs="Times New Roman"/>
        </w:rPr>
        <w:t xml:space="preserve">proračuna Grada </w:t>
      </w:r>
      <w:r w:rsidR="00221DF5" w:rsidRPr="00ED061F">
        <w:rPr>
          <w:rFonts w:ascii="Times New Roman" w:hAnsi="Times New Roman" w:cs="Times New Roman"/>
        </w:rPr>
        <w:t xml:space="preserve">iznosilo </w:t>
      </w:r>
      <w:r w:rsidR="00896E0E" w:rsidRPr="00ED061F">
        <w:rPr>
          <w:rFonts w:ascii="Times New Roman" w:hAnsi="Times New Roman" w:cs="Times New Roman"/>
        </w:rPr>
        <w:t xml:space="preserve">je </w:t>
      </w:r>
      <w:r w:rsidR="00601464" w:rsidRPr="00ED061F">
        <w:rPr>
          <w:rFonts w:ascii="Times New Roman" w:hAnsi="Times New Roman" w:cs="Times New Roman"/>
        </w:rPr>
        <w:t>15</w:t>
      </w:r>
      <w:r w:rsidR="00ED061F" w:rsidRPr="00ED061F">
        <w:rPr>
          <w:rFonts w:ascii="Times New Roman" w:hAnsi="Times New Roman" w:cs="Times New Roman"/>
        </w:rPr>
        <w:t>2.438,57</w:t>
      </w:r>
      <w:r w:rsidR="00896E0E" w:rsidRPr="00ED061F">
        <w:rPr>
          <w:rFonts w:ascii="Times New Roman" w:hAnsi="Times New Roman" w:cs="Times New Roman"/>
        </w:rPr>
        <w:t xml:space="preserve"> €</w:t>
      </w:r>
      <w:r w:rsidR="00E77980" w:rsidRPr="00ED061F">
        <w:rPr>
          <w:rFonts w:ascii="Times New Roman" w:hAnsi="Times New Roman" w:cs="Times New Roman"/>
        </w:rPr>
        <w:t xml:space="preserve">, </w:t>
      </w:r>
      <w:r w:rsidR="00896E0E" w:rsidRPr="00ED061F">
        <w:rPr>
          <w:rFonts w:ascii="Times New Roman" w:hAnsi="Times New Roman" w:cs="Times New Roman"/>
        </w:rPr>
        <w:t xml:space="preserve">a </w:t>
      </w:r>
      <w:r w:rsidR="008B6C54" w:rsidRPr="00ED061F">
        <w:rPr>
          <w:rFonts w:ascii="Times New Roman" w:hAnsi="Times New Roman" w:cs="Times New Roman"/>
        </w:rPr>
        <w:t xml:space="preserve">iz </w:t>
      </w:r>
      <w:r w:rsidR="005A20BA" w:rsidRPr="00ED061F">
        <w:rPr>
          <w:rFonts w:ascii="Times New Roman" w:hAnsi="Times New Roman" w:cs="Times New Roman"/>
        </w:rPr>
        <w:t>lokalnih</w:t>
      </w:r>
      <w:r w:rsidR="008B6C54" w:rsidRPr="00ED061F">
        <w:rPr>
          <w:rFonts w:ascii="Times New Roman" w:hAnsi="Times New Roman" w:cs="Times New Roman"/>
        </w:rPr>
        <w:t xml:space="preserve"> proračuna</w:t>
      </w:r>
      <w:r w:rsidR="005A20BA" w:rsidRPr="00ED061F">
        <w:rPr>
          <w:rFonts w:ascii="Times New Roman" w:hAnsi="Times New Roman" w:cs="Times New Roman"/>
        </w:rPr>
        <w:t xml:space="preserve"> (Grad Đurđevac i općine Peteranec, Molve, Koprivnički Bregi</w:t>
      </w:r>
      <w:r w:rsidR="00820140" w:rsidRPr="00ED061F">
        <w:rPr>
          <w:rFonts w:ascii="Times New Roman" w:hAnsi="Times New Roman" w:cs="Times New Roman"/>
        </w:rPr>
        <w:t xml:space="preserve">, </w:t>
      </w:r>
      <w:r w:rsidR="008F7A18">
        <w:rPr>
          <w:rFonts w:ascii="Times New Roman" w:hAnsi="Times New Roman" w:cs="Times New Roman"/>
        </w:rPr>
        <w:t>Novigrad Podravski</w:t>
      </w:r>
      <w:r w:rsidR="00820140" w:rsidRPr="00ED061F">
        <w:rPr>
          <w:rFonts w:ascii="Times New Roman" w:hAnsi="Times New Roman" w:cs="Times New Roman"/>
        </w:rPr>
        <w:t xml:space="preserve"> i Gola</w:t>
      </w:r>
      <w:r w:rsidR="005A20BA" w:rsidRPr="00ED061F">
        <w:rPr>
          <w:rFonts w:ascii="Times New Roman" w:hAnsi="Times New Roman" w:cs="Times New Roman"/>
        </w:rPr>
        <w:t>)</w:t>
      </w:r>
      <w:r w:rsidR="008B6C54" w:rsidRPr="00ED061F">
        <w:rPr>
          <w:rFonts w:ascii="Times New Roman" w:hAnsi="Times New Roman" w:cs="Times New Roman"/>
        </w:rPr>
        <w:t xml:space="preserve"> </w:t>
      </w:r>
      <w:r w:rsidR="007162D8" w:rsidRPr="00ED061F">
        <w:rPr>
          <w:rFonts w:ascii="Times New Roman" w:hAnsi="Times New Roman" w:cs="Times New Roman"/>
        </w:rPr>
        <w:t>1</w:t>
      </w:r>
      <w:r w:rsidR="00601464" w:rsidRPr="00ED061F">
        <w:rPr>
          <w:rFonts w:ascii="Times New Roman" w:hAnsi="Times New Roman" w:cs="Times New Roman"/>
        </w:rPr>
        <w:t>1.211,86</w:t>
      </w:r>
      <w:r w:rsidR="005A20BA" w:rsidRPr="00ED061F">
        <w:rPr>
          <w:rFonts w:ascii="Times New Roman" w:hAnsi="Times New Roman" w:cs="Times New Roman"/>
        </w:rPr>
        <w:t xml:space="preserve"> €</w:t>
      </w:r>
      <w:r w:rsidR="00711379" w:rsidRPr="00ED061F">
        <w:rPr>
          <w:rFonts w:ascii="Times New Roman" w:hAnsi="Times New Roman" w:cs="Times New Roman"/>
        </w:rPr>
        <w:t>.</w:t>
      </w:r>
    </w:p>
    <w:p w14:paraId="14041E57" w14:textId="77777777" w:rsidR="00A24E34" w:rsidRPr="00823CE1" w:rsidRDefault="00A24E34" w:rsidP="00CD5B13">
      <w:pPr>
        <w:spacing w:after="0" w:line="240" w:lineRule="auto"/>
        <w:rPr>
          <w:rFonts w:ascii="Times New Roman" w:hAnsi="Times New Roman" w:cs="Times New Roman"/>
        </w:rPr>
      </w:pPr>
    </w:p>
    <w:p w14:paraId="7D0CA7E0" w14:textId="77777777" w:rsidR="00A24E34" w:rsidRPr="003B5DDE" w:rsidRDefault="00D37766" w:rsidP="00CD5B13">
      <w:pPr>
        <w:spacing w:after="0" w:line="240" w:lineRule="auto"/>
        <w:rPr>
          <w:rFonts w:ascii="Times New Roman" w:hAnsi="Times New Roman" w:cs="Times New Roman"/>
          <w:u w:val="single"/>
        </w:rPr>
      </w:pPr>
      <w:bookmarkStart w:id="0" w:name="_Hlk69382547"/>
      <w:r w:rsidRPr="003B5DDE">
        <w:rPr>
          <w:rFonts w:ascii="Times New Roman" w:hAnsi="Times New Roman" w:cs="Times New Roman"/>
          <w:u w:val="single"/>
        </w:rPr>
        <w:t>Aktivnost A300106: Didaktika, pomagala</w:t>
      </w:r>
    </w:p>
    <w:bookmarkEnd w:id="0"/>
    <w:p w14:paraId="69912606" w14:textId="77777777" w:rsidR="00E8509D" w:rsidRPr="003B5DDE" w:rsidRDefault="00E8509D" w:rsidP="00CD5B13">
      <w:pPr>
        <w:spacing w:after="0" w:line="240" w:lineRule="auto"/>
        <w:rPr>
          <w:rFonts w:ascii="Times New Roman" w:hAnsi="Times New Roman" w:cs="Times New Roman"/>
        </w:rPr>
      </w:pPr>
    </w:p>
    <w:p w14:paraId="0D699421" w14:textId="0907CEEB" w:rsidR="00FA1E34" w:rsidRPr="003B5DDE" w:rsidRDefault="00A24E34" w:rsidP="00CD5B13">
      <w:pPr>
        <w:spacing w:after="0" w:line="240" w:lineRule="auto"/>
        <w:rPr>
          <w:rFonts w:ascii="Times New Roman" w:hAnsi="Times New Roman" w:cs="Times New Roman"/>
        </w:rPr>
      </w:pPr>
      <w:r w:rsidRPr="003B5DDE">
        <w:rPr>
          <w:rFonts w:ascii="Times New Roman" w:hAnsi="Times New Roman" w:cs="Times New Roman"/>
        </w:rPr>
        <w:t xml:space="preserve">Rashodi </w:t>
      </w:r>
      <w:r w:rsidR="0054002E" w:rsidRPr="003B5DDE">
        <w:rPr>
          <w:rFonts w:ascii="Times New Roman" w:hAnsi="Times New Roman" w:cs="Times New Roman"/>
        </w:rPr>
        <w:t>ove aktivnosti financirani su</w:t>
      </w:r>
      <w:r w:rsidRPr="003B5DDE">
        <w:rPr>
          <w:rFonts w:ascii="Times New Roman" w:hAnsi="Times New Roman" w:cs="Times New Roman"/>
        </w:rPr>
        <w:t xml:space="preserve"> </w:t>
      </w:r>
      <w:r w:rsidR="00896E0E" w:rsidRPr="003B5DDE">
        <w:rPr>
          <w:rFonts w:ascii="Times New Roman" w:hAnsi="Times New Roman" w:cs="Times New Roman"/>
        </w:rPr>
        <w:t xml:space="preserve">u cijelosti </w:t>
      </w:r>
      <w:r w:rsidRPr="003B5DDE">
        <w:rPr>
          <w:rFonts w:ascii="Times New Roman" w:hAnsi="Times New Roman" w:cs="Times New Roman"/>
        </w:rPr>
        <w:t>iz proračuna MZO</w:t>
      </w:r>
      <w:r w:rsidR="00AA02F8" w:rsidRPr="003B5DDE">
        <w:rPr>
          <w:rFonts w:ascii="Times New Roman" w:hAnsi="Times New Roman" w:cs="Times New Roman"/>
        </w:rPr>
        <w:t>M</w:t>
      </w:r>
      <w:r w:rsidRPr="003B5DDE">
        <w:rPr>
          <w:rFonts w:ascii="Times New Roman" w:hAnsi="Times New Roman" w:cs="Times New Roman"/>
        </w:rPr>
        <w:t>, a visina upla</w:t>
      </w:r>
      <w:r w:rsidR="0054002E" w:rsidRPr="003B5DDE">
        <w:rPr>
          <w:rFonts w:ascii="Times New Roman" w:hAnsi="Times New Roman" w:cs="Times New Roman"/>
        </w:rPr>
        <w:t>te određena je brojem djece koja polaze vr</w:t>
      </w:r>
      <w:r w:rsidR="00AF0751" w:rsidRPr="003B5DDE">
        <w:rPr>
          <w:rFonts w:ascii="Times New Roman" w:hAnsi="Times New Roman" w:cs="Times New Roman"/>
        </w:rPr>
        <w:t>tić</w:t>
      </w:r>
      <w:r w:rsidR="0054002E" w:rsidRPr="003B5DDE">
        <w:rPr>
          <w:rFonts w:ascii="Times New Roman" w:hAnsi="Times New Roman" w:cs="Times New Roman"/>
        </w:rPr>
        <w:t xml:space="preserve"> </w:t>
      </w:r>
      <w:r w:rsidRPr="003B5DDE">
        <w:rPr>
          <w:rFonts w:ascii="Times New Roman" w:hAnsi="Times New Roman" w:cs="Times New Roman"/>
        </w:rPr>
        <w:t>i odlukom Ministarstva</w:t>
      </w:r>
      <w:r w:rsidR="0054002E" w:rsidRPr="003B5DDE">
        <w:rPr>
          <w:rFonts w:ascii="Times New Roman" w:hAnsi="Times New Roman" w:cs="Times New Roman"/>
        </w:rPr>
        <w:t xml:space="preserve"> o visini mjesečno</w:t>
      </w:r>
      <w:r w:rsidR="00266284" w:rsidRPr="003B5DDE">
        <w:rPr>
          <w:rFonts w:ascii="Times New Roman" w:hAnsi="Times New Roman" w:cs="Times New Roman"/>
        </w:rPr>
        <w:t>g iznosa po djetetu.</w:t>
      </w:r>
      <w:r w:rsidR="00896E0E" w:rsidRPr="003B5DDE">
        <w:rPr>
          <w:rFonts w:ascii="Times New Roman" w:hAnsi="Times New Roman" w:cs="Times New Roman"/>
        </w:rPr>
        <w:t xml:space="preserve"> MZO</w:t>
      </w:r>
      <w:r w:rsidR="00AA02F8" w:rsidRPr="003B5DDE">
        <w:rPr>
          <w:rFonts w:ascii="Times New Roman" w:hAnsi="Times New Roman" w:cs="Times New Roman"/>
        </w:rPr>
        <w:t>M</w:t>
      </w:r>
      <w:r w:rsidR="00896E0E" w:rsidRPr="003B5DDE">
        <w:rPr>
          <w:rFonts w:ascii="Times New Roman" w:hAnsi="Times New Roman" w:cs="Times New Roman"/>
        </w:rPr>
        <w:t xml:space="preserve"> je</w:t>
      </w:r>
      <w:r w:rsidR="00D44551" w:rsidRPr="003B5DDE">
        <w:rPr>
          <w:rFonts w:ascii="Times New Roman" w:hAnsi="Times New Roman" w:cs="Times New Roman"/>
        </w:rPr>
        <w:t xml:space="preserve"> uplatilo </w:t>
      </w:r>
      <w:r w:rsidR="00D43C33" w:rsidRPr="003B5DDE">
        <w:rPr>
          <w:rFonts w:ascii="Times New Roman" w:hAnsi="Times New Roman" w:cs="Times New Roman"/>
        </w:rPr>
        <w:t>9.940</w:t>
      </w:r>
      <w:r w:rsidR="00D44551" w:rsidRPr="003B5DDE">
        <w:rPr>
          <w:rFonts w:ascii="Times New Roman" w:hAnsi="Times New Roman" w:cs="Times New Roman"/>
        </w:rPr>
        <w:t>,00 € putem</w:t>
      </w:r>
      <w:r w:rsidR="00896E0E" w:rsidRPr="003B5DDE">
        <w:rPr>
          <w:rFonts w:ascii="Times New Roman" w:hAnsi="Times New Roman" w:cs="Times New Roman"/>
        </w:rPr>
        <w:t xml:space="preserve"> </w:t>
      </w:r>
      <w:r w:rsidR="00D44551" w:rsidRPr="003B5DDE">
        <w:rPr>
          <w:rFonts w:ascii="Times New Roman" w:hAnsi="Times New Roman" w:cs="Times New Roman"/>
        </w:rPr>
        <w:t xml:space="preserve">8 </w:t>
      </w:r>
      <w:r w:rsidR="00896E0E" w:rsidRPr="003B5DDE">
        <w:rPr>
          <w:rFonts w:ascii="Times New Roman" w:hAnsi="Times New Roman" w:cs="Times New Roman"/>
        </w:rPr>
        <w:t>mjesečn</w:t>
      </w:r>
      <w:r w:rsidR="00D44551" w:rsidRPr="003B5DDE">
        <w:rPr>
          <w:rFonts w:ascii="Times New Roman" w:hAnsi="Times New Roman" w:cs="Times New Roman"/>
        </w:rPr>
        <w:t>ih</w:t>
      </w:r>
      <w:r w:rsidR="00896E0E" w:rsidRPr="003B5DDE">
        <w:rPr>
          <w:rFonts w:ascii="Times New Roman" w:hAnsi="Times New Roman" w:cs="Times New Roman"/>
        </w:rPr>
        <w:t xml:space="preserve"> </w:t>
      </w:r>
      <w:r w:rsidR="00D44551" w:rsidRPr="003B5DDE">
        <w:rPr>
          <w:rFonts w:ascii="Times New Roman" w:hAnsi="Times New Roman" w:cs="Times New Roman"/>
        </w:rPr>
        <w:t>rata</w:t>
      </w:r>
      <w:r w:rsidR="00896E0E" w:rsidRPr="003B5DDE">
        <w:rPr>
          <w:rFonts w:ascii="Times New Roman" w:hAnsi="Times New Roman" w:cs="Times New Roman"/>
        </w:rPr>
        <w:t xml:space="preserve"> od po 1</w:t>
      </w:r>
      <w:r w:rsidR="00D43C33" w:rsidRPr="003B5DDE">
        <w:rPr>
          <w:rFonts w:ascii="Times New Roman" w:hAnsi="Times New Roman" w:cs="Times New Roman"/>
        </w:rPr>
        <w:t>.142</w:t>
      </w:r>
      <w:r w:rsidR="00896E0E" w:rsidRPr="003B5DDE">
        <w:rPr>
          <w:rFonts w:ascii="Times New Roman" w:hAnsi="Times New Roman" w:cs="Times New Roman"/>
        </w:rPr>
        <w:t>,00 €</w:t>
      </w:r>
      <w:r w:rsidR="00D43C33" w:rsidRPr="003B5DDE">
        <w:rPr>
          <w:rFonts w:ascii="Times New Roman" w:hAnsi="Times New Roman" w:cs="Times New Roman"/>
        </w:rPr>
        <w:t xml:space="preserve"> plus još 804,00 €.</w:t>
      </w:r>
    </w:p>
    <w:p w14:paraId="006C9285" w14:textId="673B890A" w:rsidR="00221DF5" w:rsidRPr="003B5DDE" w:rsidRDefault="00266284" w:rsidP="00CD5B13">
      <w:pPr>
        <w:spacing w:after="0" w:line="240" w:lineRule="auto"/>
        <w:rPr>
          <w:rFonts w:ascii="Times New Roman" w:hAnsi="Times New Roman" w:cs="Times New Roman"/>
        </w:rPr>
      </w:pPr>
      <w:r w:rsidRPr="003B5DDE">
        <w:rPr>
          <w:rFonts w:ascii="Times New Roman" w:hAnsi="Times New Roman" w:cs="Times New Roman"/>
        </w:rPr>
        <w:t>Sredstva su korištena</w:t>
      </w:r>
      <w:r w:rsidR="0054002E" w:rsidRPr="003B5DDE">
        <w:rPr>
          <w:rFonts w:ascii="Times New Roman" w:hAnsi="Times New Roman" w:cs="Times New Roman"/>
        </w:rPr>
        <w:t xml:space="preserve"> za</w:t>
      </w:r>
      <w:r w:rsidR="00594C77" w:rsidRPr="003B5DDE">
        <w:rPr>
          <w:rFonts w:ascii="Times New Roman" w:hAnsi="Times New Roman" w:cs="Times New Roman"/>
        </w:rPr>
        <w:t xml:space="preserve"> </w:t>
      </w:r>
      <w:r w:rsidR="008068DC" w:rsidRPr="003B5DDE">
        <w:rPr>
          <w:rFonts w:ascii="Times New Roman" w:hAnsi="Times New Roman" w:cs="Times New Roman"/>
        </w:rPr>
        <w:t xml:space="preserve">stručno usavršavanje </w:t>
      </w:r>
      <w:r w:rsidR="00BB7F26" w:rsidRPr="003B5DDE">
        <w:rPr>
          <w:rFonts w:ascii="Times New Roman" w:hAnsi="Times New Roman" w:cs="Times New Roman"/>
        </w:rPr>
        <w:t xml:space="preserve">i povezano s tim, službena putovanja, </w:t>
      </w:r>
      <w:r w:rsidR="008068DC" w:rsidRPr="003B5DDE">
        <w:rPr>
          <w:rFonts w:ascii="Times New Roman" w:hAnsi="Times New Roman" w:cs="Times New Roman"/>
        </w:rPr>
        <w:t xml:space="preserve">u visini od </w:t>
      </w:r>
      <w:r w:rsidR="00D44551" w:rsidRPr="003B5DDE">
        <w:rPr>
          <w:rFonts w:ascii="Times New Roman" w:hAnsi="Times New Roman" w:cs="Times New Roman"/>
        </w:rPr>
        <w:t>1</w:t>
      </w:r>
      <w:r w:rsidR="00D43C33" w:rsidRPr="003B5DDE">
        <w:rPr>
          <w:rFonts w:ascii="Times New Roman" w:hAnsi="Times New Roman" w:cs="Times New Roman"/>
        </w:rPr>
        <w:t>.525,60</w:t>
      </w:r>
      <w:r w:rsidR="00896E0E" w:rsidRPr="003B5DDE">
        <w:rPr>
          <w:rFonts w:ascii="Times New Roman" w:hAnsi="Times New Roman" w:cs="Times New Roman"/>
        </w:rPr>
        <w:t xml:space="preserve"> €</w:t>
      </w:r>
      <w:r w:rsidR="0054002E" w:rsidRPr="003B5DDE">
        <w:rPr>
          <w:rFonts w:ascii="Times New Roman" w:hAnsi="Times New Roman" w:cs="Times New Roman"/>
        </w:rPr>
        <w:t>,</w:t>
      </w:r>
      <w:r w:rsidR="008068DC" w:rsidRPr="003B5DDE">
        <w:rPr>
          <w:rFonts w:ascii="Times New Roman" w:hAnsi="Times New Roman" w:cs="Times New Roman"/>
        </w:rPr>
        <w:t xml:space="preserve"> za </w:t>
      </w:r>
      <w:r w:rsidR="0054002E" w:rsidRPr="003B5DDE">
        <w:rPr>
          <w:rFonts w:ascii="Times New Roman" w:hAnsi="Times New Roman" w:cs="Times New Roman"/>
        </w:rPr>
        <w:t xml:space="preserve">financiranje </w:t>
      </w:r>
      <w:r w:rsidR="008068DC" w:rsidRPr="003B5DDE">
        <w:rPr>
          <w:rFonts w:ascii="Times New Roman" w:hAnsi="Times New Roman" w:cs="Times New Roman"/>
        </w:rPr>
        <w:t>materijalnih rashoda od</w:t>
      </w:r>
      <w:r w:rsidR="00D44551" w:rsidRPr="003B5DDE">
        <w:rPr>
          <w:rFonts w:ascii="Times New Roman" w:hAnsi="Times New Roman" w:cs="Times New Roman"/>
        </w:rPr>
        <w:t xml:space="preserve"> </w:t>
      </w:r>
      <w:r w:rsidR="00D43C33" w:rsidRPr="003B5DDE">
        <w:rPr>
          <w:rFonts w:ascii="Times New Roman" w:hAnsi="Times New Roman" w:cs="Times New Roman"/>
        </w:rPr>
        <w:t>3.102,38</w:t>
      </w:r>
      <w:r w:rsidR="00FA1E34" w:rsidRPr="003B5DDE">
        <w:rPr>
          <w:rFonts w:ascii="Times New Roman" w:hAnsi="Times New Roman" w:cs="Times New Roman"/>
        </w:rPr>
        <w:t xml:space="preserve"> €</w:t>
      </w:r>
      <w:r w:rsidR="00D43C33" w:rsidRPr="003B5DDE">
        <w:rPr>
          <w:rFonts w:ascii="Times New Roman" w:hAnsi="Times New Roman" w:cs="Times New Roman"/>
        </w:rPr>
        <w:t>.</w:t>
      </w:r>
    </w:p>
    <w:p w14:paraId="603D9FBA" w14:textId="09CD5093" w:rsidR="00AF0751" w:rsidRPr="003B5DDE" w:rsidRDefault="00221DF5" w:rsidP="00CD5B13">
      <w:pPr>
        <w:spacing w:after="0" w:line="240" w:lineRule="auto"/>
        <w:rPr>
          <w:rFonts w:ascii="Times New Roman" w:hAnsi="Times New Roman" w:cs="Times New Roman"/>
        </w:rPr>
      </w:pPr>
      <w:r w:rsidRPr="003B5DDE">
        <w:rPr>
          <w:rFonts w:ascii="Times New Roman" w:hAnsi="Times New Roman" w:cs="Times New Roman"/>
        </w:rPr>
        <w:t xml:space="preserve">S obzirom na ograničene mogućnosti trošenja ovih </w:t>
      </w:r>
      <w:r w:rsidR="00FA1E34" w:rsidRPr="003B5DDE">
        <w:rPr>
          <w:rFonts w:ascii="Times New Roman" w:hAnsi="Times New Roman" w:cs="Times New Roman"/>
        </w:rPr>
        <w:t xml:space="preserve">sredstava, jer su ona </w:t>
      </w:r>
      <w:r w:rsidR="00072519" w:rsidRPr="003B5DDE">
        <w:rPr>
          <w:rFonts w:ascii="Times New Roman" w:hAnsi="Times New Roman" w:cs="Times New Roman"/>
        </w:rPr>
        <w:t>prema odluci MZO</w:t>
      </w:r>
      <w:r w:rsidR="00AA02F8" w:rsidRPr="003B5DDE">
        <w:rPr>
          <w:rFonts w:ascii="Times New Roman" w:hAnsi="Times New Roman" w:cs="Times New Roman"/>
        </w:rPr>
        <w:t>M</w:t>
      </w:r>
      <w:r w:rsidR="00072519" w:rsidRPr="003B5DDE">
        <w:rPr>
          <w:rFonts w:ascii="Times New Roman" w:hAnsi="Times New Roman" w:cs="Times New Roman"/>
        </w:rPr>
        <w:t xml:space="preserve"> </w:t>
      </w:r>
      <w:r w:rsidR="00FA1E34" w:rsidRPr="003B5DDE">
        <w:rPr>
          <w:rFonts w:ascii="Times New Roman" w:hAnsi="Times New Roman" w:cs="Times New Roman"/>
        </w:rPr>
        <w:t xml:space="preserve">strogo namjenska, </w:t>
      </w:r>
      <w:r w:rsidRPr="003B5DDE">
        <w:rPr>
          <w:rFonts w:ascii="Times New Roman" w:hAnsi="Times New Roman" w:cs="Times New Roman"/>
        </w:rPr>
        <w:t>s</w:t>
      </w:r>
      <w:r w:rsidR="0054002E" w:rsidRPr="003B5DDE">
        <w:rPr>
          <w:rFonts w:ascii="Times New Roman" w:hAnsi="Times New Roman" w:cs="Times New Roman"/>
        </w:rPr>
        <w:t>vi navedeni rashodi su ostvareni znatno niže od</w:t>
      </w:r>
      <w:r w:rsidR="00AF0751" w:rsidRPr="003B5DDE">
        <w:rPr>
          <w:rFonts w:ascii="Times New Roman" w:hAnsi="Times New Roman" w:cs="Times New Roman"/>
        </w:rPr>
        <w:t xml:space="preserve"> planiranih, </w:t>
      </w:r>
      <w:r w:rsidR="008068DC" w:rsidRPr="003B5DDE">
        <w:rPr>
          <w:rFonts w:ascii="Times New Roman" w:hAnsi="Times New Roman" w:cs="Times New Roman"/>
        </w:rPr>
        <w:t>t</w:t>
      </w:r>
      <w:r w:rsidR="00DF33D5" w:rsidRPr="003B5DDE">
        <w:rPr>
          <w:rFonts w:ascii="Times New Roman" w:hAnsi="Times New Roman" w:cs="Times New Roman"/>
        </w:rPr>
        <w:t>ako da</w:t>
      </w:r>
      <w:r w:rsidR="008068DC" w:rsidRPr="003B5DDE">
        <w:rPr>
          <w:rFonts w:ascii="Times New Roman" w:hAnsi="Times New Roman" w:cs="Times New Roman"/>
        </w:rPr>
        <w:t xml:space="preserve"> je od ukupno</w:t>
      </w:r>
      <w:r w:rsidR="001F1DAF" w:rsidRPr="003B5DDE">
        <w:rPr>
          <w:rFonts w:ascii="Times New Roman" w:hAnsi="Times New Roman" w:cs="Times New Roman"/>
        </w:rPr>
        <w:t>g plana</w:t>
      </w:r>
      <w:r w:rsidR="008068DC" w:rsidRPr="003B5DDE">
        <w:rPr>
          <w:rFonts w:ascii="Times New Roman" w:hAnsi="Times New Roman" w:cs="Times New Roman"/>
        </w:rPr>
        <w:t xml:space="preserve"> </w:t>
      </w:r>
      <w:r w:rsidR="00FA1E34" w:rsidRPr="003B5DDE">
        <w:rPr>
          <w:rFonts w:ascii="Times New Roman" w:hAnsi="Times New Roman" w:cs="Times New Roman"/>
        </w:rPr>
        <w:t>utrošeno</w:t>
      </w:r>
      <w:r w:rsidR="008068DC" w:rsidRPr="003B5DDE">
        <w:rPr>
          <w:rFonts w:ascii="Times New Roman" w:hAnsi="Times New Roman" w:cs="Times New Roman"/>
        </w:rPr>
        <w:t xml:space="preserve"> </w:t>
      </w:r>
      <w:r w:rsidR="00FA1E34" w:rsidRPr="003B5DDE">
        <w:rPr>
          <w:rFonts w:ascii="Times New Roman" w:hAnsi="Times New Roman" w:cs="Times New Roman"/>
        </w:rPr>
        <w:t xml:space="preserve">samo </w:t>
      </w:r>
      <w:r w:rsidR="00D43C33" w:rsidRPr="003B5DDE">
        <w:rPr>
          <w:rFonts w:ascii="Times New Roman" w:hAnsi="Times New Roman" w:cs="Times New Roman"/>
        </w:rPr>
        <w:t>4.627,98</w:t>
      </w:r>
      <w:r w:rsidR="00FA1E34" w:rsidRPr="003B5DDE">
        <w:rPr>
          <w:rFonts w:ascii="Times New Roman" w:hAnsi="Times New Roman" w:cs="Times New Roman"/>
        </w:rPr>
        <w:t xml:space="preserve"> €</w:t>
      </w:r>
      <w:r w:rsidR="00D43C33" w:rsidRPr="003B5DDE">
        <w:rPr>
          <w:rFonts w:ascii="Times New Roman" w:hAnsi="Times New Roman" w:cs="Times New Roman"/>
        </w:rPr>
        <w:t>, što predstavlja polovicu dobivenih sredstava.</w:t>
      </w:r>
    </w:p>
    <w:p w14:paraId="761CA8B8" w14:textId="4481870A" w:rsidR="00594C77" w:rsidRPr="00AA02F8" w:rsidRDefault="00594C77" w:rsidP="00CD5B13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20113EED" w14:textId="15D02A85" w:rsidR="00594C77" w:rsidRPr="00F84B6A" w:rsidRDefault="00594C77" w:rsidP="00594C7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84B6A">
        <w:rPr>
          <w:rFonts w:ascii="Times New Roman" w:hAnsi="Times New Roman" w:cs="Times New Roman"/>
          <w:u w:val="single"/>
        </w:rPr>
        <w:t xml:space="preserve">Aktivnost A300111: Rana </w:t>
      </w:r>
      <w:r w:rsidR="003B5DDE" w:rsidRPr="00F84B6A">
        <w:rPr>
          <w:rFonts w:ascii="Times New Roman" w:hAnsi="Times New Roman" w:cs="Times New Roman"/>
          <w:u w:val="single"/>
        </w:rPr>
        <w:t>razvojna podrška</w:t>
      </w:r>
    </w:p>
    <w:p w14:paraId="08CAB75E" w14:textId="63E93CFB" w:rsidR="00594C77" w:rsidRPr="00F84B6A" w:rsidRDefault="00594C77" w:rsidP="00594C77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05D54CFE" w14:textId="15B6B81A" w:rsidR="00594C77" w:rsidRPr="00F84B6A" w:rsidRDefault="00594C77" w:rsidP="00594C77">
      <w:pPr>
        <w:spacing w:after="0" w:line="240" w:lineRule="auto"/>
        <w:rPr>
          <w:rFonts w:ascii="Times New Roman" w:hAnsi="Times New Roman" w:cs="Times New Roman"/>
        </w:rPr>
      </w:pPr>
      <w:r w:rsidRPr="00F84B6A">
        <w:rPr>
          <w:rFonts w:ascii="Times New Roman" w:hAnsi="Times New Roman" w:cs="Times New Roman"/>
        </w:rPr>
        <w:t xml:space="preserve">Kroz ovu aktivnost financiraju se rashodi </w:t>
      </w:r>
      <w:r w:rsidR="0002549C" w:rsidRPr="00F84B6A">
        <w:rPr>
          <w:rFonts w:ascii="Times New Roman" w:hAnsi="Times New Roman" w:cs="Times New Roman"/>
        </w:rPr>
        <w:t xml:space="preserve">posebne </w:t>
      </w:r>
      <w:r w:rsidRPr="00F84B6A">
        <w:rPr>
          <w:rFonts w:ascii="Times New Roman" w:hAnsi="Times New Roman" w:cs="Times New Roman"/>
        </w:rPr>
        <w:t>socijalne usluge</w:t>
      </w:r>
      <w:r w:rsidR="00FA1E34" w:rsidRPr="00F84B6A">
        <w:rPr>
          <w:rFonts w:ascii="Times New Roman" w:hAnsi="Times New Roman" w:cs="Times New Roman"/>
        </w:rPr>
        <w:t xml:space="preserve"> rane razvojne podrške</w:t>
      </w:r>
      <w:r w:rsidRPr="00F84B6A">
        <w:rPr>
          <w:rFonts w:ascii="Times New Roman" w:hAnsi="Times New Roman" w:cs="Times New Roman"/>
        </w:rPr>
        <w:t xml:space="preserve"> koju pružaju dvije zaposlenice edukacijske rehabilitacije </w:t>
      </w:r>
      <w:r w:rsidR="0002549C" w:rsidRPr="00F84B6A">
        <w:rPr>
          <w:rFonts w:ascii="Times New Roman" w:hAnsi="Times New Roman" w:cs="Times New Roman"/>
        </w:rPr>
        <w:t>u punom radnom vremenu.</w:t>
      </w:r>
      <w:r w:rsidRPr="00F84B6A">
        <w:rPr>
          <w:rFonts w:ascii="Times New Roman" w:hAnsi="Times New Roman" w:cs="Times New Roman"/>
        </w:rPr>
        <w:t xml:space="preserve"> </w:t>
      </w:r>
    </w:p>
    <w:p w14:paraId="3B7B6520" w14:textId="76C790EA" w:rsidR="00AC39D6" w:rsidRPr="00F84B6A" w:rsidRDefault="00972A56" w:rsidP="00594C77">
      <w:pPr>
        <w:spacing w:after="0" w:line="240" w:lineRule="auto"/>
        <w:rPr>
          <w:rFonts w:ascii="Times New Roman" w:hAnsi="Times New Roman" w:cs="Times New Roman"/>
        </w:rPr>
      </w:pPr>
      <w:r w:rsidRPr="00F84B6A">
        <w:rPr>
          <w:rFonts w:ascii="Times New Roman" w:hAnsi="Times New Roman" w:cs="Times New Roman"/>
        </w:rPr>
        <w:t xml:space="preserve">Od planiranih </w:t>
      </w:r>
      <w:r w:rsidR="001C211A" w:rsidRPr="00F84B6A">
        <w:rPr>
          <w:rFonts w:ascii="Times New Roman" w:hAnsi="Times New Roman" w:cs="Times New Roman"/>
        </w:rPr>
        <w:t>70.551</w:t>
      </w:r>
      <w:r w:rsidR="00FA1E34" w:rsidRPr="00F84B6A">
        <w:rPr>
          <w:rFonts w:ascii="Times New Roman" w:hAnsi="Times New Roman" w:cs="Times New Roman"/>
        </w:rPr>
        <w:t>,00 €</w:t>
      </w:r>
      <w:r w:rsidRPr="00F84B6A">
        <w:rPr>
          <w:rFonts w:ascii="Times New Roman" w:hAnsi="Times New Roman" w:cs="Times New Roman"/>
        </w:rPr>
        <w:t xml:space="preserve"> rashoda izvršenje je iznosilo</w:t>
      </w:r>
      <w:r w:rsidR="00316653" w:rsidRPr="00F84B6A">
        <w:rPr>
          <w:rFonts w:ascii="Times New Roman" w:hAnsi="Times New Roman" w:cs="Times New Roman"/>
        </w:rPr>
        <w:t xml:space="preserve"> </w:t>
      </w:r>
      <w:r w:rsidR="001C211A" w:rsidRPr="00F84B6A">
        <w:rPr>
          <w:rFonts w:ascii="Times New Roman" w:hAnsi="Times New Roman" w:cs="Times New Roman"/>
        </w:rPr>
        <w:t>66.187,75</w:t>
      </w:r>
      <w:r w:rsidR="00FA1E34" w:rsidRPr="00F84B6A">
        <w:rPr>
          <w:rFonts w:ascii="Times New Roman" w:hAnsi="Times New Roman" w:cs="Times New Roman"/>
        </w:rPr>
        <w:t xml:space="preserve"> €</w:t>
      </w:r>
      <w:r w:rsidRPr="00F84B6A">
        <w:rPr>
          <w:rFonts w:ascii="Times New Roman" w:hAnsi="Times New Roman" w:cs="Times New Roman"/>
        </w:rPr>
        <w:t xml:space="preserve"> što daje indeks i</w:t>
      </w:r>
      <w:r w:rsidR="00937DEA" w:rsidRPr="00F84B6A">
        <w:rPr>
          <w:rFonts w:ascii="Times New Roman" w:hAnsi="Times New Roman" w:cs="Times New Roman"/>
        </w:rPr>
        <w:t xml:space="preserve">zvršenja od </w:t>
      </w:r>
      <w:r w:rsidR="001C211A" w:rsidRPr="00F84B6A">
        <w:rPr>
          <w:rFonts w:ascii="Times New Roman" w:hAnsi="Times New Roman" w:cs="Times New Roman"/>
        </w:rPr>
        <w:t>93,82</w:t>
      </w:r>
      <w:r w:rsidR="00937DEA" w:rsidRPr="00F84B6A">
        <w:rPr>
          <w:rFonts w:ascii="Times New Roman" w:hAnsi="Times New Roman" w:cs="Times New Roman"/>
        </w:rPr>
        <w:t xml:space="preserve">. </w:t>
      </w:r>
      <w:r w:rsidR="00316653" w:rsidRPr="00F84B6A">
        <w:rPr>
          <w:rFonts w:ascii="Times New Roman" w:hAnsi="Times New Roman" w:cs="Times New Roman"/>
        </w:rPr>
        <w:t>Bruto plaće iznosile su</w:t>
      </w:r>
      <w:r w:rsidR="00FA1E34" w:rsidRPr="00F84B6A">
        <w:rPr>
          <w:rFonts w:ascii="Times New Roman" w:hAnsi="Times New Roman" w:cs="Times New Roman"/>
        </w:rPr>
        <w:t xml:space="preserve"> </w:t>
      </w:r>
      <w:r w:rsidR="007C1371" w:rsidRPr="00F84B6A">
        <w:rPr>
          <w:rFonts w:ascii="Times New Roman" w:hAnsi="Times New Roman" w:cs="Times New Roman"/>
        </w:rPr>
        <w:t>53.545,22</w:t>
      </w:r>
      <w:r w:rsidR="00FA1E34" w:rsidRPr="00F84B6A">
        <w:rPr>
          <w:rFonts w:ascii="Times New Roman" w:hAnsi="Times New Roman" w:cs="Times New Roman"/>
        </w:rPr>
        <w:t xml:space="preserve"> €</w:t>
      </w:r>
      <w:r w:rsidR="00316653" w:rsidRPr="00F84B6A">
        <w:rPr>
          <w:rFonts w:ascii="Times New Roman" w:hAnsi="Times New Roman" w:cs="Times New Roman"/>
        </w:rPr>
        <w:t>,</w:t>
      </w:r>
      <w:r w:rsidR="00710F82" w:rsidRPr="00F84B6A">
        <w:rPr>
          <w:rFonts w:ascii="Times New Roman" w:hAnsi="Times New Roman" w:cs="Times New Roman"/>
        </w:rPr>
        <w:t xml:space="preserve"> ostali ras</w:t>
      </w:r>
      <w:r w:rsidR="00AE50C7" w:rsidRPr="00F84B6A">
        <w:rPr>
          <w:rFonts w:ascii="Times New Roman" w:hAnsi="Times New Roman" w:cs="Times New Roman"/>
        </w:rPr>
        <w:t>ho</w:t>
      </w:r>
      <w:r w:rsidR="00710F82" w:rsidRPr="00F84B6A">
        <w:rPr>
          <w:rFonts w:ascii="Times New Roman" w:hAnsi="Times New Roman" w:cs="Times New Roman"/>
        </w:rPr>
        <w:t xml:space="preserve">di za zaposlene </w:t>
      </w:r>
      <w:r w:rsidR="007C1371" w:rsidRPr="00F84B6A">
        <w:rPr>
          <w:rFonts w:ascii="Times New Roman" w:hAnsi="Times New Roman" w:cs="Times New Roman"/>
        </w:rPr>
        <w:t>1.500,00</w:t>
      </w:r>
      <w:r w:rsidR="00FA1E34" w:rsidRPr="00F84B6A">
        <w:rPr>
          <w:rFonts w:ascii="Times New Roman" w:hAnsi="Times New Roman" w:cs="Times New Roman"/>
        </w:rPr>
        <w:t xml:space="preserve"> €</w:t>
      </w:r>
      <w:r w:rsidR="00710F82" w:rsidRPr="00F84B6A">
        <w:rPr>
          <w:rFonts w:ascii="Times New Roman" w:hAnsi="Times New Roman" w:cs="Times New Roman"/>
        </w:rPr>
        <w:t>,</w:t>
      </w:r>
      <w:r w:rsidR="00316653" w:rsidRPr="00F84B6A">
        <w:rPr>
          <w:rFonts w:ascii="Times New Roman" w:hAnsi="Times New Roman" w:cs="Times New Roman"/>
        </w:rPr>
        <w:t xml:space="preserve"> </w:t>
      </w:r>
      <w:r w:rsidR="00E84361" w:rsidRPr="00F84B6A">
        <w:rPr>
          <w:rFonts w:ascii="Times New Roman" w:hAnsi="Times New Roman" w:cs="Times New Roman"/>
        </w:rPr>
        <w:t xml:space="preserve">obvezni </w:t>
      </w:r>
      <w:r w:rsidR="00316653" w:rsidRPr="00F84B6A">
        <w:rPr>
          <w:rFonts w:ascii="Times New Roman" w:hAnsi="Times New Roman" w:cs="Times New Roman"/>
        </w:rPr>
        <w:t xml:space="preserve">doprinos na plaće </w:t>
      </w:r>
      <w:r w:rsidR="007C1371" w:rsidRPr="00F84B6A">
        <w:rPr>
          <w:rFonts w:ascii="Times New Roman" w:hAnsi="Times New Roman" w:cs="Times New Roman"/>
        </w:rPr>
        <w:t>8.834,95</w:t>
      </w:r>
      <w:r w:rsidR="00FA1E34" w:rsidRPr="00F84B6A">
        <w:rPr>
          <w:rFonts w:ascii="Times New Roman" w:hAnsi="Times New Roman" w:cs="Times New Roman"/>
        </w:rPr>
        <w:t xml:space="preserve"> €</w:t>
      </w:r>
      <w:r w:rsidR="00AC39D6" w:rsidRPr="00F84B6A">
        <w:rPr>
          <w:rFonts w:ascii="Times New Roman" w:hAnsi="Times New Roman" w:cs="Times New Roman"/>
        </w:rPr>
        <w:t>,</w:t>
      </w:r>
      <w:r w:rsidR="00D43F2D" w:rsidRPr="00F84B6A">
        <w:rPr>
          <w:rFonts w:ascii="Times New Roman" w:hAnsi="Times New Roman" w:cs="Times New Roman"/>
        </w:rPr>
        <w:t xml:space="preserve"> naknade zaposlenima (službena putovanja) 205,00 €, </w:t>
      </w:r>
      <w:r w:rsidR="00AC39D6" w:rsidRPr="00F84B6A">
        <w:rPr>
          <w:rFonts w:ascii="Times New Roman" w:hAnsi="Times New Roman" w:cs="Times New Roman"/>
        </w:rPr>
        <w:t xml:space="preserve">rashodi </w:t>
      </w:r>
      <w:r w:rsidR="00D43F2D" w:rsidRPr="00F84B6A">
        <w:rPr>
          <w:rFonts w:ascii="Times New Roman" w:hAnsi="Times New Roman" w:cs="Times New Roman"/>
        </w:rPr>
        <w:t xml:space="preserve">za materijal i energiju 590,28 </w:t>
      </w:r>
      <w:r w:rsidR="00AC39D6" w:rsidRPr="00F84B6A">
        <w:rPr>
          <w:rFonts w:ascii="Times New Roman" w:hAnsi="Times New Roman" w:cs="Times New Roman"/>
        </w:rPr>
        <w:t>€</w:t>
      </w:r>
      <w:r w:rsidR="0093180E" w:rsidRPr="00F84B6A">
        <w:rPr>
          <w:rFonts w:ascii="Times New Roman" w:hAnsi="Times New Roman" w:cs="Times New Roman"/>
        </w:rPr>
        <w:t xml:space="preserve">, </w:t>
      </w:r>
      <w:r w:rsidR="00AC39D6" w:rsidRPr="00F84B6A">
        <w:rPr>
          <w:rFonts w:ascii="Times New Roman" w:hAnsi="Times New Roman" w:cs="Times New Roman"/>
        </w:rPr>
        <w:t xml:space="preserve"> </w:t>
      </w:r>
      <w:r w:rsidR="0093180E" w:rsidRPr="00F84B6A">
        <w:rPr>
          <w:rFonts w:ascii="Times New Roman" w:hAnsi="Times New Roman" w:cs="Times New Roman"/>
        </w:rPr>
        <w:t xml:space="preserve">rashodi za usluge </w:t>
      </w:r>
      <w:r w:rsidR="00D43F2D" w:rsidRPr="00F84B6A">
        <w:rPr>
          <w:rFonts w:ascii="Times New Roman" w:hAnsi="Times New Roman" w:cs="Times New Roman"/>
        </w:rPr>
        <w:t>1.282,78</w:t>
      </w:r>
      <w:r w:rsidR="0093180E" w:rsidRPr="00F84B6A">
        <w:rPr>
          <w:rFonts w:ascii="Times New Roman" w:hAnsi="Times New Roman" w:cs="Times New Roman"/>
        </w:rPr>
        <w:t xml:space="preserve"> € i još ostali rashodi poslovanja (premije auto osiguranja) 229,52 €.</w:t>
      </w:r>
    </w:p>
    <w:p w14:paraId="0393E16C" w14:textId="77777777" w:rsidR="00D43F2D" w:rsidRPr="00F84B6A" w:rsidRDefault="00AC39D6" w:rsidP="00594C77">
      <w:pPr>
        <w:spacing w:after="0" w:line="240" w:lineRule="auto"/>
        <w:rPr>
          <w:rFonts w:ascii="Times New Roman" w:hAnsi="Times New Roman" w:cs="Times New Roman"/>
        </w:rPr>
      </w:pPr>
      <w:r w:rsidRPr="00F84B6A">
        <w:rPr>
          <w:rFonts w:ascii="Times New Roman" w:hAnsi="Times New Roman" w:cs="Times New Roman"/>
        </w:rPr>
        <w:t xml:space="preserve">Ova se aktivnost financira iz proračuna Grada, a prema </w:t>
      </w:r>
      <w:r w:rsidR="00422836" w:rsidRPr="00F84B6A">
        <w:rPr>
          <w:rFonts w:ascii="Times New Roman" w:hAnsi="Times New Roman" w:cs="Times New Roman"/>
        </w:rPr>
        <w:t>Odluci o načinu pružanja, kriterijima</w:t>
      </w:r>
      <w:r w:rsidRPr="00F84B6A">
        <w:rPr>
          <w:rFonts w:ascii="Times New Roman" w:hAnsi="Times New Roman" w:cs="Times New Roman"/>
        </w:rPr>
        <w:t xml:space="preserve"> </w:t>
      </w:r>
      <w:r w:rsidR="00422836" w:rsidRPr="00F84B6A">
        <w:rPr>
          <w:rFonts w:ascii="Times New Roman" w:hAnsi="Times New Roman" w:cs="Times New Roman"/>
        </w:rPr>
        <w:t>za uključivanje te cijeni usluge rane razvojne podrške u COOR Podravsko sunce</w:t>
      </w:r>
      <w:r w:rsidR="000E36C0" w:rsidRPr="00F84B6A">
        <w:rPr>
          <w:rFonts w:ascii="Times New Roman" w:hAnsi="Times New Roman" w:cs="Times New Roman"/>
        </w:rPr>
        <w:t xml:space="preserve"> od 30.</w:t>
      </w:r>
      <w:r w:rsidR="00AA02F8" w:rsidRPr="00F84B6A">
        <w:rPr>
          <w:rFonts w:ascii="Times New Roman" w:hAnsi="Times New Roman" w:cs="Times New Roman"/>
        </w:rPr>
        <w:t xml:space="preserve"> </w:t>
      </w:r>
      <w:r w:rsidR="000E36C0" w:rsidRPr="00F84B6A">
        <w:rPr>
          <w:rFonts w:ascii="Times New Roman" w:hAnsi="Times New Roman" w:cs="Times New Roman"/>
        </w:rPr>
        <w:t>3.</w:t>
      </w:r>
      <w:r w:rsidR="00AA02F8" w:rsidRPr="00F84B6A">
        <w:rPr>
          <w:rFonts w:ascii="Times New Roman" w:hAnsi="Times New Roman" w:cs="Times New Roman"/>
        </w:rPr>
        <w:t xml:space="preserve"> </w:t>
      </w:r>
      <w:r w:rsidR="000E36C0" w:rsidRPr="00F84B6A">
        <w:rPr>
          <w:rFonts w:ascii="Times New Roman" w:hAnsi="Times New Roman" w:cs="Times New Roman"/>
        </w:rPr>
        <w:t>2023.</w:t>
      </w:r>
      <w:r w:rsidR="00422836" w:rsidRPr="00F84B6A">
        <w:rPr>
          <w:rFonts w:ascii="Times New Roman" w:hAnsi="Times New Roman" w:cs="Times New Roman"/>
        </w:rPr>
        <w:t xml:space="preserve">, usluga se </w:t>
      </w:r>
      <w:r w:rsidRPr="00F84B6A">
        <w:rPr>
          <w:rFonts w:ascii="Times New Roman" w:hAnsi="Times New Roman" w:cs="Times New Roman"/>
        </w:rPr>
        <w:t xml:space="preserve">fakturira </w:t>
      </w:r>
      <w:r w:rsidR="00EB49BD" w:rsidRPr="00F84B6A">
        <w:rPr>
          <w:rFonts w:ascii="Times New Roman" w:hAnsi="Times New Roman" w:cs="Times New Roman"/>
        </w:rPr>
        <w:t xml:space="preserve">i </w:t>
      </w:r>
      <w:r w:rsidR="000E36C0" w:rsidRPr="00F84B6A">
        <w:rPr>
          <w:rFonts w:ascii="Times New Roman" w:hAnsi="Times New Roman" w:cs="Times New Roman"/>
        </w:rPr>
        <w:t>dijelu korisnika,</w:t>
      </w:r>
      <w:r w:rsidRPr="00F84B6A">
        <w:rPr>
          <w:rFonts w:ascii="Times New Roman" w:hAnsi="Times New Roman" w:cs="Times New Roman"/>
        </w:rPr>
        <w:t xml:space="preserve"> </w:t>
      </w:r>
      <w:r w:rsidR="00AD4DD5" w:rsidRPr="00F84B6A">
        <w:rPr>
          <w:rFonts w:ascii="Times New Roman" w:hAnsi="Times New Roman" w:cs="Times New Roman"/>
        </w:rPr>
        <w:t xml:space="preserve">što je iznosilo </w:t>
      </w:r>
      <w:r w:rsidR="00D43F2D" w:rsidRPr="00F84B6A">
        <w:rPr>
          <w:rFonts w:ascii="Times New Roman" w:hAnsi="Times New Roman" w:cs="Times New Roman"/>
        </w:rPr>
        <w:t>3.858,21</w:t>
      </w:r>
      <w:r w:rsidRPr="00F84B6A">
        <w:rPr>
          <w:rFonts w:ascii="Times New Roman" w:hAnsi="Times New Roman" w:cs="Times New Roman"/>
        </w:rPr>
        <w:t xml:space="preserve"> €.</w:t>
      </w:r>
      <w:r w:rsidR="00AD4DD5" w:rsidRPr="00F84B6A">
        <w:rPr>
          <w:rFonts w:ascii="Times New Roman" w:hAnsi="Times New Roman" w:cs="Times New Roman"/>
        </w:rPr>
        <w:t xml:space="preserve"> </w:t>
      </w:r>
    </w:p>
    <w:p w14:paraId="2F5112AB" w14:textId="4B6F9B84" w:rsidR="00972A56" w:rsidRPr="00F84B6A" w:rsidRDefault="00AD4DD5" w:rsidP="00594C77">
      <w:pPr>
        <w:spacing w:after="0" w:line="240" w:lineRule="auto"/>
        <w:rPr>
          <w:rFonts w:ascii="Times New Roman" w:hAnsi="Times New Roman" w:cs="Times New Roman"/>
        </w:rPr>
      </w:pPr>
      <w:r w:rsidRPr="00F84B6A">
        <w:rPr>
          <w:rFonts w:ascii="Times New Roman" w:hAnsi="Times New Roman" w:cs="Times New Roman"/>
        </w:rPr>
        <w:t xml:space="preserve">Također, od MRMSOSP je </w:t>
      </w:r>
      <w:r w:rsidR="00FC016A" w:rsidRPr="00F84B6A">
        <w:rPr>
          <w:rFonts w:ascii="Times New Roman" w:hAnsi="Times New Roman" w:cs="Times New Roman"/>
        </w:rPr>
        <w:t xml:space="preserve">naplaćeno </w:t>
      </w:r>
      <w:r w:rsidR="00D43F2D" w:rsidRPr="00F84B6A">
        <w:rPr>
          <w:rFonts w:ascii="Times New Roman" w:hAnsi="Times New Roman" w:cs="Times New Roman"/>
        </w:rPr>
        <w:t xml:space="preserve">12.238,90 </w:t>
      </w:r>
      <w:r w:rsidR="00FC016A" w:rsidRPr="00F84B6A">
        <w:rPr>
          <w:rFonts w:ascii="Times New Roman" w:hAnsi="Times New Roman" w:cs="Times New Roman"/>
        </w:rPr>
        <w:t>€</w:t>
      </w:r>
      <w:r w:rsidR="00AA1CC9" w:rsidRPr="00F84B6A">
        <w:rPr>
          <w:rFonts w:ascii="Times New Roman" w:hAnsi="Times New Roman" w:cs="Times New Roman"/>
        </w:rPr>
        <w:t xml:space="preserve">, </w:t>
      </w:r>
      <w:r w:rsidR="00D43F2D" w:rsidRPr="00F84B6A">
        <w:rPr>
          <w:rFonts w:ascii="Times New Roman" w:hAnsi="Times New Roman" w:cs="Times New Roman"/>
        </w:rPr>
        <w:t xml:space="preserve">i to </w:t>
      </w:r>
      <w:r w:rsidR="00FC016A" w:rsidRPr="00F84B6A">
        <w:rPr>
          <w:rFonts w:ascii="Times New Roman" w:hAnsi="Times New Roman" w:cs="Times New Roman"/>
        </w:rPr>
        <w:t>temeljem sklopljenog ugovora o pružanju socijalnih usluga od 07.9.2023.</w:t>
      </w:r>
    </w:p>
    <w:p w14:paraId="2C95DE33" w14:textId="77777777" w:rsidR="003051DF" w:rsidRPr="00AA02F8" w:rsidRDefault="003051DF" w:rsidP="00594C7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38266F90" w14:textId="77777777" w:rsidR="00594C77" w:rsidRDefault="00594C77" w:rsidP="00CD5B13">
      <w:pPr>
        <w:spacing w:after="0" w:line="240" w:lineRule="auto"/>
        <w:rPr>
          <w:rFonts w:ascii="Times New Roman" w:hAnsi="Times New Roman" w:cs="Times New Roman"/>
        </w:rPr>
      </w:pPr>
    </w:p>
    <w:p w14:paraId="3725913E" w14:textId="501AAF14" w:rsidR="00C964EF" w:rsidRPr="001D02CB" w:rsidRDefault="00DF6F23" w:rsidP="00DF6F23">
      <w:pPr>
        <w:spacing w:after="0" w:line="240" w:lineRule="auto"/>
        <w:rPr>
          <w:rFonts w:ascii="Times New Roman" w:hAnsi="Times New Roman" w:cs="Times New Roman"/>
        </w:rPr>
      </w:pPr>
      <w:r w:rsidRPr="001D02CB">
        <w:rPr>
          <w:rFonts w:ascii="Times New Roman" w:hAnsi="Times New Roman" w:cs="Times New Roman"/>
        </w:rPr>
        <w:lastRenderedPageBreak/>
        <w:t>PROGRAM 3002: OSNOVNI PROGRAM OSNOVNOŠKOLSKOG ODGOJA I OBRAZOVANJA</w:t>
      </w:r>
    </w:p>
    <w:p w14:paraId="2ABB6F54" w14:textId="77777777" w:rsidR="009D3A7F" w:rsidRPr="001D02CB" w:rsidRDefault="009D3A7F" w:rsidP="00DF6F23">
      <w:pPr>
        <w:spacing w:after="0" w:line="240" w:lineRule="auto"/>
        <w:rPr>
          <w:rFonts w:ascii="Times New Roman" w:hAnsi="Times New Roman" w:cs="Times New Roman"/>
        </w:rPr>
      </w:pPr>
    </w:p>
    <w:p w14:paraId="1154F165" w14:textId="5FF4C18F" w:rsidR="000C1D06" w:rsidRPr="001D02CB" w:rsidRDefault="00CD3DEF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02CB">
        <w:rPr>
          <w:rFonts w:ascii="Times New Roman" w:hAnsi="Times New Roman" w:cs="Times New Roman"/>
        </w:rPr>
        <w:t>Cilj programa je učenicima s teškoćama u razvoju osnovnoškolske dobi (od 7. do 21. godine) kroz primjerene</w:t>
      </w:r>
      <w:r w:rsidR="003051DF" w:rsidRPr="001D02CB">
        <w:rPr>
          <w:rFonts w:ascii="Times New Roman" w:hAnsi="Times New Roman" w:cs="Times New Roman"/>
        </w:rPr>
        <w:t xml:space="preserve"> </w:t>
      </w:r>
      <w:r w:rsidRPr="001D02CB">
        <w:rPr>
          <w:rFonts w:ascii="Times New Roman" w:hAnsi="Times New Roman" w:cs="Times New Roman"/>
        </w:rPr>
        <w:t>oblike školovanja i</w:t>
      </w:r>
      <w:r w:rsidR="003051DF" w:rsidRPr="001D02CB">
        <w:rPr>
          <w:rFonts w:ascii="Times New Roman" w:hAnsi="Times New Roman" w:cs="Times New Roman"/>
        </w:rPr>
        <w:t xml:space="preserve"> </w:t>
      </w:r>
      <w:r w:rsidRPr="001D02CB">
        <w:rPr>
          <w:rFonts w:ascii="Times New Roman" w:hAnsi="Times New Roman" w:cs="Times New Roman"/>
        </w:rPr>
        <w:t>edukacijsko-rehabilitacijsku podršku i pomoć omogućiti puno i učinkovito sudjelovanje u odgojno-obrazovnom procesu te maksimalni razvoj potencijala svakog od njih.</w:t>
      </w:r>
    </w:p>
    <w:p w14:paraId="417D2DEC" w14:textId="677BEECE" w:rsidR="00DE49A9" w:rsidRPr="001D02CB" w:rsidRDefault="00DE49A9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02CB">
        <w:rPr>
          <w:rFonts w:ascii="Times New Roman" w:hAnsi="Times New Roman" w:cs="Times New Roman"/>
        </w:rPr>
        <w:t>Osnovnoškolski program u školskoj godini 202</w:t>
      </w:r>
      <w:r w:rsidR="00067F61" w:rsidRPr="001D02CB">
        <w:rPr>
          <w:rFonts w:ascii="Times New Roman" w:hAnsi="Times New Roman" w:cs="Times New Roman"/>
        </w:rPr>
        <w:t>3</w:t>
      </w:r>
      <w:r w:rsidRPr="001D02CB">
        <w:rPr>
          <w:rFonts w:ascii="Times New Roman" w:hAnsi="Times New Roman" w:cs="Times New Roman"/>
        </w:rPr>
        <w:t>./2</w:t>
      </w:r>
      <w:r w:rsidR="00067F61" w:rsidRPr="001D02CB">
        <w:rPr>
          <w:rFonts w:ascii="Times New Roman" w:hAnsi="Times New Roman" w:cs="Times New Roman"/>
        </w:rPr>
        <w:t>4</w:t>
      </w:r>
      <w:r w:rsidRPr="001D02CB">
        <w:rPr>
          <w:rFonts w:ascii="Times New Roman" w:hAnsi="Times New Roman" w:cs="Times New Roman"/>
        </w:rPr>
        <w:t>. polazi</w:t>
      </w:r>
      <w:r w:rsidR="00E26D01" w:rsidRPr="001D02CB">
        <w:rPr>
          <w:rFonts w:ascii="Times New Roman" w:hAnsi="Times New Roman" w:cs="Times New Roman"/>
        </w:rPr>
        <w:t>lo je</w:t>
      </w:r>
      <w:r w:rsidRPr="001D02CB">
        <w:rPr>
          <w:rFonts w:ascii="Times New Roman" w:hAnsi="Times New Roman" w:cs="Times New Roman"/>
        </w:rPr>
        <w:t xml:space="preserve"> </w:t>
      </w:r>
      <w:r w:rsidR="00067F61" w:rsidRPr="001D02CB">
        <w:rPr>
          <w:rFonts w:ascii="Times New Roman" w:hAnsi="Times New Roman" w:cs="Times New Roman"/>
        </w:rPr>
        <w:t>81</w:t>
      </w:r>
      <w:r w:rsidRPr="001D02CB">
        <w:rPr>
          <w:rFonts w:ascii="Times New Roman" w:hAnsi="Times New Roman" w:cs="Times New Roman"/>
        </w:rPr>
        <w:t xml:space="preserve"> učenika – 4</w:t>
      </w:r>
      <w:r w:rsidR="00067F61" w:rsidRPr="001D02CB">
        <w:rPr>
          <w:rFonts w:ascii="Times New Roman" w:hAnsi="Times New Roman" w:cs="Times New Roman"/>
        </w:rPr>
        <w:t>6</w:t>
      </w:r>
      <w:r w:rsidRPr="001D02CB">
        <w:rPr>
          <w:rFonts w:ascii="Times New Roman" w:hAnsi="Times New Roman" w:cs="Times New Roman"/>
        </w:rPr>
        <w:t xml:space="preserve"> učenik u razrednim odjelima te 3</w:t>
      </w:r>
      <w:r w:rsidR="00067F61" w:rsidRPr="001D02CB">
        <w:rPr>
          <w:rFonts w:ascii="Times New Roman" w:hAnsi="Times New Roman" w:cs="Times New Roman"/>
        </w:rPr>
        <w:t>5</w:t>
      </w:r>
      <w:r w:rsidRPr="001D02CB">
        <w:rPr>
          <w:rFonts w:ascii="Times New Roman" w:hAnsi="Times New Roman" w:cs="Times New Roman"/>
        </w:rPr>
        <w:t xml:space="preserve"> učenika u odgojno-obrazovnim skupinama</w:t>
      </w:r>
      <w:r w:rsidR="00E26D01" w:rsidRPr="001D02CB">
        <w:rPr>
          <w:rFonts w:ascii="Times New Roman" w:hAnsi="Times New Roman" w:cs="Times New Roman"/>
        </w:rPr>
        <w:t xml:space="preserve">, u </w:t>
      </w:r>
      <w:r w:rsidR="00067F61" w:rsidRPr="001D02CB">
        <w:rPr>
          <w:rFonts w:ascii="Times New Roman" w:hAnsi="Times New Roman" w:cs="Times New Roman"/>
        </w:rPr>
        <w:t>2024./25.</w:t>
      </w:r>
      <w:r w:rsidR="00E26D01" w:rsidRPr="001D02CB">
        <w:rPr>
          <w:rFonts w:ascii="Times New Roman" w:hAnsi="Times New Roman" w:cs="Times New Roman"/>
        </w:rPr>
        <w:t xml:space="preserve">  </w:t>
      </w:r>
      <w:r w:rsidR="00067F61" w:rsidRPr="001D02CB">
        <w:rPr>
          <w:rFonts w:ascii="Times New Roman" w:hAnsi="Times New Roman" w:cs="Times New Roman"/>
        </w:rPr>
        <w:t>93</w:t>
      </w:r>
      <w:r w:rsidR="00E26D01" w:rsidRPr="001D02CB">
        <w:rPr>
          <w:rFonts w:ascii="Times New Roman" w:hAnsi="Times New Roman" w:cs="Times New Roman"/>
        </w:rPr>
        <w:t xml:space="preserve"> ukupno, </w:t>
      </w:r>
      <w:r w:rsidR="00067F61" w:rsidRPr="001D02CB">
        <w:rPr>
          <w:rFonts w:ascii="Times New Roman" w:hAnsi="Times New Roman" w:cs="Times New Roman"/>
        </w:rPr>
        <w:t>57</w:t>
      </w:r>
      <w:r w:rsidR="00E26D01" w:rsidRPr="001D02CB">
        <w:rPr>
          <w:rFonts w:ascii="Times New Roman" w:hAnsi="Times New Roman" w:cs="Times New Roman"/>
        </w:rPr>
        <w:t xml:space="preserve"> u razrednim odjelima</w:t>
      </w:r>
      <w:r w:rsidR="00067F61" w:rsidRPr="001D02CB">
        <w:rPr>
          <w:rFonts w:ascii="Times New Roman" w:hAnsi="Times New Roman" w:cs="Times New Roman"/>
        </w:rPr>
        <w:t xml:space="preserve"> te 36 u</w:t>
      </w:r>
      <w:r w:rsidR="00E26D01" w:rsidRPr="001D02CB">
        <w:rPr>
          <w:rFonts w:ascii="Times New Roman" w:hAnsi="Times New Roman" w:cs="Times New Roman"/>
        </w:rPr>
        <w:t xml:space="preserve"> odgojnoobrazovnim skupinama. </w:t>
      </w:r>
      <w:r w:rsidRPr="001D02CB">
        <w:rPr>
          <w:rFonts w:ascii="Times New Roman" w:hAnsi="Times New Roman" w:cs="Times New Roman"/>
        </w:rPr>
        <w:t xml:space="preserve">Za kvalitetan rad s učenicima s teškoćama u razvoju neophodno je permanentno stručno usavršavanje. </w:t>
      </w:r>
    </w:p>
    <w:p w14:paraId="3741C154" w14:textId="77777777" w:rsidR="00DF6F23" w:rsidRPr="00823CE1" w:rsidRDefault="00DF6F23" w:rsidP="00DF6F23">
      <w:pPr>
        <w:spacing w:after="0" w:line="240" w:lineRule="auto"/>
        <w:rPr>
          <w:rFonts w:ascii="Times New Roman" w:hAnsi="Times New Roman" w:cs="Times New Roman"/>
        </w:rPr>
      </w:pPr>
    </w:p>
    <w:p w14:paraId="70A28A21" w14:textId="77777777" w:rsidR="00DF6F23" w:rsidRDefault="00D37766" w:rsidP="00DF6F23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Aktivnost A300204: D</w:t>
      </w:r>
      <w:r w:rsidRPr="00D37766">
        <w:rPr>
          <w:rFonts w:ascii="Times New Roman" w:hAnsi="Times New Roman" w:cs="Times New Roman"/>
          <w:u w:val="single"/>
        </w:rPr>
        <w:t>ecentralizirane funkcije osnovnog školstva</w:t>
      </w:r>
    </w:p>
    <w:p w14:paraId="269A134B" w14:textId="77777777" w:rsidR="00636E85" w:rsidRDefault="00636E85" w:rsidP="00DF6F2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7FE2EF19" w14:textId="71E78829" w:rsidR="00636E85" w:rsidRPr="00F13874" w:rsidRDefault="00636E85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 xml:space="preserve">Od ukupno planiranih </w:t>
      </w:r>
      <w:r w:rsidR="00DF3092" w:rsidRPr="00F13874">
        <w:rPr>
          <w:rFonts w:ascii="Times New Roman" w:eastAsia="Calibri" w:hAnsi="Times New Roman" w:cs="Times New Roman"/>
        </w:rPr>
        <w:t>113.933</w:t>
      </w:r>
      <w:r w:rsidR="003051DF" w:rsidRPr="00F13874">
        <w:rPr>
          <w:rFonts w:ascii="Times New Roman" w:eastAsia="Calibri" w:hAnsi="Times New Roman" w:cs="Times New Roman"/>
        </w:rPr>
        <w:t>,00 €</w:t>
      </w:r>
      <w:r w:rsidRPr="00F13874">
        <w:rPr>
          <w:rFonts w:ascii="Times New Roman" w:eastAsia="Calibri" w:hAnsi="Times New Roman" w:cs="Times New Roman"/>
        </w:rPr>
        <w:t xml:space="preserve"> za ovu aktivnost</w:t>
      </w:r>
      <w:r w:rsidR="00622C5F" w:rsidRPr="00F13874">
        <w:rPr>
          <w:rFonts w:ascii="Times New Roman" w:eastAsia="Calibri" w:hAnsi="Times New Roman" w:cs="Times New Roman"/>
        </w:rPr>
        <w:t xml:space="preserve"> </w:t>
      </w:r>
      <w:r w:rsidR="003051DF" w:rsidRPr="00F13874">
        <w:rPr>
          <w:rFonts w:ascii="Times New Roman" w:eastAsia="Calibri" w:hAnsi="Times New Roman" w:cs="Times New Roman"/>
        </w:rPr>
        <w:t>utrošeno</w:t>
      </w:r>
      <w:r w:rsidRPr="00F13874">
        <w:rPr>
          <w:rFonts w:ascii="Times New Roman" w:eastAsia="Calibri" w:hAnsi="Times New Roman" w:cs="Times New Roman"/>
        </w:rPr>
        <w:t xml:space="preserve"> je</w:t>
      </w:r>
      <w:r w:rsidR="002A28FF" w:rsidRPr="00F13874">
        <w:rPr>
          <w:rFonts w:ascii="Times New Roman" w:eastAsia="Calibri" w:hAnsi="Times New Roman" w:cs="Times New Roman"/>
        </w:rPr>
        <w:t xml:space="preserve"> </w:t>
      </w:r>
      <w:r w:rsidR="00DF3092" w:rsidRPr="00F13874">
        <w:rPr>
          <w:rFonts w:ascii="Times New Roman" w:eastAsia="Calibri" w:hAnsi="Times New Roman" w:cs="Times New Roman"/>
        </w:rPr>
        <w:t xml:space="preserve">86.747,97 €, a razlika </w:t>
      </w:r>
      <w:r w:rsidR="00C07ED1" w:rsidRPr="00F13874">
        <w:rPr>
          <w:rFonts w:ascii="Times New Roman" w:eastAsia="Calibri" w:hAnsi="Times New Roman" w:cs="Times New Roman"/>
        </w:rPr>
        <w:t xml:space="preserve">predstavlja </w:t>
      </w:r>
      <w:r w:rsidR="00DF3092" w:rsidRPr="00F13874">
        <w:rPr>
          <w:rFonts w:ascii="Times New Roman" w:eastAsia="Calibri" w:hAnsi="Times New Roman" w:cs="Times New Roman"/>
        </w:rPr>
        <w:t>neizvrše</w:t>
      </w:r>
      <w:r w:rsidR="00C07ED1" w:rsidRPr="00F13874">
        <w:rPr>
          <w:rFonts w:ascii="Times New Roman" w:eastAsia="Calibri" w:hAnsi="Times New Roman" w:cs="Times New Roman"/>
        </w:rPr>
        <w:t>nje rashoda od 27.185,00 € planiranih za nabavu električnog vozila, što se prenosi u 2025. godinu.</w:t>
      </w:r>
    </w:p>
    <w:p w14:paraId="652FC861" w14:textId="47140694" w:rsidR="008B5894" w:rsidRPr="00F13874" w:rsidRDefault="003051DF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>Izvršeni</w:t>
      </w:r>
      <w:r w:rsidR="00DF6F23" w:rsidRPr="00F13874">
        <w:rPr>
          <w:rFonts w:ascii="Times New Roman" w:eastAsia="Calibri" w:hAnsi="Times New Roman" w:cs="Times New Roman"/>
        </w:rPr>
        <w:t xml:space="preserve"> rashodi </w:t>
      </w:r>
      <w:r w:rsidR="00E87941" w:rsidRPr="00F13874">
        <w:rPr>
          <w:rFonts w:ascii="Times New Roman" w:eastAsia="Calibri" w:hAnsi="Times New Roman" w:cs="Times New Roman"/>
        </w:rPr>
        <w:t xml:space="preserve">poslovanja </w:t>
      </w:r>
      <w:r w:rsidR="002C2647" w:rsidRPr="00F13874">
        <w:rPr>
          <w:rFonts w:ascii="Times New Roman" w:eastAsia="Calibri" w:hAnsi="Times New Roman" w:cs="Times New Roman"/>
        </w:rPr>
        <w:t xml:space="preserve">ove aktivnosti </w:t>
      </w:r>
      <w:r w:rsidRPr="00F13874">
        <w:rPr>
          <w:rFonts w:ascii="Times New Roman" w:eastAsia="Calibri" w:hAnsi="Times New Roman" w:cs="Times New Roman"/>
        </w:rPr>
        <w:t>za</w:t>
      </w:r>
      <w:r w:rsidR="002C2647" w:rsidRPr="00F13874">
        <w:rPr>
          <w:rFonts w:ascii="Times New Roman" w:eastAsia="Calibri" w:hAnsi="Times New Roman" w:cs="Times New Roman"/>
        </w:rPr>
        <w:t xml:space="preserve"> </w:t>
      </w:r>
      <w:r w:rsidR="009A42E4" w:rsidRPr="00F13874">
        <w:rPr>
          <w:rFonts w:ascii="Times New Roman" w:eastAsia="Calibri" w:hAnsi="Times New Roman" w:cs="Times New Roman"/>
        </w:rPr>
        <w:t>naknade troškov</w:t>
      </w:r>
      <w:r w:rsidR="00DF6F23" w:rsidRPr="00F13874">
        <w:rPr>
          <w:rFonts w:ascii="Times New Roman" w:eastAsia="Calibri" w:hAnsi="Times New Roman" w:cs="Times New Roman"/>
        </w:rPr>
        <w:t xml:space="preserve">a zaposlenima </w:t>
      </w:r>
      <w:r w:rsidR="008B5894" w:rsidRPr="00F13874">
        <w:rPr>
          <w:rFonts w:ascii="Times New Roman" w:eastAsia="Calibri" w:hAnsi="Times New Roman" w:cs="Times New Roman"/>
        </w:rPr>
        <w:t xml:space="preserve">su: </w:t>
      </w:r>
      <w:r w:rsidR="00102909" w:rsidRPr="00F13874">
        <w:rPr>
          <w:rFonts w:ascii="Times New Roman" w:eastAsia="Calibri" w:hAnsi="Times New Roman" w:cs="Times New Roman"/>
        </w:rPr>
        <w:t>službena putovanja</w:t>
      </w:r>
      <w:r w:rsidR="008B5894" w:rsidRPr="00F13874">
        <w:rPr>
          <w:rFonts w:ascii="Times New Roman" w:eastAsia="Calibri" w:hAnsi="Times New Roman" w:cs="Times New Roman"/>
        </w:rPr>
        <w:t xml:space="preserve"> od</w:t>
      </w:r>
      <w:r w:rsidR="00DF3092" w:rsidRPr="00F13874">
        <w:rPr>
          <w:rFonts w:ascii="Times New Roman" w:eastAsia="Calibri" w:hAnsi="Times New Roman" w:cs="Times New Roman"/>
        </w:rPr>
        <w:t xml:space="preserve"> 5.760,38</w:t>
      </w:r>
      <w:r w:rsidR="008B5894" w:rsidRPr="00F13874">
        <w:rPr>
          <w:rFonts w:ascii="Times New Roman" w:eastAsia="Calibri" w:hAnsi="Times New Roman" w:cs="Times New Roman"/>
        </w:rPr>
        <w:t xml:space="preserve"> €, što je </w:t>
      </w:r>
      <w:r w:rsidR="00622C5F" w:rsidRPr="00F13874">
        <w:rPr>
          <w:rFonts w:ascii="Times New Roman" w:eastAsia="Calibri" w:hAnsi="Times New Roman" w:cs="Times New Roman"/>
        </w:rPr>
        <w:t>blizu planiranog</w:t>
      </w:r>
      <w:r w:rsidR="008B5894" w:rsidRPr="00F13874">
        <w:rPr>
          <w:rFonts w:ascii="Times New Roman" w:eastAsia="Calibri" w:hAnsi="Times New Roman" w:cs="Times New Roman"/>
        </w:rPr>
        <w:t xml:space="preserve"> iznosa</w:t>
      </w:r>
      <w:r w:rsidR="00622C5F" w:rsidRPr="00F13874">
        <w:rPr>
          <w:rFonts w:ascii="Times New Roman" w:eastAsia="Calibri" w:hAnsi="Times New Roman" w:cs="Times New Roman"/>
        </w:rPr>
        <w:t>,</w:t>
      </w:r>
      <w:r w:rsidR="008B5894" w:rsidRPr="00F13874">
        <w:rPr>
          <w:rFonts w:ascii="Times New Roman" w:eastAsia="Calibri" w:hAnsi="Times New Roman" w:cs="Times New Roman"/>
        </w:rPr>
        <w:t xml:space="preserve"> stručno usavršavanje (</w:t>
      </w:r>
      <w:r w:rsidR="00102909" w:rsidRPr="00F13874">
        <w:rPr>
          <w:rFonts w:ascii="Times New Roman" w:eastAsia="Calibri" w:hAnsi="Times New Roman" w:cs="Times New Roman"/>
        </w:rPr>
        <w:t>seminarske k</w:t>
      </w:r>
      <w:r w:rsidR="0061517C" w:rsidRPr="00F13874">
        <w:rPr>
          <w:rFonts w:ascii="Times New Roman" w:eastAsia="Calibri" w:hAnsi="Times New Roman" w:cs="Times New Roman"/>
        </w:rPr>
        <w:t>otizacije) u iznosu od</w:t>
      </w:r>
      <w:r w:rsidR="00622C5F" w:rsidRPr="00F13874">
        <w:rPr>
          <w:rFonts w:ascii="Times New Roman" w:eastAsia="Calibri" w:hAnsi="Times New Roman" w:cs="Times New Roman"/>
        </w:rPr>
        <w:t xml:space="preserve"> </w:t>
      </w:r>
      <w:r w:rsidR="00DF3092" w:rsidRPr="00F13874">
        <w:rPr>
          <w:rFonts w:ascii="Times New Roman" w:eastAsia="Calibri" w:hAnsi="Times New Roman" w:cs="Times New Roman"/>
        </w:rPr>
        <w:t>1.058,25</w:t>
      </w:r>
      <w:r w:rsidRPr="00F13874">
        <w:rPr>
          <w:rFonts w:ascii="Times New Roman" w:eastAsia="Calibri" w:hAnsi="Times New Roman" w:cs="Times New Roman"/>
        </w:rPr>
        <w:t xml:space="preserve"> €</w:t>
      </w:r>
      <w:r w:rsidR="008B5894" w:rsidRPr="00F13874">
        <w:rPr>
          <w:rFonts w:ascii="Times New Roman" w:eastAsia="Calibri" w:hAnsi="Times New Roman" w:cs="Times New Roman"/>
        </w:rPr>
        <w:t xml:space="preserve"> i naknade</w:t>
      </w:r>
      <w:r w:rsidR="00363286" w:rsidRPr="00F13874">
        <w:rPr>
          <w:rFonts w:ascii="Times New Roman" w:eastAsia="Calibri" w:hAnsi="Times New Roman" w:cs="Times New Roman"/>
        </w:rPr>
        <w:t xml:space="preserve"> za</w:t>
      </w:r>
      <w:r w:rsidR="008B5894" w:rsidRPr="00F13874">
        <w:rPr>
          <w:rFonts w:ascii="Times New Roman" w:eastAsia="Calibri" w:hAnsi="Times New Roman" w:cs="Times New Roman"/>
        </w:rPr>
        <w:t xml:space="preserve"> loko vožnj</w:t>
      </w:r>
      <w:r w:rsidR="00363286" w:rsidRPr="00F13874">
        <w:rPr>
          <w:rFonts w:ascii="Times New Roman" w:eastAsia="Calibri" w:hAnsi="Times New Roman" w:cs="Times New Roman"/>
        </w:rPr>
        <w:t>e</w:t>
      </w:r>
      <w:r w:rsidR="008B5894" w:rsidRPr="00F13874">
        <w:rPr>
          <w:rFonts w:ascii="Times New Roman" w:eastAsia="Calibri" w:hAnsi="Times New Roman" w:cs="Times New Roman"/>
        </w:rPr>
        <w:t xml:space="preserve"> od 1</w:t>
      </w:r>
      <w:r w:rsidR="00DF3092" w:rsidRPr="00F13874">
        <w:rPr>
          <w:rFonts w:ascii="Times New Roman" w:eastAsia="Calibri" w:hAnsi="Times New Roman" w:cs="Times New Roman"/>
        </w:rPr>
        <w:t>04,10</w:t>
      </w:r>
      <w:r w:rsidR="008B5894" w:rsidRPr="00F13874">
        <w:rPr>
          <w:rFonts w:ascii="Times New Roman" w:eastAsia="Calibri" w:hAnsi="Times New Roman" w:cs="Times New Roman"/>
        </w:rPr>
        <w:t xml:space="preserve"> €.</w:t>
      </w:r>
    </w:p>
    <w:p w14:paraId="45D4380F" w14:textId="7551E386" w:rsidR="008B5894" w:rsidRPr="00F13874" w:rsidRDefault="008B5894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>Rashodi za materijal i energiju (podskupina 322)</w:t>
      </w:r>
      <w:r w:rsidR="009A42E4" w:rsidRPr="00F13874">
        <w:rPr>
          <w:rFonts w:ascii="Times New Roman" w:eastAsia="Calibri" w:hAnsi="Times New Roman" w:cs="Times New Roman"/>
        </w:rPr>
        <w:t xml:space="preserve"> </w:t>
      </w:r>
      <w:r w:rsidRPr="00F13874">
        <w:rPr>
          <w:rFonts w:ascii="Times New Roman" w:eastAsia="Calibri" w:hAnsi="Times New Roman" w:cs="Times New Roman"/>
        </w:rPr>
        <w:t xml:space="preserve">izvršeni su u visini od </w:t>
      </w:r>
      <w:r w:rsidR="00622C5F" w:rsidRPr="00F13874">
        <w:rPr>
          <w:rFonts w:ascii="Times New Roman" w:eastAsia="Calibri" w:hAnsi="Times New Roman" w:cs="Times New Roman"/>
        </w:rPr>
        <w:t>29.</w:t>
      </w:r>
      <w:r w:rsidR="00D323F1" w:rsidRPr="00F13874">
        <w:rPr>
          <w:rFonts w:ascii="Times New Roman" w:eastAsia="Calibri" w:hAnsi="Times New Roman" w:cs="Times New Roman"/>
        </w:rPr>
        <w:t>783,19</w:t>
      </w:r>
      <w:r w:rsidRPr="00F13874">
        <w:rPr>
          <w:rFonts w:ascii="Times New Roman" w:eastAsia="Calibri" w:hAnsi="Times New Roman" w:cs="Times New Roman"/>
        </w:rPr>
        <w:t xml:space="preserve"> € </w:t>
      </w:r>
      <w:r w:rsidR="00A41D1B" w:rsidRPr="00F13874">
        <w:rPr>
          <w:rFonts w:ascii="Times New Roman" w:eastAsia="Calibri" w:hAnsi="Times New Roman" w:cs="Times New Roman"/>
        </w:rPr>
        <w:t xml:space="preserve">u odnosu na </w:t>
      </w:r>
      <w:r w:rsidR="00D323F1" w:rsidRPr="00F13874">
        <w:rPr>
          <w:rFonts w:ascii="Times New Roman" w:eastAsia="Calibri" w:hAnsi="Times New Roman" w:cs="Times New Roman"/>
        </w:rPr>
        <w:t xml:space="preserve">isto toliko </w:t>
      </w:r>
      <w:r w:rsidRPr="00F13874">
        <w:rPr>
          <w:rFonts w:ascii="Times New Roman" w:eastAsia="Calibri" w:hAnsi="Times New Roman" w:cs="Times New Roman"/>
        </w:rPr>
        <w:t>planiranih. Za energiju je utrošeno 1</w:t>
      </w:r>
      <w:r w:rsidR="00D323F1" w:rsidRPr="00F13874">
        <w:rPr>
          <w:rFonts w:ascii="Times New Roman" w:eastAsia="Calibri" w:hAnsi="Times New Roman" w:cs="Times New Roman"/>
        </w:rPr>
        <w:t>9.544,68</w:t>
      </w:r>
      <w:r w:rsidRPr="00F13874">
        <w:rPr>
          <w:rFonts w:ascii="Times New Roman" w:eastAsia="Calibri" w:hAnsi="Times New Roman" w:cs="Times New Roman"/>
        </w:rPr>
        <w:t xml:space="preserve"> € </w:t>
      </w:r>
      <w:r w:rsidR="00622C5F" w:rsidRPr="00F13874">
        <w:rPr>
          <w:rFonts w:ascii="Times New Roman" w:eastAsia="Calibri" w:hAnsi="Times New Roman" w:cs="Times New Roman"/>
        </w:rPr>
        <w:t xml:space="preserve">i to za </w:t>
      </w:r>
      <w:r w:rsidR="001B6A6D" w:rsidRPr="00F13874">
        <w:rPr>
          <w:rFonts w:ascii="Times New Roman" w:eastAsia="Calibri" w:hAnsi="Times New Roman" w:cs="Times New Roman"/>
        </w:rPr>
        <w:t xml:space="preserve">el. energiju </w:t>
      </w:r>
      <w:r w:rsidR="00F22B2A" w:rsidRPr="00F13874">
        <w:rPr>
          <w:rFonts w:ascii="Times New Roman" w:eastAsia="Calibri" w:hAnsi="Times New Roman" w:cs="Times New Roman"/>
        </w:rPr>
        <w:t>5.123,51</w:t>
      </w:r>
      <w:r w:rsidR="001B6A6D" w:rsidRPr="00F13874">
        <w:rPr>
          <w:rFonts w:ascii="Times New Roman" w:eastAsia="Calibri" w:hAnsi="Times New Roman" w:cs="Times New Roman"/>
        </w:rPr>
        <w:t xml:space="preserve"> €</w:t>
      </w:r>
      <w:r w:rsidR="00487634" w:rsidRPr="00F13874">
        <w:rPr>
          <w:rFonts w:ascii="Times New Roman" w:eastAsia="Calibri" w:hAnsi="Times New Roman" w:cs="Times New Roman"/>
        </w:rPr>
        <w:t xml:space="preserve">, za plin </w:t>
      </w:r>
      <w:r w:rsidR="00F22B2A" w:rsidRPr="00F13874">
        <w:rPr>
          <w:rFonts w:ascii="Times New Roman" w:eastAsia="Calibri" w:hAnsi="Times New Roman" w:cs="Times New Roman"/>
        </w:rPr>
        <w:t>14.164,61</w:t>
      </w:r>
      <w:r w:rsidR="00487634" w:rsidRPr="00F13874">
        <w:rPr>
          <w:rFonts w:ascii="Times New Roman" w:eastAsia="Calibri" w:hAnsi="Times New Roman" w:cs="Times New Roman"/>
        </w:rPr>
        <w:t xml:space="preserve"> €</w:t>
      </w:r>
      <w:r w:rsidR="001B6A6D" w:rsidRPr="00F13874">
        <w:rPr>
          <w:rFonts w:ascii="Times New Roman" w:eastAsia="Calibri" w:hAnsi="Times New Roman" w:cs="Times New Roman"/>
        </w:rPr>
        <w:t xml:space="preserve"> i za motorni benzin </w:t>
      </w:r>
      <w:r w:rsidR="00F22B2A" w:rsidRPr="00F13874">
        <w:rPr>
          <w:rFonts w:ascii="Times New Roman" w:eastAsia="Calibri" w:hAnsi="Times New Roman" w:cs="Times New Roman"/>
        </w:rPr>
        <w:t>256,56</w:t>
      </w:r>
      <w:r w:rsidR="001B6A6D" w:rsidRPr="00F13874">
        <w:rPr>
          <w:rFonts w:ascii="Times New Roman" w:eastAsia="Calibri" w:hAnsi="Times New Roman" w:cs="Times New Roman"/>
        </w:rPr>
        <w:t xml:space="preserve"> €.</w:t>
      </w:r>
      <w:r w:rsidRPr="00F13874">
        <w:rPr>
          <w:rFonts w:ascii="Times New Roman" w:eastAsia="Calibri" w:hAnsi="Times New Roman" w:cs="Times New Roman"/>
        </w:rPr>
        <w:t xml:space="preserve"> </w:t>
      </w:r>
      <w:r w:rsidR="00487634" w:rsidRPr="00F13874">
        <w:rPr>
          <w:rFonts w:ascii="Times New Roman" w:eastAsia="Calibri" w:hAnsi="Times New Roman" w:cs="Times New Roman"/>
        </w:rPr>
        <w:t>U promatranoj</w:t>
      </w:r>
      <w:r w:rsidRPr="00F13874">
        <w:rPr>
          <w:rFonts w:ascii="Times New Roman" w:eastAsia="Calibri" w:hAnsi="Times New Roman" w:cs="Times New Roman"/>
        </w:rPr>
        <w:t xml:space="preserve"> godin</w:t>
      </w:r>
      <w:r w:rsidR="00487634" w:rsidRPr="00F13874">
        <w:rPr>
          <w:rFonts w:ascii="Times New Roman" w:eastAsia="Calibri" w:hAnsi="Times New Roman" w:cs="Times New Roman"/>
        </w:rPr>
        <w:t>i</w:t>
      </w:r>
      <w:r w:rsidRPr="00F13874">
        <w:rPr>
          <w:rFonts w:ascii="Times New Roman" w:eastAsia="Calibri" w:hAnsi="Times New Roman" w:cs="Times New Roman"/>
        </w:rPr>
        <w:t xml:space="preserve"> nabavljen</w:t>
      </w:r>
      <w:r w:rsidR="00D323F1" w:rsidRPr="00F13874">
        <w:rPr>
          <w:rFonts w:ascii="Times New Roman" w:eastAsia="Calibri" w:hAnsi="Times New Roman" w:cs="Times New Roman"/>
        </w:rPr>
        <w:t>o</w:t>
      </w:r>
      <w:r w:rsidRPr="00F13874">
        <w:rPr>
          <w:rFonts w:ascii="Times New Roman" w:eastAsia="Calibri" w:hAnsi="Times New Roman" w:cs="Times New Roman"/>
        </w:rPr>
        <w:t xml:space="preserve"> je </w:t>
      </w:r>
      <w:r w:rsidR="00D323F1" w:rsidRPr="00F13874">
        <w:rPr>
          <w:rFonts w:ascii="Times New Roman" w:eastAsia="Calibri" w:hAnsi="Times New Roman" w:cs="Times New Roman"/>
        </w:rPr>
        <w:t>sitnog inventara za 1.366,41 €, a za materijal i dijelove za održavanje je utrošeno 1.887,51 €.</w:t>
      </w:r>
    </w:p>
    <w:p w14:paraId="3C41DC15" w14:textId="7CD60338" w:rsidR="00D076BD" w:rsidRPr="00F13874" w:rsidRDefault="008B5894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 xml:space="preserve">Rashodi za usluge (podskupina 323) </w:t>
      </w:r>
      <w:r w:rsidR="00A83D9B" w:rsidRPr="00F13874">
        <w:rPr>
          <w:rFonts w:ascii="Times New Roman" w:eastAsia="Calibri" w:hAnsi="Times New Roman" w:cs="Times New Roman"/>
        </w:rPr>
        <w:t>su godišnje planirani u visini od 2</w:t>
      </w:r>
      <w:r w:rsidR="00D076BD" w:rsidRPr="00F13874">
        <w:rPr>
          <w:rFonts w:ascii="Times New Roman" w:eastAsia="Calibri" w:hAnsi="Times New Roman" w:cs="Times New Roman"/>
        </w:rPr>
        <w:t>9.690</w:t>
      </w:r>
      <w:r w:rsidR="00A83D9B" w:rsidRPr="00F13874">
        <w:rPr>
          <w:rFonts w:ascii="Times New Roman" w:eastAsia="Calibri" w:hAnsi="Times New Roman" w:cs="Times New Roman"/>
        </w:rPr>
        <w:t xml:space="preserve">,00 €, a izvršeno je </w:t>
      </w:r>
      <w:r w:rsidR="00D076BD" w:rsidRPr="00F13874">
        <w:rPr>
          <w:rFonts w:ascii="Times New Roman" w:eastAsia="Calibri" w:hAnsi="Times New Roman" w:cs="Times New Roman"/>
        </w:rPr>
        <w:t>30.275,69</w:t>
      </w:r>
      <w:r w:rsidR="00A83D9B" w:rsidRPr="00F13874">
        <w:rPr>
          <w:rFonts w:ascii="Times New Roman" w:eastAsia="Calibri" w:hAnsi="Times New Roman" w:cs="Times New Roman"/>
        </w:rPr>
        <w:t xml:space="preserve"> €</w:t>
      </w:r>
      <w:r w:rsidR="00D076BD" w:rsidRPr="00F13874">
        <w:rPr>
          <w:rFonts w:ascii="Times New Roman" w:eastAsia="Calibri" w:hAnsi="Times New Roman" w:cs="Times New Roman"/>
        </w:rPr>
        <w:t>, što je blizu 2% iznad plana.</w:t>
      </w:r>
      <w:r w:rsidR="00A83D9B" w:rsidRPr="00F13874">
        <w:rPr>
          <w:rFonts w:ascii="Times New Roman" w:eastAsia="Calibri" w:hAnsi="Times New Roman" w:cs="Times New Roman"/>
        </w:rPr>
        <w:t xml:space="preserve"> Pojedinačno (po odjeljcima) najveći je rashod za</w:t>
      </w:r>
      <w:r w:rsidR="00D076BD" w:rsidRPr="00F13874">
        <w:rPr>
          <w:rFonts w:ascii="Times New Roman" w:eastAsia="Calibri" w:hAnsi="Times New Roman" w:cs="Times New Roman"/>
        </w:rPr>
        <w:t xml:space="preserve"> računalne usluge od 7.224,52 €,</w:t>
      </w:r>
      <w:r w:rsidR="00A83D9B" w:rsidRPr="00F13874">
        <w:rPr>
          <w:rFonts w:ascii="Times New Roman" w:eastAsia="Calibri" w:hAnsi="Times New Roman" w:cs="Times New Roman"/>
        </w:rPr>
        <w:t xml:space="preserve"> komunalne usluge od </w:t>
      </w:r>
      <w:r w:rsidR="001B6A6D" w:rsidRPr="00F13874">
        <w:rPr>
          <w:rFonts w:ascii="Times New Roman" w:eastAsia="Calibri" w:hAnsi="Times New Roman" w:cs="Times New Roman"/>
        </w:rPr>
        <w:t>6.</w:t>
      </w:r>
      <w:r w:rsidR="00D076BD" w:rsidRPr="00F13874">
        <w:rPr>
          <w:rFonts w:ascii="Times New Roman" w:eastAsia="Calibri" w:hAnsi="Times New Roman" w:cs="Times New Roman"/>
        </w:rPr>
        <w:t>751,49 te ostale usluge od 6.746,38 €. Za usluge tekućeg i investicijskog održavanja utrošeno je 4.352,57</w:t>
      </w:r>
      <w:r w:rsidR="00A83D9B" w:rsidRPr="00F13874">
        <w:rPr>
          <w:rFonts w:ascii="Times New Roman" w:eastAsia="Calibri" w:hAnsi="Times New Roman" w:cs="Times New Roman"/>
        </w:rPr>
        <w:t xml:space="preserve"> €,</w:t>
      </w:r>
      <w:r w:rsidR="00D076BD" w:rsidRPr="00F13874">
        <w:rPr>
          <w:rFonts w:ascii="Times New Roman" w:eastAsia="Calibri" w:hAnsi="Times New Roman" w:cs="Times New Roman"/>
        </w:rPr>
        <w:t xml:space="preserve"> za zdravstvene usluge 1.048,10 € i za intelektualne usluge 125,00 €.</w:t>
      </w:r>
    </w:p>
    <w:p w14:paraId="3AA40CE6" w14:textId="3A66E4DF" w:rsidR="00A83D9B" w:rsidRPr="00F13874" w:rsidRDefault="00A83D9B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>Kod ostalih nespomenutih rashoda</w:t>
      </w:r>
      <w:r w:rsidR="00B67AAA" w:rsidRPr="00F13874">
        <w:rPr>
          <w:rFonts w:ascii="Times New Roman" w:eastAsia="Calibri" w:hAnsi="Times New Roman" w:cs="Times New Roman"/>
        </w:rPr>
        <w:t xml:space="preserve"> poslovanja</w:t>
      </w:r>
      <w:r w:rsidRPr="00F13874">
        <w:rPr>
          <w:rFonts w:ascii="Times New Roman" w:eastAsia="Calibri" w:hAnsi="Times New Roman" w:cs="Times New Roman"/>
        </w:rPr>
        <w:t xml:space="preserve"> (podskupina 329) </w:t>
      </w:r>
      <w:r w:rsidR="00B67AAA" w:rsidRPr="00F13874">
        <w:rPr>
          <w:rFonts w:ascii="Times New Roman" w:eastAsia="Calibri" w:hAnsi="Times New Roman" w:cs="Times New Roman"/>
        </w:rPr>
        <w:t>od 3.938,30 €, najveći iznosi se odnose na pristojbe i naknade od 1.826,40 € i premije osiguranja od 1.385,99 €.</w:t>
      </w:r>
    </w:p>
    <w:p w14:paraId="3FFB7D88" w14:textId="5073FB22" w:rsidR="00636E85" w:rsidRPr="00F13874" w:rsidRDefault="0007601F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 xml:space="preserve">Kod nabave nefinancijske imovine rashodi za nabavu opreme su iznosili 8.247,29 €, kako je i planirano, dok planiranih 27.185,00 € za e-kombi nije utrošeno jer je naknadno utvrđeno da će se isporuka, a time i plaćanje, realizirati u narednoj godini. </w:t>
      </w:r>
    </w:p>
    <w:p w14:paraId="2C00B9AC" w14:textId="6623B020" w:rsidR="0007601F" w:rsidRPr="00F13874" w:rsidRDefault="0007601F" w:rsidP="002C2647">
      <w:pPr>
        <w:rPr>
          <w:rFonts w:ascii="Times New Roman" w:eastAsia="Calibri" w:hAnsi="Times New Roman" w:cs="Times New Roman"/>
        </w:rPr>
      </w:pPr>
      <w:r w:rsidRPr="00F13874">
        <w:rPr>
          <w:rFonts w:ascii="Times New Roman" w:eastAsia="Calibri" w:hAnsi="Times New Roman" w:cs="Times New Roman"/>
        </w:rPr>
        <w:t>Za knjige za knjižnicu je utrošeno 80,68 €, prema toliko planiranom iznosu. Isto tako, prema 7.500,00 € planiranom iznosu na poziciji dodatnih ulaganja na građevinskom objektu</w:t>
      </w:r>
      <w:r w:rsidR="0035031A" w:rsidRPr="00F13874">
        <w:rPr>
          <w:rFonts w:ascii="Times New Roman" w:eastAsia="Calibri" w:hAnsi="Times New Roman" w:cs="Times New Roman"/>
        </w:rPr>
        <w:t xml:space="preserve"> iznosilo je izvršenje.</w:t>
      </w:r>
    </w:p>
    <w:p w14:paraId="0CA67939" w14:textId="77777777" w:rsidR="00ED23D8" w:rsidRPr="00AA02F8" w:rsidRDefault="00ED23D8" w:rsidP="002C2647">
      <w:pPr>
        <w:rPr>
          <w:rFonts w:ascii="Times New Roman" w:eastAsia="Calibri" w:hAnsi="Times New Roman" w:cs="Times New Roman"/>
        </w:rPr>
      </w:pPr>
      <w:r w:rsidRPr="00AA02F8">
        <w:rPr>
          <w:rFonts w:ascii="Times New Roman" w:eastAsia="Calibri" w:hAnsi="Times New Roman" w:cs="Times New Roman"/>
        </w:rPr>
        <w:t>PROGRAM 3003: DODATNI PROGRAMI ODGOJA I OBRAZOVANJA</w:t>
      </w:r>
    </w:p>
    <w:p w14:paraId="6D09377A" w14:textId="5DAF2FBD" w:rsidR="00DE49A9" w:rsidRPr="00AA02F8" w:rsidRDefault="00DE49A9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Cilj programa je sveobuhvatna pomoć i podrška djeci, učenicima s teškoćama u razvoju i odraslim osobama s invaliditetom.</w:t>
      </w:r>
    </w:p>
    <w:p w14:paraId="3269209D" w14:textId="6851934F" w:rsidR="00DE49A9" w:rsidRPr="00AA02F8" w:rsidRDefault="00DE49A9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Razvoj učenika potiče se osim redovnim nastavnim radom i izvannastavnim aktivnostima, razrednim i školskim projektima, zadrugarstvom, provođenjem programa Međunarodne Ekoškole, natjecanjima, sudjelovanjem na manifestacijama u lokalnoj zajednici i sl.</w:t>
      </w:r>
    </w:p>
    <w:p w14:paraId="18241DE0" w14:textId="64AE244F" w:rsidR="00E12419" w:rsidRPr="00AA02F8" w:rsidRDefault="00E12419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 xml:space="preserve">U Centru se provodi </w:t>
      </w:r>
      <w:r w:rsidR="00067F61" w:rsidRPr="00AA02F8">
        <w:rPr>
          <w:rFonts w:ascii="Times New Roman" w:hAnsi="Times New Roman" w:cs="Times New Roman"/>
        </w:rPr>
        <w:t>20</w:t>
      </w:r>
      <w:r w:rsidRPr="00AA02F8">
        <w:rPr>
          <w:rFonts w:ascii="Times New Roman" w:hAnsi="Times New Roman" w:cs="Times New Roman"/>
        </w:rPr>
        <w:t xml:space="preserve"> izvannastavnih aktivnosti, </w:t>
      </w:r>
      <w:r w:rsidR="00067F61" w:rsidRPr="00AA02F8">
        <w:rPr>
          <w:rFonts w:ascii="Times New Roman" w:hAnsi="Times New Roman" w:cs="Times New Roman"/>
        </w:rPr>
        <w:t>7</w:t>
      </w:r>
      <w:r w:rsidRPr="00AA02F8">
        <w:rPr>
          <w:rFonts w:ascii="Times New Roman" w:hAnsi="Times New Roman" w:cs="Times New Roman"/>
        </w:rPr>
        <w:t xml:space="preserve"> projekata na razini Centra</w:t>
      </w:r>
      <w:r w:rsidR="00366E90" w:rsidRPr="00AA02F8">
        <w:rPr>
          <w:rFonts w:ascii="Times New Roman" w:hAnsi="Times New Roman" w:cs="Times New Roman"/>
        </w:rPr>
        <w:t xml:space="preserve">, </w:t>
      </w:r>
      <w:r w:rsidR="00067F61" w:rsidRPr="00AA02F8">
        <w:rPr>
          <w:rFonts w:ascii="Times New Roman" w:hAnsi="Times New Roman" w:cs="Times New Roman"/>
        </w:rPr>
        <w:t>3</w:t>
      </w:r>
      <w:r w:rsidR="00366E90" w:rsidRPr="00AA02F8">
        <w:rPr>
          <w:rFonts w:ascii="Times New Roman" w:hAnsi="Times New Roman" w:cs="Times New Roman"/>
        </w:rPr>
        <w:t xml:space="preserve"> eTwinning projekata te</w:t>
      </w:r>
      <w:r w:rsidRPr="00AA02F8">
        <w:rPr>
          <w:rFonts w:ascii="Times New Roman" w:hAnsi="Times New Roman" w:cs="Times New Roman"/>
        </w:rPr>
        <w:t xml:space="preserve"> </w:t>
      </w:r>
      <w:r w:rsidR="00067F61" w:rsidRPr="00AA02F8">
        <w:rPr>
          <w:rFonts w:ascii="Times New Roman" w:hAnsi="Times New Roman" w:cs="Times New Roman"/>
        </w:rPr>
        <w:t>14</w:t>
      </w:r>
      <w:r w:rsidRPr="00AA02F8">
        <w:rPr>
          <w:rFonts w:ascii="Times New Roman" w:hAnsi="Times New Roman" w:cs="Times New Roman"/>
        </w:rPr>
        <w:t xml:space="preserve"> razrednih projekata. Učenička zadruga „Kopriva“ predstavila je svoj rad na Županijskoj smotri UZ, Centar je nositelj dijamantnog statusa Međunarodne Eko</w:t>
      </w:r>
      <w:r w:rsidR="00AA02F8">
        <w:rPr>
          <w:rFonts w:ascii="Times New Roman" w:hAnsi="Times New Roman" w:cs="Times New Roman"/>
        </w:rPr>
        <w:t>-</w:t>
      </w:r>
      <w:r w:rsidRPr="00AA02F8">
        <w:rPr>
          <w:rFonts w:ascii="Times New Roman" w:hAnsi="Times New Roman" w:cs="Times New Roman"/>
        </w:rPr>
        <w:t>škole</w:t>
      </w:r>
      <w:r w:rsidR="00067F61" w:rsidRPr="00AA02F8">
        <w:rPr>
          <w:rFonts w:ascii="Times New Roman" w:hAnsi="Times New Roman" w:cs="Times New Roman"/>
        </w:rPr>
        <w:t>,</w:t>
      </w:r>
      <w:r w:rsidRPr="00AA02F8">
        <w:rPr>
          <w:rFonts w:ascii="Times New Roman" w:hAnsi="Times New Roman" w:cs="Times New Roman"/>
        </w:rPr>
        <w:t xml:space="preserve"> a na Državnom natjecanju </w:t>
      </w:r>
      <w:r w:rsidR="00F3220C" w:rsidRPr="00AA02F8">
        <w:rPr>
          <w:rFonts w:ascii="Times New Roman" w:hAnsi="Times New Roman" w:cs="Times New Roman"/>
        </w:rPr>
        <w:t>š</w:t>
      </w:r>
      <w:r w:rsidRPr="00AA02F8">
        <w:rPr>
          <w:rFonts w:ascii="Times New Roman" w:hAnsi="Times New Roman" w:cs="Times New Roman"/>
        </w:rPr>
        <w:t>kolsk</w:t>
      </w:r>
      <w:r w:rsidR="009832EE" w:rsidRPr="00AA02F8">
        <w:rPr>
          <w:rFonts w:ascii="Times New Roman" w:hAnsi="Times New Roman" w:cs="Times New Roman"/>
        </w:rPr>
        <w:t xml:space="preserve">ih sportskih društava </w:t>
      </w:r>
      <w:r w:rsidR="00D713DB" w:rsidRPr="00AA02F8">
        <w:rPr>
          <w:rFonts w:ascii="Times New Roman" w:hAnsi="Times New Roman" w:cs="Times New Roman"/>
        </w:rPr>
        <w:t>učenici Centra osvojili su 5 zlatnih</w:t>
      </w:r>
      <w:r w:rsidR="00C92C82" w:rsidRPr="00AA02F8">
        <w:rPr>
          <w:rFonts w:ascii="Times New Roman" w:hAnsi="Times New Roman" w:cs="Times New Roman"/>
        </w:rPr>
        <w:t xml:space="preserve"> </w:t>
      </w:r>
      <w:r w:rsidR="00D713DB" w:rsidRPr="00AA02F8">
        <w:rPr>
          <w:rFonts w:ascii="Times New Roman" w:hAnsi="Times New Roman" w:cs="Times New Roman"/>
        </w:rPr>
        <w:t xml:space="preserve">i </w:t>
      </w:r>
      <w:r w:rsidR="00C92C82" w:rsidRPr="00AA02F8">
        <w:rPr>
          <w:rFonts w:ascii="Times New Roman" w:hAnsi="Times New Roman" w:cs="Times New Roman"/>
        </w:rPr>
        <w:t>dvije</w:t>
      </w:r>
      <w:r w:rsidR="00D713DB" w:rsidRPr="00AA02F8">
        <w:rPr>
          <w:rFonts w:ascii="Times New Roman" w:hAnsi="Times New Roman" w:cs="Times New Roman"/>
        </w:rPr>
        <w:t xml:space="preserve"> brončan</w:t>
      </w:r>
      <w:r w:rsidR="00C92C82" w:rsidRPr="00AA02F8">
        <w:rPr>
          <w:rFonts w:ascii="Times New Roman" w:hAnsi="Times New Roman" w:cs="Times New Roman"/>
        </w:rPr>
        <w:t>e</w:t>
      </w:r>
      <w:r w:rsidR="00D713DB" w:rsidRPr="00AA02F8">
        <w:rPr>
          <w:rFonts w:ascii="Times New Roman" w:hAnsi="Times New Roman" w:cs="Times New Roman"/>
        </w:rPr>
        <w:t xml:space="preserve"> medalj</w:t>
      </w:r>
      <w:r w:rsidR="00C92C82" w:rsidRPr="00AA02F8">
        <w:rPr>
          <w:rFonts w:ascii="Times New Roman" w:hAnsi="Times New Roman" w:cs="Times New Roman"/>
        </w:rPr>
        <w:t>e</w:t>
      </w:r>
      <w:r w:rsidR="00D713DB" w:rsidRPr="00AA02F8">
        <w:rPr>
          <w:rFonts w:ascii="Times New Roman" w:hAnsi="Times New Roman" w:cs="Times New Roman"/>
        </w:rPr>
        <w:t>.</w:t>
      </w:r>
    </w:p>
    <w:p w14:paraId="6725E66A" w14:textId="2D8B70D1" w:rsidR="00D713DB" w:rsidRPr="00AA02F8" w:rsidRDefault="00D713DB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lastRenderedPageBreak/>
        <w:t>Za djecu predškolske i školske dobi koja imaju govorne smetnje i teškoće u čitanju i pisanju, a koja nisu polaznici Centra,  pruža se logopedska podrška. S područja grada Koprivnice i susjednih općina ukupno je logo</w:t>
      </w:r>
      <w:r w:rsidR="00F76766" w:rsidRPr="00AA02F8">
        <w:rPr>
          <w:rFonts w:ascii="Times New Roman" w:hAnsi="Times New Roman" w:cs="Times New Roman"/>
        </w:rPr>
        <w:t>pedskom terapijom</w:t>
      </w:r>
      <w:r w:rsidRPr="00AA02F8">
        <w:rPr>
          <w:rFonts w:ascii="Times New Roman" w:hAnsi="Times New Roman" w:cs="Times New Roman"/>
        </w:rPr>
        <w:t xml:space="preserve"> obuhvaćeno </w:t>
      </w:r>
      <w:r w:rsidR="00366E90" w:rsidRPr="00AA02F8">
        <w:rPr>
          <w:rFonts w:ascii="Times New Roman" w:hAnsi="Times New Roman" w:cs="Times New Roman"/>
        </w:rPr>
        <w:t>8</w:t>
      </w:r>
      <w:r w:rsidR="00C92C82" w:rsidRPr="00AA02F8">
        <w:rPr>
          <w:rFonts w:ascii="Times New Roman" w:hAnsi="Times New Roman" w:cs="Times New Roman"/>
        </w:rPr>
        <w:t>3</w:t>
      </w:r>
      <w:r w:rsidRPr="00AA02F8">
        <w:rPr>
          <w:rFonts w:ascii="Times New Roman" w:hAnsi="Times New Roman" w:cs="Times New Roman"/>
        </w:rPr>
        <w:t xml:space="preserve"> djece.</w:t>
      </w:r>
    </w:p>
    <w:p w14:paraId="2DF507A5" w14:textId="286687E2" w:rsidR="00FD31D0" w:rsidRPr="00AA02F8" w:rsidRDefault="00D713DB" w:rsidP="006C7C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Radno-proizvodna aktivnost provodi</w:t>
      </w:r>
      <w:r w:rsidR="00F76766" w:rsidRPr="00AA02F8">
        <w:rPr>
          <w:rFonts w:ascii="Times New Roman" w:hAnsi="Times New Roman" w:cs="Times New Roman"/>
        </w:rPr>
        <w:t>la</w:t>
      </w:r>
      <w:r w:rsidRPr="00AA02F8">
        <w:rPr>
          <w:rFonts w:ascii="Times New Roman" w:hAnsi="Times New Roman" w:cs="Times New Roman"/>
        </w:rPr>
        <w:t xml:space="preserve"> se kroz socijalnu uslugu poludnevnog boravka za ukupno 18 odraslih korisnika, osoba s intelektualnim teškoćama</w:t>
      </w:r>
      <w:r w:rsidR="0090405A" w:rsidRPr="00AA02F8">
        <w:rPr>
          <w:rFonts w:ascii="Times New Roman" w:hAnsi="Times New Roman" w:cs="Times New Roman"/>
        </w:rPr>
        <w:t>.</w:t>
      </w:r>
    </w:p>
    <w:p w14:paraId="08A3CD72" w14:textId="49FFFCAA" w:rsidR="00FD31D0" w:rsidRPr="00AA02F8" w:rsidRDefault="00FD31D0" w:rsidP="00FD3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02F8">
        <w:rPr>
          <w:rFonts w:ascii="Times New Roman" w:hAnsi="Times New Roman" w:cs="Times New Roman"/>
        </w:rPr>
        <w:t>U redovnom nastavnom radu, kao i u izvannastavnim aktivnostima svakodnevnu podršku učenicima pruža</w:t>
      </w:r>
      <w:r w:rsidR="00B65C80" w:rsidRPr="00AA02F8">
        <w:rPr>
          <w:rFonts w:ascii="Times New Roman" w:hAnsi="Times New Roman" w:cs="Times New Roman"/>
        </w:rPr>
        <w:t>li su</w:t>
      </w:r>
      <w:r w:rsidRPr="00AA02F8">
        <w:rPr>
          <w:rFonts w:ascii="Times New Roman" w:hAnsi="Times New Roman" w:cs="Times New Roman"/>
        </w:rPr>
        <w:t xml:space="preserve"> pomoćnici u nastavi</w:t>
      </w:r>
      <w:r w:rsidR="00B65C80" w:rsidRPr="00AA02F8">
        <w:rPr>
          <w:rFonts w:ascii="Times New Roman" w:hAnsi="Times New Roman" w:cs="Times New Roman"/>
        </w:rPr>
        <w:t xml:space="preserve">: </w:t>
      </w:r>
      <w:r w:rsidR="00F3220C" w:rsidRPr="00AA02F8">
        <w:rPr>
          <w:rFonts w:ascii="Times New Roman" w:hAnsi="Times New Roman" w:cs="Times New Roman"/>
        </w:rPr>
        <w:t xml:space="preserve"> </w:t>
      </w:r>
      <w:r w:rsidRPr="00AA02F8">
        <w:rPr>
          <w:rFonts w:ascii="Times New Roman" w:hAnsi="Times New Roman" w:cs="Times New Roman"/>
        </w:rPr>
        <w:t>u šk. godini 202</w:t>
      </w:r>
      <w:r w:rsidR="0090405A" w:rsidRPr="00AA02F8">
        <w:rPr>
          <w:rFonts w:ascii="Times New Roman" w:hAnsi="Times New Roman" w:cs="Times New Roman"/>
        </w:rPr>
        <w:t>3</w:t>
      </w:r>
      <w:r w:rsidRPr="00AA02F8">
        <w:rPr>
          <w:rFonts w:ascii="Times New Roman" w:hAnsi="Times New Roman" w:cs="Times New Roman"/>
        </w:rPr>
        <w:t>./2</w:t>
      </w:r>
      <w:r w:rsidR="0090405A" w:rsidRPr="00AA02F8">
        <w:rPr>
          <w:rFonts w:ascii="Times New Roman" w:hAnsi="Times New Roman" w:cs="Times New Roman"/>
        </w:rPr>
        <w:t>4</w:t>
      </w:r>
      <w:r w:rsidRPr="00AA02F8">
        <w:rPr>
          <w:rFonts w:ascii="Times New Roman" w:hAnsi="Times New Roman" w:cs="Times New Roman"/>
        </w:rPr>
        <w:t>. 1</w:t>
      </w:r>
      <w:r w:rsidR="0090405A" w:rsidRPr="00AA02F8">
        <w:rPr>
          <w:rFonts w:ascii="Times New Roman" w:hAnsi="Times New Roman" w:cs="Times New Roman"/>
        </w:rPr>
        <w:t>5</w:t>
      </w:r>
      <w:r w:rsidRPr="00AA02F8">
        <w:rPr>
          <w:rFonts w:ascii="Times New Roman" w:hAnsi="Times New Roman" w:cs="Times New Roman"/>
        </w:rPr>
        <w:t xml:space="preserve"> pomoćnika u nastavi dodijeljeno je za </w:t>
      </w:r>
      <w:r w:rsidR="0090405A" w:rsidRPr="00AA02F8">
        <w:rPr>
          <w:rFonts w:ascii="Times New Roman" w:hAnsi="Times New Roman" w:cs="Times New Roman"/>
        </w:rPr>
        <w:t>24</w:t>
      </w:r>
      <w:r w:rsidRPr="00AA02F8">
        <w:rPr>
          <w:rFonts w:ascii="Times New Roman" w:hAnsi="Times New Roman" w:cs="Times New Roman"/>
        </w:rPr>
        <w:t xml:space="preserve"> učenika</w:t>
      </w:r>
      <w:r w:rsidR="00B65C80" w:rsidRPr="00AA02F8">
        <w:rPr>
          <w:rFonts w:ascii="Times New Roman" w:hAnsi="Times New Roman" w:cs="Times New Roman"/>
        </w:rPr>
        <w:t>, a u 202</w:t>
      </w:r>
      <w:r w:rsidR="0090405A" w:rsidRPr="00AA02F8">
        <w:rPr>
          <w:rFonts w:ascii="Times New Roman" w:hAnsi="Times New Roman" w:cs="Times New Roman"/>
        </w:rPr>
        <w:t>4</w:t>
      </w:r>
      <w:r w:rsidR="00B65C80" w:rsidRPr="00AA02F8">
        <w:rPr>
          <w:rFonts w:ascii="Times New Roman" w:hAnsi="Times New Roman" w:cs="Times New Roman"/>
        </w:rPr>
        <w:t>./2</w:t>
      </w:r>
      <w:r w:rsidR="0090405A" w:rsidRPr="00AA02F8">
        <w:rPr>
          <w:rFonts w:ascii="Times New Roman" w:hAnsi="Times New Roman" w:cs="Times New Roman"/>
        </w:rPr>
        <w:t>5</w:t>
      </w:r>
      <w:r w:rsidR="00B65C80" w:rsidRPr="00AA02F8">
        <w:rPr>
          <w:rFonts w:ascii="Times New Roman" w:hAnsi="Times New Roman" w:cs="Times New Roman"/>
        </w:rPr>
        <w:t xml:space="preserve">. </w:t>
      </w:r>
      <w:r w:rsidR="0090405A" w:rsidRPr="00AA02F8">
        <w:rPr>
          <w:rFonts w:ascii="Times New Roman" w:hAnsi="Times New Roman" w:cs="Times New Roman"/>
        </w:rPr>
        <w:t xml:space="preserve"> 15 </w:t>
      </w:r>
      <w:r w:rsidR="00B65C80" w:rsidRPr="00AA02F8">
        <w:rPr>
          <w:rFonts w:ascii="Times New Roman" w:hAnsi="Times New Roman" w:cs="Times New Roman"/>
        </w:rPr>
        <w:t xml:space="preserve"> pomoćnika </w:t>
      </w:r>
      <w:r w:rsidR="0090405A" w:rsidRPr="00AA02F8">
        <w:rPr>
          <w:rFonts w:ascii="Times New Roman" w:hAnsi="Times New Roman" w:cs="Times New Roman"/>
        </w:rPr>
        <w:t xml:space="preserve">u nastavi </w:t>
      </w:r>
      <w:r w:rsidR="00B65C80" w:rsidRPr="00AA02F8">
        <w:rPr>
          <w:rFonts w:ascii="Times New Roman" w:hAnsi="Times New Roman" w:cs="Times New Roman"/>
        </w:rPr>
        <w:t>za 2</w:t>
      </w:r>
      <w:r w:rsidR="0090405A" w:rsidRPr="00AA02F8">
        <w:rPr>
          <w:rFonts w:ascii="Times New Roman" w:hAnsi="Times New Roman" w:cs="Times New Roman"/>
        </w:rPr>
        <w:t>6</w:t>
      </w:r>
      <w:r w:rsidR="00B65C80" w:rsidRPr="00AA02F8">
        <w:rPr>
          <w:rFonts w:ascii="Times New Roman" w:hAnsi="Times New Roman" w:cs="Times New Roman"/>
        </w:rPr>
        <w:t xml:space="preserve"> učenika.</w:t>
      </w:r>
      <w:r w:rsidR="00F76766" w:rsidRPr="00AA02F8">
        <w:rPr>
          <w:rFonts w:ascii="Times New Roman" w:hAnsi="Times New Roman" w:cs="Times New Roman"/>
        </w:rPr>
        <w:t xml:space="preserve"> </w:t>
      </w:r>
    </w:p>
    <w:p w14:paraId="2B6C12A0" w14:textId="77777777" w:rsidR="00366E90" w:rsidRDefault="00366E90" w:rsidP="00FD31D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28"/>
        <w:gridCol w:w="1434"/>
        <w:gridCol w:w="1508"/>
        <w:gridCol w:w="1340"/>
        <w:gridCol w:w="1169"/>
        <w:gridCol w:w="1154"/>
        <w:gridCol w:w="1229"/>
      </w:tblGrid>
      <w:tr w:rsidR="00366E90" w14:paraId="40C43ECC" w14:textId="77777777" w:rsidTr="00B43B6A">
        <w:trPr>
          <w:trHeight w:val="757"/>
        </w:trPr>
        <w:tc>
          <w:tcPr>
            <w:tcW w:w="1228" w:type="dxa"/>
            <w:tcBorders>
              <w:bottom w:val="double" w:sz="4" w:space="0" w:color="auto"/>
            </w:tcBorders>
          </w:tcPr>
          <w:p w14:paraId="48130FB2" w14:textId="77777777" w:rsidR="00366E90" w:rsidRDefault="00366E90" w:rsidP="00B43B6A">
            <w:pPr>
              <w:jc w:val="center"/>
            </w:pPr>
          </w:p>
          <w:p w14:paraId="1E4E0232" w14:textId="77777777" w:rsidR="00366E90" w:rsidRDefault="00366E90" w:rsidP="00B43B6A">
            <w:pPr>
              <w:jc w:val="center"/>
            </w:pPr>
            <w:r>
              <w:t>Pokazatelj rezultata</w:t>
            </w:r>
          </w:p>
        </w:tc>
        <w:tc>
          <w:tcPr>
            <w:tcW w:w="1434" w:type="dxa"/>
            <w:tcBorders>
              <w:bottom w:val="double" w:sz="4" w:space="0" w:color="auto"/>
            </w:tcBorders>
          </w:tcPr>
          <w:p w14:paraId="31B70C89" w14:textId="77777777" w:rsidR="00366E90" w:rsidRDefault="00366E90" w:rsidP="00B43B6A">
            <w:pPr>
              <w:jc w:val="center"/>
            </w:pPr>
          </w:p>
          <w:p w14:paraId="5668AB7A" w14:textId="77777777" w:rsidR="00366E90" w:rsidRDefault="00366E90" w:rsidP="00B43B6A">
            <w:pPr>
              <w:jc w:val="center"/>
            </w:pPr>
            <w:r>
              <w:t>Definicija</w:t>
            </w:r>
          </w:p>
        </w:tc>
        <w:tc>
          <w:tcPr>
            <w:tcW w:w="1508" w:type="dxa"/>
            <w:tcBorders>
              <w:bottom w:val="double" w:sz="4" w:space="0" w:color="auto"/>
            </w:tcBorders>
          </w:tcPr>
          <w:p w14:paraId="08873AA5" w14:textId="77777777" w:rsidR="00366E90" w:rsidRDefault="00366E90" w:rsidP="00B43B6A">
            <w:pPr>
              <w:jc w:val="center"/>
            </w:pPr>
          </w:p>
          <w:p w14:paraId="46E17ED1" w14:textId="77777777" w:rsidR="00366E90" w:rsidRDefault="00366E90" w:rsidP="00B43B6A">
            <w:pPr>
              <w:jc w:val="center"/>
            </w:pPr>
            <w:r>
              <w:t>Jedinica</w:t>
            </w:r>
          </w:p>
        </w:tc>
        <w:tc>
          <w:tcPr>
            <w:tcW w:w="1340" w:type="dxa"/>
            <w:tcBorders>
              <w:bottom w:val="double" w:sz="4" w:space="0" w:color="auto"/>
            </w:tcBorders>
          </w:tcPr>
          <w:p w14:paraId="53CAFE94" w14:textId="77777777" w:rsidR="00366E90" w:rsidRDefault="00366E90" w:rsidP="00B43B6A">
            <w:pPr>
              <w:jc w:val="center"/>
            </w:pPr>
          </w:p>
          <w:p w14:paraId="2D9547C3" w14:textId="77777777" w:rsidR="00366E90" w:rsidRDefault="00366E90" w:rsidP="00B43B6A">
            <w:pPr>
              <w:jc w:val="center"/>
            </w:pPr>
            <w:r>
              <w:t>Polazna vrijednost</w:t>
            </w:r>
          </w:p>
        </w:tc>
        <w:tc>
          <w:tcPr>
            <w:tcW w:w="1169" w:type="dxa"/>
            <w:tcBorders>
              <w:bottom w:val="double" w:sz="4" w:space="0" w:color="auto"/>
            </w:tcBorders>
          </w:tcPr>
          <w:p w14:paraId="52EECF11" w14:textId="77777777" w:rsidR="00366E90" w:rsidRDefault="00366E90" w:rsidP="00B43B6A">
            <w:pPr>
              <w:jc w:val="center"/>
            </w:pPr>
          </w:p>
          <w:p w14:paraId="2E8AA71A" w14:textId="77777777" w:rsidR="00366E90" w:rsidRDefault="00366E90" w:rsidP="00B43B6A">
            <w:pPr>
              <w:jc w:val="center"/>
            </w:pPr>
            <w:r>
              <w:t>Izvor podataka</w:t>
            </w:r>
          </w:p>
        </w:tc>
        <w:tc>
          <w:tcPr>
            <w:tcW w:w="1154" w:type="dxa"/>
            <w:tcBorders>
              <w:bottom w:val="double" w:sz="4" w:space="0" w:color="auto"/>
            </w:tcBorders>
          </w:tcPr>
          <w:p w14:paraId="183967D1" w14:textId="664E760E" w:rsidR="00366E90" w:rsidRDefault="00366E90" w:rsidP="00B43B6A">
            <w:pPr>
              <w:jc w:val="center"/>
            </w:pPr>
            <w:r>
              <w:t>Ciljana vrijednost za 202</w:t>
            </w:r>
            <w:r w:rsidR="00AE7FDD">
              <w:t>4</w:t>
            </w:r>
            <w:r>
              <w:t>.</w:t>
            </w:r>
          </w:p>
        </w:tc>
        <w:tc>
          <w:tcPr>
            <w:tcW w:w="1229" w:type="dxa"/>
            <w:tcBorders>
              <w:bottom w:val="double" w:sz="4" w:space="0" w:color="auto"/>
            </w:tcBorders>
          </w:tcPr>
          <w:p w14:paraId="6D506875" w14:textId="74C1090E" w:rsidR="00366E90" w:rsidRDefault="00366E90" w:rsidP="00B43B6A">
            <w:pPr>
              <w:jc w:val="center"/>
            </w:pPr>
            <w:r>
              <w:t>Ostvarenje na dan 31.12.202</w:t>
            </w:r>
            <w:r w:rsidR="00AE7FDD">
              <w:t>4</w:t>
            </w:r>
            <w:r>
              <w:t>.</w:t>
            </w:r>
          </w:p>
        </w:tc>
      </w:tr>
      <w:tr w:rsidR="00366E90" w14:paraId="32E16316" w14:textId="77777777" w:rsidTr="00B43B6A">
        <w:tc>
          <w:tcPr>
            <w:tcW w:w="1228" w:type="dxa"/>
            <w:tcBorders>
              <w:top w:val="double" w:sz="4" w:space="0" w:color="auto"/>
            </w:tcBorders>
          </w:tcPr>
          <w:p w14:paraId="43AA0056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6BDBB01E" w14:textId="0A42D18D" w:rsidR="00366E90" w:rsidRPr="00605A2D" w:rsidRDefault="00AE7FDD" w:rsidP="00B43B6A">
            <w:r>
              <w:rPr>
                <w:lang w:eastAsia="hr-HR"/>
              </w:rPr>
              <w:t>Održa</w:t>
            </w:r>
            <w:r w:rsidR="00366E90" w:rsidRPr="00605A2D">
              <w:rPr>
                <w:lang w:eastAsia="hr-HR"/>
              </w:rPr>
              <w:t>vanje broja učenika uključenih u školske priredbe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14:paraId="660056AC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3609F45A" w14:textId="77777777" w:rsidR="00366E90" w:rsidRPr="00605A2D" w:rsidRDefault="00366E90" w:rsidP="00B43B6A">
            <w:r w:rsidRPr="00605A2D">
              <w:rPr>
                <w:lang w:eastAsia="hr-HR"/>
              </w:rPr>
              <w:t>Uključivanjem učenika u izvannastavne aktivnosti potiče se razvoj kreativnosti, talenata i sposobnosti</w:t>
            </w:r>
          </w:p>
        </w:tc>
        <w:tc>
          <w:tcPr>
            <w:tcW w:w="1508" w:type="dxa"/>
            <w:tcBorders>
              <w:top w:val="double" w:sz="4" w:space="0" w:color="auto"/>
            </w:tcBorders>
          </w:tcPr>
          <w:p w14:paraId="36F001CE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3081FEE6" w14:textId="54DB77C4" w:rsidR="00366E90" w:rsidRPr="00605A2D" w:rsidRDefault="00AE7FDD" w:rsidP="00B43B6A">
            <w:pPr>
              <w:jc w:val="center"/>
            </w:pPr>
            <w:r>
              <w:rPr>
                <w:lang w:eastAsia="hr-HR"/>
              </w:rPr>
              <w:t>%</w:t>
            </w:r>
          </w:p>
        </w:tc>
        <w:tc>
          <w:tcPr>
            <w:tcW w:w="1340" w:type="dxa"/>
            <w:tcBorders>
              <w:top w:val="double" w:sz="4" w:space="0" w:color="auto"/>
            </w:tcBorders>
          </w:tcPr>
          <w:p w14:paraId="061C86D7" w14:textId="77777777" w:rsidR="00366E90" w:rsidRPr="00605A2D" w:rsidRDefault="00366E90" w:rsidP="00B43B6A">
            <w:pPr>
              <w:jc w:val="center"/>
            </w:pPr>
          </w:p>
          <w:p w14:paraId="0F6D8BF3" w14:textId="07DCF1DE" w:rsidR="00366E90" w:rsidRPr="00605A2D" w:rsidRDefault="00AE7FDD" w:rsidP="00B43B6A">
            <w:pPr>
              <w:jc w:val="center"/>
            </w:pPr>
            <w:r>
              <w:t>100 %</w:t>
            </w:r>
          </w:p>
        </w:tc>
        <w:tc>
          <w:tcPr>
            <w:tcW w:w="1169" w:type="dxa"/>
            <w:tcBorders>
              <w:top w:val="double" w:sz="4" w:space="0" w:color="auto"/>
            </w:tcBorders>
          </w:tcPr>
          <w:p w14:paraId="789E9256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7660DBC2" w14:textId="77777777" w:rsidR="00366E90" w:rsidRPr="00605A2D" w:rsidRDefault="00366E90" w:rsidP="00B43B6A">
            <w:r w:rsidRPr="00605A2D">
              <w:rPr>
                <w:lang w:eastAsia="hr-HR"/>
              </w:rPr>
              <w:t>COOR Podravsko sunce</w:t>
            </w:r>
          </w:p>
        </w:tc>
        <w:tc>
          <w:tcPr>
            <w:tcW w:w="1154" w:type="dxa"/>
            <w:tcBorders>
              <w:top w:val="double" w:sz="4" w:space="0" w:color="auto"/>
            </w:tcBorders>
          </w:tcPr>
          <w:p w14:paraId="7CDB9EAE" w14:textId="77777777" w:rsidR="00366E90" w:rsidRPr="00605A2D" w:rsidRDefault="00366E90" w:rsidP="00B43B6A">
            <w:pPr>
              <w:jc w:val="center"/>
            </w:pPr>
          </w:p>
          <w:p w14:paraId="10636722" w14:textId="5863CF54" w:rsidR="00366E90" w:rsidRPr="00605A2D" w:rsidRDefault="00AE7FDD" w:rsidP="00B43B6A">
            <w:pPr>
              <w:jc w:val="center"/>
            </w:pPr>
            <w:r>
              <w:t>100 %</w:t>
            </w:r>
          </w:p>
        </w:tc>
        <w:tc>
          <w:tcPr>
            <w:tcW w:w="1229" w:type="dxa"/>
            <w:tcBorders>
              <w:top w:val="double" w:sz="4" w:space="0" w:color="auto"/>
            </w:tcBorders>
          </w:tcPr>
          <w:p w14:paraId="507848CF" w14:textId="77777777" w:rsidR="00366E90" w:rsidRDefault="00366E90" w:rsidP="00B43B6A">
            <w:pPr>
              <w:jc w:val="center"/>
            </w:pPr>
          </w:p>
          <w:p w14:paraId="318E15A7" w14:textId="6E04144A" w:rsidR="00366E90" w:rsidRDefault="00AE7FDD" w:rsidP="00B43B6A">
            <w:pPr>
              <w:jc w:val="center"/>
            </w:pPr>
            <w:r>
              <w:t>100 %</w:t>
            </w:r>
          </w:p>
        </w:tc>
      </w:tr>
    </w:tbl>
    <w:p w14:paraId="6B7379C3" w14:textId="77777777" w:rsidR="00366E90" w:rsidRDefault="00366E90" w:rsidP="00FD31D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349"/>
        <w:gridCol w:w="1435"/>
        <w:gridCol w:w="1447"/>
        <w:gridCol w:w="1309"/>
        <w:gridCol w:w="1159"/>
        <w:gridCol w:w="1140"/>
        <w:gridCol w:w="1223"/>
      </w:tblGrid>
      <w:tr w:rsidR="00AE7FDD" w14:paraId="189989A3" w14:textId="77777777" w:rsidTr="00A100BF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7A461B85" w14:textId="77777777" w:rsidR="00AE7FDD" w:rsidRDefault="00AE7FDD" w:rsidP="00A100BF">
            <w:pPr>
              <w:jc w:val="center"/>
            </w:pPr>
          </w:p>
          <w:p w14:paraId="6E9AA4CA" w14:textId="77777777" w:rsidR="00AE7FDD" w:rsidRDefault="00AE7FDD" w:rsidP="00A100BF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3DB0D3BE" w14:textId="77777777" w:rsidR="00AE7FDD" w:rsidRDefault="00AE7FDD" w:rsidP="00A100BF">
            <w:pPr>
              <w:jc w:val="center"/>
            </w:pPr>
          </w:p>
          <w:p w14:paraId="43B7EB54" w14:textId="77777777" w:rsidR="00AE7FDD" w:rsidRDefault="00AE7FDD" w:rsidP="00A100BF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01CBBE0D" w14:textId="77777777" w:rsidR="00AE7FDD" w:rsidRDefault="00AE7FDD" w:rsidP="00A100BF">
            <w:pPr>
              <w:jc w:val="center"/>
            </w:pPr>
          </w:p>
          <w:p w14:paraId="0046A59C" w14:textId="77777777" w:rsidR="00AE7FDD" w:rsidRDefault="00AE7FDD" w:rsidP="00A100BF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314BFD95" w14:textId="77777777" w:rsidR="00AE7FDD" w:rsidRDefault="00AE7FDD" w:rsidP="00A100BF">
            <w:pPr>
              <w:jc w:val="center"/>
            </w:pPr>
          </w:p>
          <w:p w14:paraId="4B4C1889" w14:textId="77777777" w:rsidR="00AE7FDD" w:rsidRDefault="00AE7FDD" w:rsidP="00A100BF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4156206D" w14:textId="77777777" w:rsidR="00AE7FDD" w:rsidRDefault="00AE7FDD" w:rsidP="00A100BF">
            <w:pPr>
              <w:jc w:val="center"/>
            </w:pPr>
          </w:p>
          <w:p w14:paraId="2026DB94" w14:textId="77777777" w:rsidR="00AE7FDD" w:rsidRDefault="00AE7FDD" w:rsidP="00A100BF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0DC27869" w14:textId="5F82571F" w:rsidR="00AE7FDD" w:rsidRDefault="00AE7FDD" w:rsidP="00A100BF">
            <w:pPr>
              <w:jc w:val="center"/>
            </w:pPr>
            <w:r>
              <w:t>Ciljana vrijednost za 2024.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78921E18" w14:textId="2AAEBF6B" w:rsidR="00AE7FDD" w:rsidRDefault="00AE7FDD" w:rsidP="00A100BF">
            <w:pPr>
              <w:jc w:val="center"/>
            </w:pPr>
            <w:r>
              <w:t>Ostvarenje na dan 31.12.2024.</w:t>
            </w:r>
          </w:p>
        </w:tc>
      </w:tr>
      <w:tr w:rsidR="00AE7FDD" w14:paraId="366DC401" w14:textId="77777777" w:rsidTr="00A100BF">
        <w:tc>
          <w:tcPr>
            <w:tcW w:w="1211" w:type="dxa"/>
            <w:tcBorders>
              <w:top w:val="double" w:sz="4" w:space="0" w:color="auto"/>
            </w:tcBorders>
          </w:tcPr>
          <w:p w14:paraId="55420310" w14:textId="77777777" w:rsidR="00AE7FDD" w:rsidRDefault="00AE7FDD" w:rsidP="00A100BF">
            <w:pPr>
              <w:rPr>
                <w:lang w:eastAsia="hr-HR"/>
              </w:rPr>
            </w:pPr>
          </w:p>
          <w:p w14:paraId="607C5646" w14:textId="77777777" w:rsidR="00AE7FDD" w:rsidRPr="00CD79CE" w:rsidRDefault="00AE7FDD" w:rsidP="00A100BF">
            <w:r w:rsidRPr="00CD79CE">
              <w:rPr>
                <w:lang w:eastAsia="hr-HR"/>
              </w:rPr>
              <w:t>Povećanje broja učenika uključenih u izvannastavne aktivnosti</w:t>
            </w:r>
          </w:p>
        </w:tc>
        <w:tc>
          <w:tcPr>
            <w:tcW w:w="1438" w:type="dxa"/>
            <w:tcBorders>
              <w:top w:val="double" w:sz="4" w:space="0" w:color="auto"/>
            </w:tcBorders>
          </w:tcPr>
          <w:p w14:paraId="1D06B6FD" w14:textId="77777777" w:rsidR="00AE7FDD" w:rsidRDefault="00AE7FDD" w:rsidP="00A100BF">
            <w:pPr>
              <w:rPr>
                <w:lang w:eastAsia="hr-HR"/>
              </w:rPr>
            </w:pPr>
          </w:p>
          <w:p w14:paraId="25A6CF8B" w14:textId="77777777" w:rsidR="00AE7FDD" w:rsidRPr="00CD79CE" w:rsidRDefault="00AE7FDD" w:rsidP="00A100BF">
            <w:r w:rsidRPr="00CD79CE">
              <w:rPr>
                <w:lang w:eastAsia="hr-HR"/>
              </w:rPr>
              <w:t>Uključivanjem učenika u izvannastavne aktivnosti potiče se razvoj kreativnosti, talenata i sposobnosti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D3DA" w14:textId="77777777" w:rsidR="00AE7FDD" w:rsidRPr="00605A2D" w:rsidRDefault="00AE7FDD" w:rsidP="00A100BF">
            <w:pPr>
              <w:jc w:val="both"/>
              <w:rPr>
                <w:lang w:eastAsia="hr-HR"/>
              </w:rPr>
            </w:pPr>
          </w:p>
          <w:p w14:paraId="1BF00932" w14:textId="77777777" w:rsidR="00AE7FDD" w:rsidRPr="00605A2D" w:rsidRDefault="00AE7FDD" w:rsidP="00A100BF">
            <w:pPr>
              <w:jc w:val="center"/>
            </w:pPr>
            <w:r w:rsidRPr="00605A2D">
              <w:rPr>
                <w:lang w:eastAsia="hr-HR"/>
              </w:rPr>
              <w:t>Broj učenika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8313" w14:textId="77777777" w:rsidR="00AE7FDD" w:rsidRPr="00605A2D" w:rsidRDefault="00AE7FDD" w:rsidP="00A100BF">
            <w:pPr>
              <w:jc w:val="both"/>
              <w:rPr>
                <w:lang w:eastAsia="hr-HR"/>
              </w:rPr>
            </w:pPr>
          </w:p>
          <w:p w14:paraId="4FBA6DC8" w14:textId="77777777" w:rsidR="00AE7FDD" w:rsidRPr="00605A2D" w:rsidRDefault="00AE7FDD" w:rsidP="00A100BF">
            <w:pPr>
              <w:jc w:val="center"/>
            </w:pPr>
            <w:r>
              <w:t>50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717D" w14:textId="77777777" w:rsidR="00AE7FDD" w:rsidRPr="00605A2D" w:rsidRDefault="00AE7FDD" w:rsidP="00A100BF">
            <w:pPr>
              <w:jc w:val="both"/>
              <w:rPr>
                <w:lang w:eastAsia="hr-HR"/>
              </w:rPr>
            </w:pPr>
          </w:p>
          <w:p w14:paraId="6498AE76" w14:textId="77777777" w:rsidR="00AE7FDD" w:rsidRPr="00605A2D" w:rsidRDefault="00AE7FDD" w:rsidP="00A100BF">
            <w:r w:rsidRPr="00605A2D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</w:tcBorders>
          </w:tcPr>
          <w:p w14:paraId="5069CDD7" w14:textId="77777777" w:rsidR="00AE7FDD" w:rsidRPr="004C1C0B" w:rsidRDefault="00AE7FDD" w:rsidP="00A100BF">
            <w:pPr>
              <w:jc w:val="center"/>
            </w:pPr>
          </w:p>
          <w:p w14:paraId="060A9D4E" w14:textId="77777777" w:rsidR="00AE7FDD" w:rsidRPr="004C1C0B" w:rsidRDefault="00AE7FDD" w:rsidP="00A100BF">
            <w:pPr>
              <w:jc w:val="center"/>
            </w:pPr>
            <w:r w:rsidRPr="004C1C0B">
              <w:t>55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604177E6" w14:textId="77777777" w:rsidR="00AE7FDD" w:rsidRPr="004C1C0B" w:rsidRDefault="00AE7FDD" w:rsidP="00A100BF">
            <w:pPr>
              <w:jc w:val="center"/>
            </w:pPr>
          </w:p>
          <w:p w14:paraId="4AA1A618" w14:textId="462D5369" w:rsidR="00AE7FDD" w:rsidRPr="004C1C0B" w:rsidRDefault="004C1C0B" w:rsidP="00A100BF">
            <w:pPr>
              <w:jc w:val="center"/>
            </w:pPr>
            <w:r>
              <w:t>68</w:t>
            </w:r>
          </w:p>
        </w:tc>
      </w:tr>
    </w:tbl>
    <w:p w14:paraId="2C19F12D" w14:textId="77777777" w:rsidR="00AE7FDD" w:rsidRDefault="00AE7FDD" w:rsidP="00FD31D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11"/>
        <w:gridCol w:w="1438"/>
        <w:gridCol w:w="1514"/>
        <w:gridCol w:w="1343"/>
        <w:gridCol w:w="1171"/>
        <w:gridCol w:w="1155"/>
        <w:gridCol w:w="1230"/>
      </w:tblGrid>
      <w:tr w:rsidR="00366E90" w14:paraId="6FBB916D" w14:textId="77777777" w:rsidTr="00B43B6A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64D69E5A" w14:textId="77777777" w:rsidR="00366E90" w:rsidRDefault="00366E90" w:rsidP="00B43B6A">
            <w:pPr>
              <w:jc w:val="center"/>
            </w:pPr>
          </w:p>
          <w:p w14:paraId="1885D291" w14:textId="77777777" w:rsidR="00366E90" w:rsidRDefault="00366E90" w:rsidP="00B43B6A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60EBBF6B" w14:textId="77777777" w:rsidR="00366E90" w:rsidRDefault="00366E90" w:rsidP="00B43B6A">
            <w:pPr>
              <w:jc w:val="center"/>
            </w:pPr>
          </w:p>
          <w:p w14:paraId="4F1B554B" w14:textId="77777777" w:rsidR="00366E90" w:rsidRDefault="00366E90" w:rsidP="00B43B6A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66A40DE3" w14:textId="77777777" w:rsidR="00366E90" w:rsidRDefault="00366E90" w:rsidP="00B43B6A">
            <w:pPr>
              <w:jc w:val="center"/>
            </w:pPr>
          </w:p>
          <w:p w14:paraId="3EB5B008" w14:textId="77777777" w:rsidR="00366E90" w:rsidRDefault="00366E90" w:rsidP="00B43B6A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5B2EF254" w14:textId="77777777" w:rsidR="00366E90" w:rsidRDefault="00366E90" w:rsidP="00B43B6A">
            <w:pPr>
              <w:jc w:val="center"/>
            </w:pPr>
          </w:p>
          <w:p w14:paraId="33136F09" w14:textId="77777777" w:rsidR="00366E90" w:rsidRDefault="00366E90" w:rsidP="00B43B6A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0B97830A" w14:textId="77777777" w:rsidR="00366E90" w:rsidRDefault="00366E90" w:rsidP="00B43B6A">
            <w:pPr>
              <w:jc w:val="center"/>
            </w:pPr>
          </w:p>
          <w:p w14:paraId="4E8AD725" w14:textId="77777777" w:rsidR="00366E90" w:rsidRDefault="00366E90" w:rsidP="00B43B6A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3F6C8F57" w14:textId="45048D51" w:rsidR="00366E90" w:rsidRDefault="00366E90" w:rsidP="00B43B6A">
            <w:pPr>
              <w:jc w:val="center"/>
            </w:pPr>
            <w:r>
              <w:t>Ciljana vrijednost za 202</w:t>
            </w:r>
            <w:r w:rsidR="00AE7FDD">
              <w:t>4</w:t>
            </w:r>
            <w:r>
              <w:t>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42C3E1D5" w14:textId="66F1D10E" w:rsidR="00366E90" w:rsidRDefault="00366E90" w:rsidP="00B43B6A">
            <w:pPr>
              <w:jc w:val="center"/>
            </w:pPr>
            <w:r>
              <w:t>Ostvarenje na dan 31.12.202</w:t>
            </w:r>
            <w:r w:rsidR="00AE7FDD">
              <w:t>4</w:t>
            </w:r>
            <w:r>
              <w:t>.</w:t>
            </w:r>
          </w:p>
        </w:tc>
      </w:tr>
      <w:tr w:rsidR="00366E90" w14:paraId="356909A7" w14:textId="77777777" w:rsidTr="00B43B6A">
        <w:tc>
          <w:tcPr>
            <w:tcW w:w="1211" w:type="dxa"/>
            <w:tcBorders>
              <w:top w:val="double" w:sz="4" w:space="0" w:color="auto"/>
            </w:tcBorders>
          </w:tcPr>
          <w:p w14:paraId="09C6F5C4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30CF1AB9" w14:textId="77777777" w:rsidR="00366E90" w:rsidRPr="00605A2D" w:rsidRDefault="00366E90" w:rsidP="00B43B6A">
            <w:r w:rsidRPr="00605A2D">
              <w:rPr>
                <w:lang w:eastAsia="hr-HR"/>
              </w:rPr>
              <w:t>Povećanje broja učenika uključenih u posebne odgojno-obrazovne postupke</w:t>
            </w:r>
          </w:p>
        </w:tc>
        <w:tc>
          <w:tcPr>
            <w:tcW w:w="1438" w:type="dxa"/>
            <w:tcBorders>
              <w:top w:val="double" w:sz="4" w:space="0" w:color="auto"/>
            </w:tcBorders>
          </w:tcPr>
          <w:p w14:paraId="1440FFBB" w14:textId="77777777" w:rsidR="00366E90" w:rsidRPr="00605A2D" w:rsidRDefault="00366E90" w:rsidP="00B43B6A">
            <w:pPr>
              <w:rPr>
                <w:lang w:eastAsia="hr-HR"/>
              </w:rPr>
            </w:pPr>
          </w:p>
          <w:p w14:paraId="1C9F5837" w14:textId="77777777" w:rsidR="00366E90" w:rsidRPr="00605A2D" w:rsidRDefault="00366E90" w:rsidP="00B43B6A">
            <w:r w:rsidRPr="00605A2D">
              <w:rPr>
                <w:lang w:eastAsia="hr-HR"/>
              </w:rPr>
              <w:t>Posebnim odgojno-obrazovnim postupcima pruža se individualna podrška kroz edukacijsko-rehabilitacijski rad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010F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561D7670" w14:textId="77777777" w:rsidR="00366E90" w:rsidRPr="00605A2D" w:rsidRDefault="00366E90" w:rsidP="00B43B6A">
            <w:pPr>
              <w:jc w:val="center"/>
            </w:pPr>
            <w:r w:rsidRPr="00605A2D">
              <w:rPr>
                <w:lang w:eastAsia="hr-HR"/>
              </w:rPr>
              <w:t>Broj učenika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64C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430DE2C2" w14:textId="77777777" w:rsidR="00366E90" w:rsidRPr="00605A2D" w:rsidRDefault="00366E90" w:rsidP="00B43B6A">
            <w:pPr>
              <w:jc w:val="center"/>
            </w:pPr>
            <w:r w:rsidRPr="00605A2D">
              <w:rPr>
                <w:lang w:eastAsia="hr-HR"/>
              </w:rPr>
              <w:t>30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B74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347B55DA" w14:textId="77777777" w:rsidR="00366E90" w:rsidRPr="00605A2D" w:rsidRDefault="00366E90" w:rsidP="00B43B6A">
            <w:r w:rsidRPr="00605A2D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</w:tcBorders>
          </w:tcPr>
          <w:p w14:paraId="7A995552" w14:textId="77777777" w:rsidR="00366E90" w:rsidRPr="00AE7FDD" w:rsidRDefault="00366E90" w:rsidP="00B43B6A">
            <w:pPr>
              <w:jc w:val="center"/>
              <w:rPr>
                <w:b/>
                <w:bCs/>
                <w:color w:val="FF0000"/>
              </w:rPr>
            </w:pPr>
          </w:p>
          <w:p w14:paraId="676B35C7" w14:textId="77777777" w:rsidR="00366E90" w:rsidRPr="004C1C0B" w:rsidRDefault="00366E90" w:rsidP="00B43B6A">
            <w:pPr>
              <w:jc w:val="center"/>
              <w:rPr>
                <w:color w:val="FF0000"/>
              </w:rPr>
            </w:pPr>
            <w:r w:rsidRPr="004C1C0B">
              <w:t>40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16FB1166" w14:textId="77777777" w:rsidR="00366E90" w:rsidRPr="00AE7FDD" w:rsidRDefault="00366E90" w:rsidP="00B43B6A">
            <w:pPr>
              <w:jc w:val="center"/>
              <w:rPr>
                <w:b/>
                <w:bCs/>
                <w:color w:val="FF0000"/>
              </w:rPr>
            </w:pPr>
          </w:p>
          <w:p w14:paraId="38D7446E" w14:textId="5F37F109" w:rsidR="00366E90" w:rsidRPr="004C1C0B" w:rsidRDefault="004C1C0B" w:rsidP="00B43B6A">
            <w:pPr>
              <w:jc w:val="center"/>
              <w:rPr>
                <w:color w:val="FF0000"/>
              </w:rPr>
            </w:pPr>
            <w:r w:rsidRPr="004C1C0B">
              <w:t>56</w:t>
            </w:r>
          </w:p>
        </w:tc>
      </w:tr>
    </w:tbl>
    <w:p w14:paraId="61382BD4" w14:textId="77777777" w:rsidR="00366E90" w:rsidRPr="003D7CE4" w:rsidRDefault="00366E90" w:rsidP="00FD31D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3DE5C0" w14:textId="77777777" w:rsidR="00FD31D0" w:rsidRDefault="00FD31D0" w:rsidP="006C7CAD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10"/>
        <w:gridCol w:w="1461"/>
        <w:gridCol w:w="1504"/>
        <w:gridCol w:w="1337"/>
        <w:gridCol w:w="1169"/>
        <w:gridCol w:w="1152"/>
        <w:gridCol w:w="1229"/>
      </w:tblGrid>
      <w:tr w:rsidR="00366E90" w14:paraId="4F52E9AE" w14:textId="77777777" w:rsidTr="00B43B6A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207B87BF" w14:textId="77777777" w:rsidR="00366E90" w:rsidRDefault="00366E90" w:rsidP="00B43B6A">
            <w:pPr>
              <w:jc w:val="center"/>
            </w:pPr>
          </w:p>
          <w:p w14:paraId="3E1361C2" w14:textId="77777777" w:rsidR="00366E90" w:rsidRDefault="00366E90" w:rsidP="00B43B6A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089A323C" w14:textId="77777777" w:rsidR="00366E90" w:rsidRDefault="00366E90" w:rsidP="00B43B6A">
            <w:pPr>
              <w:jc w:val="center"/>
            </w:pPr>
          </w:p>
          <w:p w14:paraId="1E85EAB6" w14:textId="77777777" w:rsidR="00366E90" w:rsidRDefault="00366E90" w:rsidP="00B43B6A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128A0377" w14:textId="77777777" w:rsidR="00366E90" w:rsidRDefault="00366E90" w:rsidP="00B43B6A">
            <w:pPr>
              <w:jc w:val="center"/>
            </w:pPr>
          </w:p>
          <w:p w14:paraId="53B39A4F" w14:textId="77777777" w:rsidR="00366E90" w:rsidRDefault="00366E90" w:rsidP="00B43B6A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2C33BDBD" w14:textId="77777777" w:rsidR="00366E90" w:rsidRDefault="00366E90" w:rsidP="00B43B6A">
            <w:pPr>
              <w:jc w:val="center"/>
            </w:pPr>
          </w:p>
          <w:p w14:paraId="5802CADC" w14:textId="77777777" w:rsidR="00366E90" w:rsidRDefault="00366E90" w:rsidP="00B43B6A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7E2D3388" w14:textId="77777777" w:rsidR="00366E90" w:rsidRDefault="00366E90" w:rsidP="00B43B6A">
            <w:pPr>
              <w:jc w:val="center"/>
            </w:pPr>
          </w:p>
          <w:p w14:paraId="271EF1E7" w14:textId="77777777" w:rsidR="00366E90" w:rsidRDefault="00366E90" w:rsidP="00B43B6A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6932EA61" w14:textId="77777777" w:rsidR="00366E90" w:rsidRDefault="00366E90" w:rsidP="00B43B6A">
            <w:pPr>
              <w:jc w:val="center"/>
            </w:pPr>
            <w:r>
              <w:t>Ciljana vrijednost za 2023.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615685AB" w14:textId="77777777" w:rsidR="00366E90" w:rsidRDefault="00366E90" w:rsidP="00B43B6A">
            <w:pPr>
              <w:jc w:val="center"/>
            </w:pPr>
            <w:r>
              <w:t>Ostvarenje na dan 31.12.2023.</w:t>
            </w:r>
          </w:p>
        </w:tc>
      </w:tr>
      <w:tr w:rsidR="00366E90" w14:paraId="55AF2C8C" w14:textId="77777777" w:rsidTr="00B43B6A">
        <w:tc>
          <w:tcPr>
            <w:tcW w:w="1211" w:type="dxa"/>
            <w:tcBorders>
              <w:top w:val="double" w:sz="4" w:space="0" w:color="auto"/>
            </w:tcBorders>
          </w:tcPr>
          <w:p w14:paraId="3ADB9C04" w14:textId="77777777" w:rsidR="00366E90" w:rsidRPr="00CD79CE" w:rsidRDefault="00366E90" w:rsidP="00B43B6A">
            <w:r w:rsidRPr="00CD79CE">
              <w:rPr>
                <w:lang w:eastAsia="hr-HR"/>
              </w:rPr>
              <w:lastRenderedPageBreak/>
              <w:t>Održavanje broja projekata, razrednih i na razini Centra</w:t>
            </w:r>
          </w:p>
        </w:tc>
        <w:tc>
          <w:tcPr>
            <w:tcW w:w="1438" w:type="dxa"/>
            <w:tcBorders>
              <w:top w:val="double" w:sz="4" w:space="0" w:color="auto"/>
            </w:tcBorders>
          </w:tcPr>
          <w:p w14:paraId="15FD1D32" w14:textId="77777777" w:rsidR="00366E90" w:rsidRPr="00CD79CE" w:rsidRDefault="00366E90" w:rsidP="00B43B6A">
            <w:r w:rsidRPr="00CD79CE">
              <w:rPr>
                <w:lang w:eastAsia="hr-HR"/>
              </w:rPr>
              <w:t>Uključivanjem u projekte uz adekvatnu razinu stručne podrške utječe se na razvoj sposobnosti, spoznajni razvoj i samopouzdanje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D58A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39EDE8D3" w14:textId="7ED93311" w:rsidR="00366E90" w:rsidRPr="00605A2D" w:rsidRDefault="00366E90" w:rsidP="00B43B6A">
            <w:pPr>
              <w:jc w:val="center"/>
            </w:pPr>
            <w:r w:rsidRPr="00605A2D">
              <w:rPr>
                <w:lang w:eastAsia="hr-HR"/>
              </w:rPr>
              <w:t xml:space="preserve">Broj </w:t>
            </w:r>
            <w:r w:rsidR="00AE7FDD">
              <w:rPr>
                <w:lang w:eastAsia="hr-HR"/>
              </w:rPr>
              <w:t>projekata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A62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48DA7999" w14:textId="77777777" w:rsidR="00366E90" w:rsidRPr="00605A2D" w:rsidRDefault="00366E90" w:rsidP="00B43B6A">
            <w:pPr>
              <w:jc w:val="center"/>
            </w:pPr>
            <w:r>
              <w:t>26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B023" w14:textId="77777777" w:rsidR="00366E90" w:rsidRPr="00605A2D" w:rsidRDefault="00366E90" w:rsidP="00B43B6A">
            <w:pPr>
              <w:jc w:val="both"/>
              <w:rPr>
                <w:lang w:eastAsia="hr-HR"/>
              </w:rPr>
            </w:pPr>
          </w:p>
          <w:p w14:paraId="0AACE21F" w14:textId="77777777" w:rsidR="00366E90" w:rsidRPr="00605A2D" w:rsidRDefault="00366E90" w:rsidP="00B43B6A">
            <w:r w:rsidRPr="00605A2D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</w:tcBorders>
          </w:tcPr>
          <w:p w14:paraId="256B639B" w14:textId="77777777" w:rsidR="00366E90" w:rsidRDefault="00366E90" w:rsidP="00B43B6A">
            <w:pPr>
              <w:jc w:val="center"/>
            </w:pPr>
          </w:p>
          <w:p w14:paraId="23D8F3F6" w14:textId="000B49D9" w:rsidR="00366E90" w:rsidRDefault="00366E90" w:rsidP="00B43B6A">
            <w:pPr>
              <w:jc w:val="center"/>
            </w:pPr>
            <w:r>
              <w:t>2</w:t>
            </w:r>
            <w:r w:rsidR="00AE7FDD">
              <w:t>6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5513DA80" w14:textId="77777777" w:rsidR="00366E90" w:rsidRDefault="00366E90" w:rsidP="00B43B6A">
            <w:pPr>
              <w:jc w:val="center"/>
            </w:pPr>
          </w:p>
          <w:p w14:paraId="75B2568C" w14:textId="3FC38A92" w:rsidR="00366E90" w:rsidRDefault="00366E90" w:rsidP="00B43B6A">
            <w:pPr>
              <w:jc w:val="center"/>
            </w:pPr>
            <w:r>
              <w:t>2</w:t>
            </w:r>
            <w:r w:rsidR="00AE7FDD">
              <w:t>4</w:t>
            </w:r>
          </w:p>
        </w:tc>
      </w:tr>
    </w:tbl>
    <w:p w14:paraId="2CAA64B9" w14:textId="77777777" w:rsidR="00366E90" w:rsidRDefault="00366E90" w:rsidP="006C7CAD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83"/>
        <w:gridCol w:w="1425"/>
        <w:gridCol w:w="1488"/>
        <w:gridCol w:w="1326"/>
        <w:gridCol w:w="1165"/>
        <w:gridCol w:w="1148"/>
        <w:gridCol w:w="1227"/>
      </w:tblGrid>
      <w:tr w:rsidR="00366E90" w14:paraId="56D06D31" w14:textId="77777777" w:rsidTr="00B43B6A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6B82DEC1" w14:textId="77777777" w:rsidR="00366E90" w:rsidRDefault="00366E90" w:rsidP="00B43B6A">
            <w:pPr>
              <w:jc w:val="center"/>
            </w:pPr>
          </w:p>
          <w:p w14:paraId="16A89431" w14:textId="77777777" w:rsidR="00366E90" w:rsidRDefault="00366E90" w:rsidP="00B43B6A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5C49DBDD" w14:textId="77777777" w:rsidR="00366E90" w:rsidRDefault="00366E90" w:rsidP="00B43B6A">
            <w:pPr>
              <w:jc w:val="center"/>
            </w:pPr>
          </w:p>
          <w:p w14:paraId="188492BE" w14:textId="77777777" w:rsidR="00366E90" w:rsidRDefault="00366E90" w:rsidP="00B43B6A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30FE3441" w14:textId="77777777" w:rsidR="00366E90" w:rsidRDefault="00366E90" w:rsidP="00B43B6A">
            <w:pPr>
              <w:jc w:val="center"/>
            </w:pPr>
          </w:p>
          <w:p w14:paraId="2327620E" w14:textId="77777777" w:rsidR="00366E90" w:rsidRDefault="00366E90" w:rsidP="00B43B6A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38E96EA8" w14:textId="77777777" w:rsidR="00366E90" w:rsidRDefault="00366E90" w:rsidP="00B43B6A">
            <w:pPr>
              <w:jc w:val="center"/>
            </w:pPr>
          </w:p>
          <w:p w14:paraId="6E46E604" w14:textId="77777777" w:rsidR="00366E90" w:rsidRDefault="00366E90" w:rsidP="00B43B6A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30F31021" w14:textId="77777777" w:rsidR="00366E90" w:rsidRDefault="00366E90" w:rsidP="00B43B6A">
            <w:pPr>
              <w:jc w:val="center"/>
            </w:pPr>
          </w:p>
          <w:p w14:paraId="77BE9262" w14:textId="77777777" w:rsidR="00366E90" w:rsidRDefault="00366E90" w:rsidP="00B43B6A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6502B5FB" w14:textId="42D48A8D" w:rsidR="00366E90" w:rsidRDefault="00366E90" w:rsidP="00B43B6A">
            <w:pPr>
              <w:jc w:val="center"/>
            </w:pPr>
            <w:r>
              <w:t>Ciljana vrijednost za 202</w:t>
            </w:r>
            <w:r w:rsidR="00AE7FDD">
              <w:t>4</w:t>
            </w:r>
            <w:r>
              <w:t>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340C4C1B" w14:textId="00601DE2" w:rsidR="00366E90" w:rsidRDefault="00366E90" w:rsidP="00B43B6A">
            <w:pPr>
              <w:jc w:val="center"/>
            </w:pPr>
            <w:r>
              <w:t>Ostvarenje na dan 31.12.202</w:t>
            </w:r>
            <w:r w:rsidR="00A748E7">
              <w:t>4</w:t>
            </w:r>
            <w:r>
              <w:t>.</w:t>
            </w:r>
          </w:p>
        </w:tc>
      </w:tr>
      <w:tr w:rsidR="00366E90" w14:paraId="5D5A91FC" w14:textId="77777777" w:rsidTr="00B43B6A">
        <w:tc>
          <w:tcPr>
            <w:tcW w:w="12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D249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4F04FA0F" w14:textId="77777777" w:rsidR="00366E90" w:rsidRPr="00CD79CE" w:rsidRDefault="00366E90" w:rsidP="00B43B6A">
            <w:r w:rsidRPr="00CD79CE">
              <w:rPr>
                <w:lang w:eastAsia="hr-HR"/>
              </w:rPr>
              <w:t>Povećanje broja manifestacija i obilježavanja značajnih datuma</w:t>
            </w:r>
          </w:p>
        </w:tc>
        <w:tc>
          <w:tcPr>
            <w:tcW w:w="1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EC7E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6AF2457C" w14:textId="77777777" w:rsidR="00366E90" w:rsidRPr="00CD79CE" w:rsidRDefault="00366E90" w:rsidP="00B43B6A">
            <w:r w:rsidRPr="00CD79CE">
              <w:rPr>
                <w:lang w:eastAsia="hr-HR"/>
              </w:rPr>
              <w:t>Poticanje kreativnosti, razvoja interesa, svijesti o pripadnosti zajednici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8A39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71A3A75D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 xml:space="preserve">Broj planiranih aktivnosti 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81F6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147E98DB" w14:textId="59F8C5A8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1</w:t>
            </w:r>
            <w:r w:rsidR="00AE7FDD">
              <w:rPr>
                <w:lang w:eastAsia="hr-HR"/>
              </w:rPr>
              <w:t>2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EE8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323AB0B6" w14:textId="77777777" w:rsidR="00366E90" w:rsidRPr="00CD79CE" w:rsidRDefault="00366E90" w:rsidP="00B43B6A">
            <w:r w:rsidRPr="00CD79CE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F536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7D60C9D7" w14:textId="674F848B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1</w:t>
            </w:r>
            <w:r w:rsidR="00AE7FDD">
              <w:rPr>
                <w:lang w:eastAsia="hr-HR"/>
              </w:rPr>
              <w:t>3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052C4A46" w14:textId="77777777" w:rsidR="00366E90" w:rsidRDefault="00366E90" w:rsidP="00B43B6A">
            <w:pPr>
              <w:jc w:val="center"/>
            </w:pPr>
          </w:p>
          <w:p w14:paraId="0F2A1B00" w14:textId="4E44CC92" w:rsidR="00366E90" w:rsidRDefault="00366E90" w:rsidP="00B43B6A">
            <w:pPr>
              <w:jc w:val="center"/>
            </w:pPr>
            <w:r>
              <w:t>1</w:t>
            </w:r>
            <w:r w:rsidR="00A748E7">
              <w:t>2</w:t>
            </w:r>
          </w:p>
        </w:tc>
      </w:tr>
    </w:tbl>
    <w:p w14:paraId="6EAB283D" w14:textId="77777777" w:rsidR="00366E90" w:rsidRDefault="00366E90" w:rsidP="006C7CAD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61"/>
        <w:gridCol w:w="1461"/>
        <w:gridCol w:w="1482"/>
        <w:gridCol w:w="1322"/>
        <w:gridCol w:w="1164"/>
        <w:gridCol w:w="1146"/>
        <w:gridCol w:w="1226"/>
      </w:tblGrid>
      <w:tr w:rsidR="00A748E7" w14:paraId="2A5E6FC0" w14:textId="77777777" w:rsidTr="00A100BF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4141BA4C" w14:textId="77777777" w:rsidR="00A748E7" w:rsidRDefault="00A748E7" w:rsidP="00A100BF">
            <w:pPr>
              <w:jc w:val="center"/>
            </w:pPr>
          </w:p>
          <w:p w14:paraId="1194BC0C" w14:textId="77777777" w:rsidR="00A748E7" w:rsidRDefault="00A748E7" w:rsidP="00A100BF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11FEC1F3" w14:textId="77777777" w:rsidR="00A748E7" w:rsidRDefault="00A748E7" w:rsidP="00A100BF">
            <w:pPr>
              <w:jc w:val="center"/>
            </w:pPr>
          </w:p>
          <w:p w14:paraId="7563337B" w14:textId="77777777" w:rsidR="00A748E7" w:rsidRDefault="00A748E7" w:rsidP="00A100BF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79BAFC54" w14:textId="77777777" w:rsidR="00A748E7" w:rsidRDefault="00A748E7" w:rsidP="00A100BF">
            <w:pPr>
              <w:jc w:val="center"/>
            </w:pPr>
          </w:p>
          <w:p w14:paraId="156F0C18" w14:textId="77777777" w:rsidR="00A748E7" w:rsidRDefault="00A748E7" w:rsidP="00A100BF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602FA5A5" w14:textId="77777777" w:rsidR="00A748E7" w:rsidRDefault="00A748E7" w:rsidP="00A100BF">
            <w:pPr>
              <w:jc w:val="center"/>
            </w:pPr>
          </w:p>
          <w:p w14:paraId="1EF29C3C" w14:textId="77777777" w:rsidR="00A748E7" w:rsidRDefault="00A748E7" w:rsidP="00A100BF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5C6075D9" w14:textId="77777777" w:rsidR="00A748E7" w:rsidRDefault="00A748E7" w:rsidP="00A100BF">
            <w:pPr>
              <w:jc w:val="center"/>
            </w:pPr>
          </w:p>
          <w:p w14:paraId="7B95EDAE" w14:textId="77777777" w:rsidR="00A748E7" w:rsidRDefault="00A748E7" w:rsidP="00A100BF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41CC22F9" w14:textId="77777777" w:rsidR="00A748E7" w:rsidRDefault="00A748E7" w:rsidP="00A100BF">
            <w:pPr>
              <w:jc w:val="center"/>
            </w:pPr>
            <w:r>
              <w:t>Ciljana vrijednost za 2024.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4F66808D" w14:textId="77777777" w:rsidR="00A748E7" w:rsidRDefault="00A748E7" w:rsidP="00A100BF">
            <w:pPr>
              <w:jc w:val="center"/>
            </w:pPr>
            <w:r>
              <w:t>Ostvarenje na dan 31.12.2024.</w:t>
            </w:r>
          </w:p>
        </w:tc>
      </w:tr>
      <w:tr w:rsidR="00A748E7" w14:paraId="563613EA" w14:textId="77777777" w:rsidTr="00A100BF">
        <w:tc>
          <w:tcPr>
            <w:tcW w:w="12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6F2" w14:textId="15333262" w:rsidR="00A748E7" w:rsidRPr="00CD79CE" w:rsidRDefault="00A748E7" w:rsidP="00A100BF">
            <w:r>
              <w:rPr>
                <w:lang w:eastAsia="hr-HR"/>
              </w:rPr>
              <w:t>Sudjelovanje na županijskim, među-županijskim i državnim natjecanjima i igrama</w:t>
            </w:r>
          </w:p>
        </w:tc>
        <w:tc>
          <w:tcPr>
            <w:tcW w:w="1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D44C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3C1B2E1E" w14:textId="02DCACA8" w:rsidR="00A748E7" w:rsidRPr="00CD79CE" w:rsidRDefault="00A748E7" w:rsidP="00A100BF">
            <w:r w:rsidRPr="00CD79CE">
              <w:rPr>
                <w:lang w:eastAsia="hr-HR"/>
              </w:rPr>
              <w:t xml:space="preserve">Poticanje razvoja </w:t>
            </w:r>
            <w:r>
              <w:rPr>
                <w:lang w:eastAsia="hr-HR"/>
              </w:rPr>
              <w:t>sposobnosti, socijalizacije, samopouzdanja i pozitivne slike o sebi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0BD0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17631F61" w14:textId="77777777" w:rsidR="00A748E7" w:rsidRPr="00CD79CE" w:rsidRDefault="00A748E7" w:rsidP="00A100BF">
            <w:pPr>
              <w:jc w:val="center"/>
            </w:pPr>
            <w:r w:rsidRPr="00CD79CE">
              <w:rPr>
                <w:lang w:eastAsia="hr-HR"/>
              </w:rPr>
              <w:t xml:space="preserve">Broj planiranih aktivnosti 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869B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2BB3D542" w14:textId="6CA6D28B" w:rsidR="00A748E7" w:rsidRPr="00CD79CE" w:rsidRDefault="00A748E7" w:rsidP="00A100BF">
            <w:pPr>
              <w:jc w:val="center"/>
            </w:pPr>
            <w:r>
              <w:t>8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C80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4CCB84D4" w14:textId="77777777" w:rsidR="00A748E7" w:rsidRPr="00CD79CE" w:rsidRDefault="00A748E7" w:rsidP="00A100BF">
            <w:r w:rsidRPr="00CD79CE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9A0C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2329A0D1" w14:textId="20D6996F" w:rsidR="00A748E7" w:rsidRPr="00CD79CE" w:rsidRDefault="00A748E7" w:rsidP="00A100BF">
            <w:pPr>
              <w:jc w:val="center"/>
            </w:pPr>
            <w:r>
              <w:t>8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0F0B3F54" w14:textId="77777777" w:rsidR="00A748E7" w:rsidRDefault="00A748E7" w:rsidP="00A100BF">
            <w:pPr>
              <w:jc w:val="center"/>
            </w:pPr>
          </w:p>
          <w:p w14:paraId="3D894558" w14:textId="61151B95" w:rsidR="00A748E7" w:rsidRDefault="00A748E7" w:rsidP="00A100BF">
            <w:pPr>
              <w:jc w:val="center"/>
            </w:pPr>
            <w:r>
              <w:t>8</w:t>
            </w:r>
          </w:p>
        </w:tc>
      </w:tr>
    </w:tbl>
    <w:p w14:paraId="51A1A4F2" w14:textId="77777777" w:rsidR="00A748E7" w:rsidRDefault="00A748E7" w:rsidP="006C7CAD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283"/>
        <w:gridCol w:w="1461"/>
        <w:gridCol w:w="1472"/>
        <w:gridCol w:w="1316"/>
        <w:gridCol w:w="1162"/>
        <w:gridCol w:w="1143"/>
        <w:gridCol w:w="1225"/>
      </w:tblGrid>
      <w:tr w:rsidR="00A748E7" w14:paraId="01BB2F72" w14:textId="77777777" w:rsidTr="00A100BF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024E6C4E" w14:textId="77777777" w:rsidR="00A748E7" w:rsidRDefault="00A748E7" w:rsidP="00A100BF">
            <w:pPr>
              <w:jc w:val="center"/>
            </w:pPr>
          </w:p>
          <w:p w14:paraId="159DA4AF" w14:textId="77777777" w:rsidR="00A748E7" w:rsidRDefault="00A748E7" w:rsidP="00A100BF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5BC397D4" w14:textId="77777777" w:rsidR="00A748E7" w:rsidRDefault="00A748E7" w:rsidP="00A100BF">
            <w:pPr>
              <w:jc w:val="center"/>
            </w:pPr>
          </w:p>
          <w:p w14:paraId="79A49114" w14:textId="77777777" w:rsidR="00A748E7" w:rsidRDefault="00A748E7" w:rsidP="00A100BF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395EB024" w14:textId="77777777" w:rsidR="00A748E7" w:rsidRDefault="00A748E7" w:rsidP="00A100BF">
            <w:pPr>
              <w:jc w:val="center"/>
            </w:pPr>
          </w:p>
          <w:p w14:paraId="009822EF" w14:textId="77777777" w:rsidR="00A748E7" w:rsidRDefault="00A748E7" w:rsidP="00A100BF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6780D3BC" w14:textId="77777777" w:rsidR="00A748E7" w:rsidRDefault="00A748E7" w:rsidP="00A100BF">
            <w:pPr>
              <w:jc w:val="center"/>
            </w:pPr>
          </w:p>
          <w:p w14:paraId="5447B3E1" w14:textId="77777777" w:rsidR="00A748E7" w:rsidRDefault="00A748E7" w:rsidP="00A100BF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5DCCA936" w14:textId="77777777" w:rsidR="00A748E7" w:rsidRDefault="00A748E7" w:rsidP="00A100BF">
            <w:pPr>
              <w:jc w:val="center"/>
            </w:pPr>
          </w:p>
          <w:p w14:paraId="0F845ABB" w14:textId="77777777" w:rsidR="00A748E7" w:rsidRDefault="00A748E7" w:rsidP="00A100BF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639970CD" w14:textId="77777777" w:rsidR="00A748E7" w:rsidRDefault="00A748E7" w:rsidP="00A100BF">
            <w:pPr>
              <w:jc w:val="center"/>
            </w:pPr>
            <w:r>
              <w:t>Ciljana vrijednost za 2024.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10896382" w14:textId="77777777" w:rsidR="00A748E7" w:rsidRDefault="00A748E7" w:rsidP="00A100BF">
            <w:pPr>
              <w:jc w:val="center"/>
            </w:pPr>
            <w:r>
              <w:t>Ostvarenje na dan 31.12.2024.</w:t>
            </w:r>
          </w:p>
        </w:tc>
      </w:tr>
      <w:tr w:rsidR="00A748E7" w14:paraId="220F23D1" w14:textId="77777777" w:rsidTr="00A100BF">
        <w:tc>
          <w:tcPr>
            <w:tcW w:w="12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EB41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30F26A03" w14:textId="77777777" w:rsidR="00A748E7" w:rsidRDefault="00A748E7" w:rsidP="00A100BF">
            <w:pPr>
              <w:rPr>
                <w:lang w:eastAsia="hr-HR"/>
              </w:rPr>
            </w:pPr>
            <w:r w:rsidRPr="00CD79CE">
              <w:rPr>
                <w:lang w:eastAsia="hr-HR"/>
              </w:rPr>
              <w:t xml:space="preserve">Povećanje broja </w:t>
            </w:r>
            <w:r>
              <w:rPr>
                <w:lang w:eastAsia="hr-HR"/>
              </w:rPr>
              <w:t>organiziranih</w:t>
            </w:r>
          </w:p>
          <w:p w14:paraId="01A8D0FF" w14:textId="74879A8A" w:rsidR="00A748E7" w:rsidRPr="00CD79CE" w:rsidRDefault="00A748E7" w:rsidP="00A100BF">
            <w:r>
              <w:rPr>
                <w:lang w:eastAsia="hr-HR"/>
              </w:rPr>
              <w:t>posjeta, terenske nastave i izleta</w:t>
            </w:r>
          </w:p>
        </w:tc>
        <w:tc>
          <w:tcPr>
            <w:tcW w:w="1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6978" w14:textId="77777777" w:rsidR="00A748E7" w:rsidRPr="00CD79CE" w:rsidRDefault="00A748E7" w:rsidP="00A100BF">
            <w:pPr>
              <w:jc w:val="both"/>
              <w:rPr>
                <w:lang w:eastAsia="hr-HR"/>
              </w:rPr>
            </w:pPr>
          </w:p>
          <w:p w14:paraId="27E8FCF0" w14:textId="3B4DAB73" w:rsidR="00A748E7" w:rsidRPr="00CD79CE" w:rsidRDefault="00A748E7" w:rsidP="00A100BF">
            <w:r>
              <w:rPr>
                <w:lang w:eastAsia="hr-HR"/>
              </w:rPr>
              <w:t>Održavanjem izvanučioničke nastave značajno se utječe na spoznajni razvoj učenika, njihovu socijalizaciju i razvoj samopouzdanja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4128" w14:textId="77777777" w:rsidR="00A748E7" w:rsidRPr="00AC1F28" w:rsidRDefault="00A748E7" w:rsidP="00A100BF">
            <w:pPr>
              <w:jc w:val="both"/>
              <w:rPr>
                <w:lang w:eastAsia="hr-HR"/>
              </w:rPr>
            </w:pPr>
          </w:p>
          <w:p w14:paraId="697B13BA" w14:textId="77777777" w:rsidR="00A748E7" w:rsidRPr="00AC1F28" w:rsidRDefault="00A748E7" w:rsidP="00A100BF">
            <w:pPr>
              <w:jc w:val="center"/>
              <w:rPr>
                <w:lang w:eastAsia="hr-HR"/>
              </w:rPr>
            </w:pPr>
            <w:r w:rsidRPr="00AC1F28">
              <w:rPr>
                <w:lang w:eastAsia="hr-HR"/>
              </w:rPr>
              <w:t xml:space="preserve">Broj </w:t>
            </w:r>
          </w:p>
          <w:p w14:paraId="129C5754" w14:textId="4203F692" w:rsidR="00AC1F28" w:rsidRPr="00AC1F28" w:rsidRDefault="00AC1F28" w:rsidP="00A100BF">
            <w:pPr>
              <w:jc w:val="center"/>
            </w:pPr>
            <w:r w:rsidRPr="00AC1F28">
              <w:rPr>
                <w:lang w:eastAsia="hr-HR"/>
              </w:rPr>
              <w:t>(terenskih nastava ukupno svih razrednih odjela)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E30C" w14:textId="77777777" w:rsidR="00A748E7" w:rsidRPr="00AC1F28" w:rsidRDefault="00A748E7" w:rsidP="00A100BF">
            <w:pPr>
              <w:jc w:val="both"/>
              <w:rPr>
                <w:lang w:eastAsia="hr-HR"/>
              </w:rPr>
            </w:pPr>
          </w:p>
          <w:p w14:paraId="25E8F94F" w14:textId="0CFE27D8" w:rsidR="00A748E7" w:rsidRPr="00AC1F28" w:rsidRDefault="00A748E7" w:rsidP="00A100BF">
            <w:pPr>
              <w:jc w:val="center"/>
            </w:pPr>
            <w:r w:rsidRPr="00AC1F28">
              <w:rPr>
                <w:lang w:eastAsia="hr-HR"/>
              </w:rPr>
              <w:t>1</w:t>
            </w:r>
            <w:r w:rsidR="00807F8B" w:rsidRPr="00AC1F28">
              <w:rPr>
                <w:lang w:eastAsia="hr-HR"/>
              </w:rPr>
              <w:t>40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1D25" w14:textId="77777777" w:rsidR="00A748E7" w:rsidRPr="00AC1F28" w:rsidRDefault="00A748E7" w:rsidP="00A100BF">
            <w:pPr>
              <w:jc w:val="both"/>
              <w:rPr>
                <w:lang w:eastAsia="hr-HR"/>
              </w:rPr>
            </w:pPr>
          </w:p>
          <w:p w14:paraId="26B7FF4B" w14:textId="77777777" w:rsidR="00A748E7" w:rsidRPr="00AC1F28" w:rsidRDefault="00A748E7" w:rsidP="00A100BF">
            <w:r w:rsidRPr="00AC1F28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949E" w14:textId="77777777" w:rsidR="00A748E7" w:rsidRPr="00AC1F28" w:rsidRDefault="00A748E7" w:rsidP="00A100BF">
            <w:pPr>
              <w:jc w:val="both"/>
              <w:rPr>
                <w:lang w:eastAsia="hr-HR"/>
              </w:rPr>
            </w:pPr>
          </w:p>
          <w:p w14:paraId="7F577053" w14:textId="4EE9F73B" w:rsidR="00A748E7" w:rsidRPr="00AC1F28" w:rsidRDefault="00A748E7" w:rsidP="00A100BF">
            <w:pPr>
              <w:jc w:val="center"/>
            </w:pPr>
            <w:r w:rsidRPr="00AC1F28">
              <w:rPr>
                <w:lang w:eastAsia="hr-HR"/>
              </w:rPr>
              <w:t>1</w:t>
            </w:r>
            <w:r w:rsidR="00807F8B" w:rsidRPr="00AC1F28">
              <w:rPr>
                <w:lang w:eastAsia="hr-HR"/>
              </w:rPr>
              <w:t>50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587D14F7" w14:textId="77777777" w:rsidR="00A748E7" w:rsidRDefault="00A748E7" w:rsidP="00A100BF">
            <w:pPr>
              <w:jc w:val="center"/>
            </w:pPr>
          </w:p>
          <w:p w14:paraId="519A2876" w14:textId="667526E1" w:rsidR="00A748E7" w:rsidRDefault="00AC1F28" w:rsidP="00A100BF">
            <w:pPr>
              <w:jc w:val="center"/>
            </w:pPr>
            <w:r>
              <w:t>150</w:t>
            </w:r>
          </w:p>
        </w:tc>
      </w:tr>
    </w:tbl>
    <w:p w14:paraId="241CDCC6" w14:textId="77777777" w:rsidR="00A748E7" w:rsidRPr="000C1D06" w:rsidRDefault="00A748E7" w:rsidP="006C7CAD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</w:p>
    <w:p w14:paraId="61853C67" w14:textId="77777777" w:rsidR="00ED23D8" w:rsidRPr="00823CE1" w:rsidRDefault="00D37766" w:rsidP="0051199C">
      <w:pPr>
        <w:rPr>
          <w:rFonts w:ascii="Times New Roman" w:eastAsia="Calibri" w:hAnsi="Times New Roman" w:cs="Times New Roman"/>
        </w:rPr>
      </w:pPr>
      <w:r w:rsidRPr="00D37766">
        <w:rPr>
          <w:rFonts w:ascii="Times New Roman" w:eastAsia="Calibri" w:hAnsi="Times New Roman" w:cs="Times New Roman"/>
          <w:u w:val="single"/>
        </w:rPr>
        <w:t>Aktivnost A300308: Slobodne aktivnosti i školska natjecanja</w:t>
      </w:r>
      <w:r w:rsidRPr="00823CE1">
        <w:rPr>
          <w:rFonts w:ascii="Times New Roman" w:eastAsia="Calibri" w:hAnsi="Times New Roman" w:cs="Times New Roman"/>
        </w:rPr>
        <w:t xml:space="preserve">             </w:t>
      </w:r>
      <w:r>
        <w:rPr>
          <w:rFonts w:ascii="Times New Roman" w:eastAsia="Calibri" w:hAnsi="Times New Roman" w:cs="Times New Roman"/>
        </w:rPr>
        <w:t xml:space="preserve">                               </w:t>
      </w:r>
    </w:p>
    <w:p w14:paraId="4F6B1901" w14:textId="0949505D" w:rsidR="007F03C4" w:rsidRPr="0012705C" w:rsidRDefault="0051199C" w:rsidP="0051199C">
      <w:pPr>
        <w:rPr>
          <w:rFonts w:ascii="Times New Roman" w:eastAsia="Calibri" w:hAnsi="Times New Roman" w:cs="Times New Roman"/>
        </w:rPr>
      </w:pPr>
      <w:r w:rsidRPr="0012705C">
        <w:rPr>
          <w:rFonts w:ascii="Times New Roman" w:eastAsia="Calibri" w:hAnsi="Times New Roman" w:cs="Times New Roman"/>
        </w:rPr>
        <w:t xml:space="preserve">Rashodi </w:t>
      </w:r>
      <w:r w:rsidR="004068BF" w:rsidRPr="0012705C">
        <w:rPr>
          <w:rFonts w:ascii="Times New Roman" w:eastAsia="Calibri" w:hAnsi="Times New Roman" w:cs="Times New Roman"/>
        </w:rPr>
        <w:t>u ovoj aktivnosti se planiraju</w:t>
      </w:r>
      <w:r w:rsidRPr="0012705C">
        <w:rPr>
          <w:rFonts w:ascii="Times New Roman" w:eastAsia="Calibri" w:hAnsi="Times New Roman" w:cs="Times New Roman"/>
        </w:rPr>
        <w:t xml:space="preserve"> </w:t>
      </w:r>
      <w:r w:rsidR="00F24367" w:rsidRPr="0012705C">
        <w:rPr>
          <w:rFonts w:ascii="Times New Roman" w:eastAsia="Calibri" w:hAnsi="Times New Roman" w:cs="Times New Roman"/>
        </w:rPr>
        <w:t>z</w:t>
      </w:r>
      <w:r w:rsidRPr="0012705C">
        <w:rPr>
          <w:rFonts w:ascii="Times New Roman" w:eastAsia="Calibri" w:hAnsi="Times New Roman" w:cs="Times New Roman"/>
        </w:rPr>
        <w:t>a plaće i prip</w:t>
      </w:r>
      <w:r w:rsidR="00637775" w:rsidRPr="0012705C">
        <w:rPr>
          <w:rFonts w:ascii="Times New Roman" w:eastAsia="Calibri" w:hAnsi="Times New Roman" w:cs="Times New Roman"/>
        </w:rPr>
        <w:t>adajuće doprinose za učitelje</w:t>
      </w:r>
      <w:r w:rsidRPr="0012705C">
        <w:rPr>
          <w:rFonts w:ascii="Times New Roman" w:eastAsia="Calibri" w:hAnsi="Times New Roman" w:cs="Times New Roman"/>
        </w:rPr>
        <w:t xml:space="preserve"> rehabilitatore koji u Centru vode </w:t>
      </w:r>
      <w:r w:rsidR="00F24367" w:rsidRPr="0012705C">
        <w:rPr>
          <w:rFonts w:ascii="Times New Roman" w:eastAsia="Calibri" w:hAnsi="Times New Roman" w:cs="Times New Roman"/>
        </w:rPr>
        <w:t>izvannastavne</w:t>
      </w:r>
      <w:r w:rsidRPr="0012705C">
        <w:rPr>
          <w:rFonts w:ascii="Times New Roman" w:eastAsia="Calibri" w:hAnsi="Times New Roman" w:cs="Times New Roman"/>
        </w:rPr>
        <w:t xml:space="preserve"> aktivnosti</w:t>
      </w:r>
      <w:r w:rsidR="001A40ED" w:rsidRPr="0012705C">
        <w:rPr>
          <w:rFonts w:ascii="Times New Roman" w:eastAsia="Calibri" w:hAnsi="Times New Roman" w:cs="Times New Roman"/>
        </w:rPr>
        <w:t>, kao i za</w:t>
      </w:r>
      <w:r w:rsidRPr="0012705C">
        <w:rPr>
          <w:rFonts w:ascii="Times New Roman" w:eastAsia="Calibri" w:hAnsi="Times New Roman" w:cs="Times New Roman"/>
        </w:rPr>
        <w:t xml:space="preserve"> </w:t>
      </w:r>
      <w:r w:rsidR="00774117" w:rsidRPr="0012705C">
        <w:rPr>
          <w:rFonts w:ascii="Times New Roman" w:eastAsia="Calibri" w:hAnsi="Times New Roman" w:cs="Times New Roman"/>
        </w:rPr>
        <w:t xml:space="preserve">to </w:t>
      </w:r>
      <w:r w:rsidRPr="0012705C">
        <w:rPr>
          <w:rFonts w:ascii="Times New Roman" w:eastAsia="Calibri" w:hAnsi="Times New Roman" w:cs="Times New Roman"/>
        </w:rPr>
        <w:t xml:space="preserve">potrebne materijale </w:t>
      </w:r>
      <w:r w:rsidR="001A40ED" w:rsidRPr="0012705C">
        <w:rPr>
          <w:rFonts w:ascii="Times New Roman" w:eastAsia="Calibri" w:hAnsi="Times New Roman" w:cs="Times New Roman"/>
        </w:rPr>
        <w:t xml:space="preserve">te </w:t>
      </w:r>
      <w:r w:rsidRPr="0012705C">
        <w:rPr>
          <w:rFonts w:ascii="Times New Roman" w:eastAsia="Calibri" w:hAnsi="Times New Roman" w:cs="Times New Roman"/>
        </w:rPr>
        <w:t>za provođenje natjecanja.</w:t>
      </w:r>
      <w:r w:rsidR="00637775" w:rsidRPr="0012705C">
        <w:rPr>
          <w:rFonts w:ascii="Times New Roman" w:eastAsia="Calibri" w:hAnsi="Times New Roman" w:cs="Times New Roman"/>
        </w:rPr>
        <w:t xml:space="preserve"> </w:t>
      </w:r>
    </w:p>
    <w:p w14:paraId="5AAB102E" w14:textId="686A2721" w:rsidR="0051199C" w:rsidRPr="0012705C" w:rsidRDefault="00637775" w:rsidP="0051199C">
      <w:pPr>
        <w:rPr>
          <w:rFonts w:ascii="Times New Roman" w:eastAsia="Calibri" w:hAnsi="Times New Roman" w:cs="Times New Roman"/>
        </w:rPr>
      </w:pPr>
      <w:r w:rsidRPr="0012705C">
        <w:rPr>
          <w:rFonts w:ascii="Times New Roman" w:eastAsia="Calibri" w:hAnsi="Times New Roman" w:cs="Times New Roman"/>
        </w:rPr>
        <w:lastRenderedPageBreak/>
        <w:t>Od p</w:t>
      </w:r>
      <w:r w:rsidR="00247911" w:rsidRPr="0012705C">
        <w:rPr>
          <w:rFonts w:ascii="Times New Roman" w:eastAsia="Calibri" w:hAnsi="Times New Roman" w:cs="Times New Roman"/>
        </w:rPr>
        <w:t>laniranih</w:t>
      </w:r>
      <w:r w:rsidR="009A3461" w:rsidRPr="0012705C">
        <w:rPr>
          <w:rFonts w:ascii="Times New Roman" w:eastAsia="Calibri" w:hAnsi="Times New Roman" w:cs="Times New Roman"/>
        </w:rPr>
        <w:t xml:space="preserve"> </w:t>
      </w:r>
      <w:r w:rsidR="00433EA1" w:rsidRPr="0012705C">
        <w:rPr>
          <w:rFonts w:ascii="Times New Roman" w:eastAsia="Calibri" w:hAnsi="Times New Roman" w:cs="Times New Roman"/>
        </w:rPr>
        <w:t>3</w:t>
      </w:r>
      <w:r w:rsidR="00ED6BDC" w:rsidRPr="0012705C">
        <w:rPr>
          <w:rFonts w:ascii="Times New Roman" w:eastAsia="Calibri" w:hAnsi="Times New Roman" w:cs="Times New Roman"/>
        </w:rPr>
        <w:t>.906</w:t>
      </w:r>
      <w:r w:rsidR="00433EA1" w:rsidRPr="0012705C">
        <w:rPr>
          <w:rFonts w:ascii="Times New Roman" w:eastAsia="Calibri" w:hAnsi="Times New Roman" w:cs="Times New Roman"/>
        </w:rPr>
        <w:t>,00</w:t>
      </w:r>
      <w:r w:rsidR="00774117" w:rsidRPr="0012705C">
        <w:rPr>
          <w:rFonts w:ascii="Times New Roman" w:eastAsia="Calibri" w:hAnsi="Times New Roman" w:cs="Times New Roman"/>
        </w:rPr>
        <w:t xml:space="preserve"> €</w:t>
      </w:r>
      <w:r w:rsidR="00247911" w:rsidRPr="0012705C">
        <w:rPr>
          <w:rFonts w:ascii="Times New Roman" w:eastAsia="Calibri" w:hAnsi="Times New Roman" w:cs="Times New Roman"/>
        </w:rPr>
        <w:t xml:space="preserve"> </w:t>
      </w:r>
      <w:r w:rsidR="009A3461" w:rsidRPr="0012705C">
        <w:rPr>
          <w:rFonts w:ascii="Times New Roman" w:eastAsia="Calibri" w:hAnsi="Times New Roman" w:cs="Times New Roman"/>
        </w:rPr>
        <w:t>izvršeno</w:t>
      </w:r>
      <w:r w:rsidR="00247911" w:rsidRPr="0012705C">
        <w:rPr>
          <w:rFonts w:ascii="Times New Roman" w:eastAsia="Calibri" w:hAnsi="Times New Roman" w:cs="Times New Roman"/>
        </w:rPr>
        <w:t xml:space="preserve"> je </w:t>
      </w:r>
      <w:r w:rsidR="00433EA1" w:rsidRPr="0012705C">
        <w:rPr>
          <w:rFonts w:ascii="Times New Roman" w:eastAsia="Calibri" w:hAnsi="Times New Roman" w:cs="Times New Roman"/>
        </w:rPr>
        <w:t>3.</w:t>
      </w:r>
      <w:r w:rsidR="00ED6BDC" w:rsidRPr="0012705C">
        <w:rPr>
          <w:rFonts w:ascii="Times New Roman" w:eastAsia="Calibri" w:hAnsi="Times New Roman" w:cs="Times New Roman"/>
        </w:rPr>
        <w:t>899,24</w:t>
      </w:r>
      <w:r w:rsidR="00774117" w:rsidRPr="0012705C">
        <w:rPr>
          <w:rFonts w:ascii="Times New Roman" w:eastAsia="Calibri" w:hAnsi="Times New Roman" w:cs="Times New Roman"/>
        </w:rPr>
        <w:t xml:space="preserve"> €</w:t>
      </w:r>
      <w:r w:rsidR="00D37766" w:rsidRPr="0012705C">
        <w:rPr>
          <w:rFonts w:ascii="Times New Roman" w:eastAsia="Calibri" w:hAnsi="Times New Roman" w:cs="Times New Roman"/>
        </w:rPr>
        <w:t xml:space="preserve"> rashoda</w:t>
      </w:r>
      <w:r w:rsidR="007B762E" w:rsidRPr="0012705C">
        <w:rPr>
          <w:rFonts w:ascii="Times New Roman" w:eastAsia="Calibri" w:hAnsi="Times New Roman" w:cs="Times New Roman"/>
        </w:rPr>
        <w:t>,</w:t>
      </w:r>
      <w:r w:rsidR="00DE2800" w:rsidRPr="0012705C">
        <w:rPr>
          <w:rFonts w:ascii="Times New Roman" w:eastAsia="Calibri" w:hAnsi="Times New Roman" w:cs="Times New Roman"/>
        </w:rPr>
        <w:t xml:space="preserve"> sve</w:t>
      </w:r>
      <w:r w:rsidR="007B762E" w:rsidRPr="0012705C">
        <w:rPr>
          <w:rFonts w:ascii="Times New Roman" w:eastAsia="Calibri" w:hAnsi="Times New Roman" w:cs="Times New Roman"/>
        </w:rPr>
        <w:t xml:space="preserve"> financirano</w:t>
      </w:r>
      <w:r w:rsidR="00247911" w:rsidRPr="0012705C">
        <w:rPr>
          <w:rFonts w:ascii="Times New Roman" w:eastAsia="Calibri" w:hAnsi="Times New Roman" w:cs="Times New Roman"/>
        </w:rPr>
        <w:t xml:space="preserve"> iz proračuna Grada</w:t>
      </w:r>
      <w:r w:rsidR="001A40ED" w:rsidRPr="0012705C">
        <w:rPr>
          <w:rFonts w:ascii="Times New Roman" w:eastAsia="Calibri" w:hAnsi="Times New Roman" w:cs="Times New Roman"/>
        </w:rPr>
        <w:t>,</w:t>
      </w:r>
      <w:r w:rsidR="009A3461" w:rsidRPr="0012705C">
        <w:rPr>
          <w:rFonts w:ascii="Times New Roman" w:eastAsia="Calibri" w:hAnsi="Times New Roman" w:cs="Times New Roman"/>
        </w:rPr>
        <w:t xml:space="preserve"> </w:t>
      </w:r>
      <w:r w:rsidR="00ED6BDC" w:rsidRPr="0012705C">
        <w:rPr>
          <w:rFonts w:ascii="Times New Roman" w:eastAsia="Calibri" w:hAnsi="Times New Roman" w:cs="Times New Roman"/>
        </w:rPr>
        <w:t xml:space="preserve">osim </w:t>
      </w:r>
      <w:r w:rsidR="00433EA1" w:rsidRPr="0012705C">
        <w:rPr>
          <w:rFonts w:ascii="Times New Roman" w:eastAsia="Calibri" w:hAnsi="Times New Roman" w:cs="Times New Roman"/>
        </w:rPr>
        <w:t xml:space="preserve">putnih troškova za mature od </w:t>
      </w:r>
      <w:r w:rsidR="00ED6BDC" w:rsidRPr="0012705C">
        <w:rPr>
          <w:rFonts w:ascii="Times New Roman" w:eastAsia="Calibri" w:hAnsi="Times New Roman" w:cs="Times New Roman"/>
        </w:rPr>
        <w:t>309,50</w:t>
      </w:r>
      <w:r w:rsidR="00433EA1" w:rsidRPr="0012705C">
        <w:rPr>
          <w:rFonts w:ascii="Times New Roman" w:eastAsia="Calibri" w:hAnsi="Times New Roman" w:cs="Times New Roman"/>
        </w:rPr>
        <w:t xml:space="preserve"> €, </w:t>
      </w:r>
      <w:r w:rsidR="00ED6BDC" w:rsidRPr="0012705C">
        <w:rPr>
          <w:rFonts w:ascii="Times New Roman" w:eastAsia="Calibri" w:hAnsi="Times New Roman" w:cs="Times New Roman"/>
        </w:rPr>
        <w:t xml:space="preserve">što je </w:t>
      </w:r>
      <w:r w:rsidR="00433EA1" w:rsidRPr="0012705C">
        <w:rPr>
          <w:rFonts w:ascii="Times New Roman" w:eastAsia="Calibri" w:hAnsi="Times New Roman" w:cs="Times New Roman"/>
        </w:rPr>
        <w:t>plaćeno od strane AZOO</w:t>
      </w:r>
      <w:r w:rsidR="00ED6BDC" w:rsidRPr="0012705C">
        <w:rPr>
          <w:rFonts w:ascii="Times New Roman" w:eastAsia="Calibri" w:hAnsi="Times New Roman" w:cs="Times New Roman"/>
        </w:rPr>
        <w:t xml:space="preserve"> (na teret DP).</w:t>
      </w:r>
    </w:p>
    <w:p w14:paraId="6F98A63A" w14:textId="0F9EF45A" w:rsidR="0051199C" w:rsidRPr="00C50760" w:rsidRDefault="00C50760" w:rsidP="0051199C">
      <w:pPr>
        <w:rPr>
          <w:rFonts w:ascii="Times New Roman" w:eastAsia="Calibri" w:hAnsi="Times New Roman" w:cs="Times New Roman"/>
          <w:u w:val="single"/>
        </w:rPr>
      </w:pPr>
      <w:r w:rsidRPr="00C50760">
        <w:rPr>
          <w:rFonts w:ascii="Times New Roman" w:eastAsia="Calibri" w:hAnsi="Times New Roman" w:cs="Times New Roman"/>
          <w:u w:val="single"/>
        </w:rPr>
        <w:t xml:space="preserve">Aktivnost A300311: Logopedska pomoć                                                                                   </w:t>
      </w:r>
    </w:p>
    <w:p w14:paraId="4E2DE007" w14:textId="3B2BD974" w:rsidR="0051199C" w:rsidRPr="00DB651F" w:rsidRDefault="0051199C" w:rsidP="0051199C">
      <w:pPr>
        <w:rPr>
          <w:rFonts w:ascii="Times New Roman" w:eastAsia="Calibri" w:hAnsi="Times New Roman" w:cs="Times New Roman"/>
        </w:rPr>
      </w:pPr>
      <w:r w:rsidRPr="00DB651F">
        <w:rPr>
          <w:rFonts w:ascii="Times New Roman" w:eastAsia="Calibri" w:hAnsi="Times New Roman" w:cs="Times New Roman"/>
        </w:rPr>
        <w:t xml:space="preserve">U </w:t>
      </w:r>
      <w:r w:rsidR="00D92B0C" w:rsidRPr="00DB651F">
        <w:rPr>
          <w:rFonts w:ascii="Times New Roman" w:eastAsia="Calibri" w:hAnsi="Times New Roman" w:cs="Times New Roman"/>
        </w:rPr>
        <w:t>sklopu Centra pr</w:t>
      </w:r>
      <w:r w:rsidR="00943999" w:rsidRPr="00DB651F">
        <w:rPr>
          <w:rFonts w:ascii="Times New Roman" w:eastAsia="Calibri" w:hAnsi="Times New Roman" w:cs="Times New Roman"/>
        </w:rPr>
        <w:t>uža</w:t>
      </w:r>
      <w:r w:rsidR="00D92B0C" w:rsidRPr="00DB651F">
        <w:rPr>
          <w:rFonts w:ascii="Times New Roman" w:eastAsia="Calibri" w:hAnsi="Times New Roman" w:cs="Times New Roman"/>
        </w:rPr>
        <w:t xml:space="preserve"> se logopedska pomoć djeci s govornim smetnjama i teškoćama u čitanju i pisanju, a </w:t>
      </w:r>
      <w:r w:rsidR="00831622" w:rsidRPr="00DB651F">
        <w:rPr>
          <w:rFonts w:ascii="Times New Roman" w:eastAsia="Calibri" w:hAnsi="Times New Roman" w:cs="Times New Roman"/>
        </w:rPr>
        <w:t xml:space="preserve">svi rashodi </w:t>
      </w:r>
      <w:r w:rsidR="00D92B0C" w:rsidRPr="00DB651F">
        <w:rPr>
          <w:rFonts w:ascii="Times New Roman" w:eastAsia="Calibri" w:hAnsi="Times New Roman" w:cs="Times New Roman"/>
        </w:rPr>
        <w:t xml:space="preserve">se financiraju </w:t>
      </w:r>
      <w:r w:rsidR="001A099A" w:rsidRPr="00DB651F">
        <w:rPr>
          <w:rFonts w:ascii="Times New Roman" w:eastAsia="Calibri" w:hAnsi="Times New Roman" w:cs="Times New Roman"/>
        </w:rPr>
        <w:t>popola iz pr</w:t>
      </w:r>
      <w:r w:rsidR="00D92B0C" w:rsidRPr="00DB651F">
        <w:rPr>
          <w:rFonts w:ascii="Times New Roman" w:eastAsia="Calibri" w:hAnsi="Times New Roman" w:cs="Times New Roman"/>
        </w:rPr>
        <w:t>oračuna Grada i Županije.</w:t>
      </w:r>
      <w:r w:rsidR="00831622" w:rsidRPr="00DB651F">
        <w:rPr>
          <w:rFonts w:ascii="Times New Roman" w:eastAsia="Calibri" w:hAnsi="Times New Roman" w:cs="Times New Roman"/>
        </w:rPr>
        <w:t xml:space="preserve"> Rashodi se odnose na rad </w:t>
      </w:r>
      <w:r w:rsidR="00C25C50" w:rsidRPr="00DB651F">
        <w:rPr>
          <w:rFonts w:ascii="Times New Roman" w:eastAsia="Calibri" w:hAnsi="Times New Roman" w:cs="Times New Roman"/>
        </w:rPr>
        <w:t>dviju</w:t>
      </w:r>
      <w:r w:rsidR="00831622" w:rsidRPr="00DB651F">
        <w:rPr>
          <w:rFonts w:ascii="Times New Roman" w:eastAsia="Calibri" w:hAnsi="Times New Roman" w:cs="Times New Roman"/>
        </w:rPr>
        <w:t xml:space="preserve"> logopedinj</w:t>
      </w:r>
      <w:r w:rsidR="00C25C50" w:rsidRPr="00DB651F">
        <w:rPr>
          <w:rFonts w:ascii="Times New Roman" w:eastAsia="Calibri" w:hAnsi="Times New Roman" w:cs="Times New Roman"/>
        </w:rPr>
        <w:t>a</w:t>
      </w:r>
      <w:r w:rsidR="006B0E37" w:rsidRPr="00DB651F">
        <w:rPr>
          <w:rFonts w:ascii="Times New Roman" w:eastAsia="Calibri" w:hAnsi="Times New Roman" w:cs="Times New Roman"/>
        </w:rPr>
        <w:t>,</w:t>
      </w:r>
      <w:r w:rsidR="00C25C50" w:rsidRPr="00DB651F">
        <w:rPr>
          <w:rFonts w:ascii="Times New Roman" w:eastAsia="Calibri" w:hAnsi="Times New Roman" w:cs="Times New Roman"/>
        </w:rPr>
        <w:t xml:space="preserve"> </w:t>
      </w:r>
      <w:r w:rsidR="006B0E37" w:rsidRPr="00DB651F">
        <w:rPr>
          <w:rFonts w:ascii="Times New Roman" w:eastAsia="Calibri" w:hAnsi="Times New Roman" w:cs="Times New Roman"/>
        </w:rPr>
        <w:t>i sadrže</w:t>
      </w:r>
      <w:r w:rsidR="00831622" w:rsidRPr="00DB651F">
        <w:rPr>
          <w:rFonts w:ascii="Times New Roman" w:eastAsia="Calibri" w:hAnsi="Times New Roman" w:cs="Times New Roman"/>
        </w:rPr>
        <w:t xml:space="preserve"> plać</w:t>
      </w:r>
      <w:r w:rsidR="006B0E37" w:rsidRPr="00DB651F">
        <w:rPr>
          <w:rFonts w:ascii="Times New Roman" w:eastAsia="Calibri" w:hAnsi="Times New Roman" w:cs="Times New Roman"/>
        </w:rPr>
        <w:t>e</w:t>
      </w:r>
      <w:r w:rsidR="00831622" w:rsidRPr="00DB651F">
        <w:rPr>
          <w:rFonts w:ascii="Times New Roman" w:eastAsia="Calibri" w:hAnsi="Times New Roman" w:cs="Times New Roman"/>
        </w:rPr>
        <w:t>, ostal</w:t>
      </w:r>
      <w:r w:rsidR="00C25C50" w:rsidRPr="00DB651F">
        <w:rPr>
          <w:rFonts w:ascii="Times New Roman" w:eastAsia="Calibri" w:hAnsi="Times New Roman" w:cs="Times New Roman"/>
        </w:rPr>
        <w:t>e</w:t>
      </w:r>
      <w:r w:rsidR="00831622" w:rsidRPr="00DB651F">
        <w:rPr>
          <w:rFonts w:ascii="Times New Roman" w:eastAsia="Calibri" w:hAnsi="Times New Roman" w:cs="Times New Roman"/>
        </w:rPr>
        <w:t xml:space="preserve"> rashod</w:t>
      </w:r>
      <w:r w:rsidR="006B0E37" w:rsidRPr="00DB651F">
        <w:rPr>
          <w:rFonts w:ascii="Times New Roman" w:eastAsia="Calibri" w:hAnsi="Times New Roman" w:cs="Times New Roman"/>
        </w:rPr>
        <w:t>e za</w:t>
      </w:r>
      <w:r w:rsidR="00831622" w:rsidRPr="00DB651F">
        <w:rPr>
          <w:rFonts w:ascii="Times New Roman" w:eastAsia="Calibri" w:hAnsi="Times New Roman" w:cs="Times New Roman"/>
        </w:rPr>
        <w:t xml:space="preserve"> zaposlene, doprinos</w:t>
      </w:r>
      <w:r w:rsidR="006B0E37" w:rsidRPr="00DB651F">
        <w:rPr>
          <w:rFonts w:ascii="Times New Roman" w:eastAsia="Calibri" w:hAnsi="Times New Roman" w:cs="Times New Roman"/>
        </w:rPr>
        <w:t>e</w:t>
      </w:r>
      <w:r w:rsidR="00831622" w:rsidRPr="00DB651F">
        <w:rPr>
          <w:rFonts w:ascii="Times New Roman" w:eastAsia="Calibri" w:hAnsi="Times New Roman" w:cs="Times New Roman"/>
        </w:rPr>
        <w:t xml:space="preserve"> na plaću i naknade troškova zaposleni</w:t>
      </w:r>
      <w:r w:rsidR="006B0E37" w:rsidRPr="00DB651F">
        <w:rPr>
          <w:rFonts w:ascii="Times New Roman" w:eastAsia="Calibri" w:hAnsi="Times New Roman" w:cs="Times New Roman"/>
        </w:rPr>
        <w:t>ma.</w:t>
      </w:r>
    </w:p>
    <w:p w14:paraId="50F8482E" w14:textId="7D850B4A" w:rsidR="00C50760" w:rsidRPr="00DB651F" w:rsidRDefault="00943999" w:rsidP="0051199C">
      <w:pPr>
        <w:rPr>
          <w:rFonts w:ascii="Times New Roman" w:eastAsia="Calibri" w:hAnsi="Times New Roman" w:cs="Times New Roman"/>
        </w:rPr>
      </w:pPr>
      <w:r w:rsidRPr="00DB651F">
        <w:rPr>
          <w:rFonts w:ascii="Times New Roman" w:eastAsia="Calibri" w:hAnsi="Times New Roman" w:cs="Times New Roman"/>
        </w:rPr>
        <w:t>Rashodi su iznosili</w:t>
      </w:r>
      <w:r w:rsidR="00F755DF" w:rsidRPr="00DB651F">
        <w:rPr>
          <w:rFonts w:ascii="Times New Roman" w:eastAsia="Calibri" w:hAnsi="Times New Roman" w:cs="Times New Roman"/>
        </w:rPr>
        <w:t xml:space="preserve"> </w:t>
      </w:r>
      <w:r w:rsidR="00433EA1" w:rsidRPr="00DB651F">
        <w:rPr>
          <w:rFonts w:ascii="Times New Roman" w:eastAsia="Calibri" w:hAnsi="Times New Roman" w:cs="Times New Roman"/>
        </w:rPr>
        <w:t>5</w:t>
      </w:r>
      <w:r w:rsidR="00DB651F" w:rsidRPr="00DB651F">
        <w:rPr>
          <w:rFonts w:ascii="Times New Roman" w:eastAsia="Calibri" w:hAnsi="Times New Roman" w:cs="Times New Roman"/>
        </w:rPr>
        <w:t>8.188,62</w:t>
      </w:r>
      <w:r w:rsidR="00C25C50" w:rsidRPr="00DB651F">
        <w:rPr>
          <w:rFonts w:ascii="Times New Roman" w:eastAsia="Calibri" w:hAnsi="Times New Roman" w:cs="Times New Roman"/>
        </w:rPr>
        <w:t xml:space="preserve"> €</w:t>
      </w:r>
      <w:r w:rsidRPr="00DB651F">
        <w:rPr>
          <w:rFonts w:ascii="Times New Roman" w:eastAsia="Calibri" w:hAnsi="Times New Roman" w:cs="Times New Roman"/>
        </w:rPr>
        <w:t xml:space="preserve"> što j</w:t>
      </w:r>
      <w:r w:rsidR="00433EA1" w:rsidRPr="00DB651F">
        <w:rPr>
          <w:rFonts w:ascii="Times New Roman" w:eastAsia="Calibri" w:hAnsi="Times New Roman" w:cs="Times New Roman"/>
        </w:rPr>
        <w:t>e</w:t>
      </w:r>
      <w:r w:rsidR="00505D37" w:rsidRPr="00DB651F">
        <w:rPr>
          <w:rFonts w:ascii="Times New Roman" w:eastAsia="Calibri" w:hAnsi="Times New Roman" w:cs="Times New Roman"/>
        </w:rPr>
        <w:t xml:space="preserve"> 9</w:t>
      </w:r>
      <w:r w:rsidR="00DB651F" w:rsidRPr="00DB651F">
        <w:rPr>
          <w:rFonts w:ascii="Times New Roman" w:eastAsia="Calibri" w:hAnsi="Times New Roman" w:cs="Times New Roman"/>
        </w:rPr>
        <w:t>9,18</w:t>
      </w:r>
      <w:r w:rsidR="00505D37" w:rsidRPr="00DB651F">
        <w:rPr>
          <w:rFonts w:ascii="Times New Roman" w:eastAsia="Calibri" w:hAnsi="Times New Roman" w:cs="Times New Roman"/>
        </w:rPr>
        <w:t>% od</w:t>
      </w:r>
      <w:r w:rsidR="00433EA1" w:rsidRPr="00DB651F">
        <w:rPr>
          <w:rFonts w:ascii="Times New Roman" w:eastAsia="Calibri" w:hAnsi="Times New Roman" w:cs="Times New Roman"/>
        </w:rPr>
        <w:t xml:space="preserve"> </w:t>
      </w:r>
      <w:r w:rsidRPr="00DB651F">
        <w:rPr>
          <w:rFonts w:ascii="Times New Roman" w:eastAsia="Calibri" w:hAnsi="Times New Roman" w:cs="Times New Roman"/>
        </w:rPr>
        <w:t>plan</w:t>
      </w:r>
      <w:r w:rsidR="00435D92" w:rsidRPr="00DB651F">
        <w:rPr>
          <w:rFonts w:ascii="Times New Roman" w:eastAsia="Calibri" w:hAnsi="Times New Roman" w:cs="Times New Roman"/>
        </w:rPr>
        <w:t>iran</w:t>
      </w:r>
      <w:r w:rsidR="00F755DF" w:rsidRPr="00DB651F">
        <w:rPr>
          <w:rFonts w:ascii="Times New Roman" w:eastAsia="Calibri" w:hAnsi="Times New Roman" w:cs="Times New Roman"/>
        </w:rPr>
        <w:t>ih</w:t>
      </w:r>
      <w:r w:rsidR="00C25C50" w:rsidRPr="00DB651F">
        <w:rPr>
          <w:rFonts w:ascii="Times New Roman" w:eastAsia="Calibri" w:hAnsi="Times New Roman" w:cs="Times New Roman"/>
        </w:rPr>
        <w:t xml:space="preserve"> </w:t>
      </w:r>
      <w:r w:rsidR="00433EA1" w:rsidRPr="00DB651F">
        <w:rPr>
          <w:rFonts w:ascii="Times New Roman" w:eastAsia="Calibri" w:hAnsi="Times New Roman" w:cs="Times New Roman"/>
        </w:rPr>
        <w:t>5</w:t>
      </w:r>
      <w:r w:rsidR="00DB651F" w:rsidRPr="00DB651F">
        <w:rPr>
          <w:rFonts w:ascii="Times New Roman" w:eastAsia="Calibri" w:hAnsi="Times New Roman" w:cs="Times New Roman"/>
        </w:rPr>
        <w:t>9.270</w:t>
      </w:r>
      <w:r w:rsidR="006E244E" w:rsidRPr="00DB651F">
        <w:rPr>
          <w:rFonts w:ascii="Times New Roman" w:eastAsia="Calibri" w:hAnsi="Times New Roman" w:cs="Times New Roman"/>
        </w:rPr>
        <w:t>,00</w:t>
      </w:r>
      <w:r w:rsidR="00C25C50" w:rsidRPr="00DB651F">
        <w:rPr>
          <w:rFonts w:ascii="Times New Roman" w:eastAsia="Calibri" w:hAnsi="Times New Roman" w:cs="Times New Roman"/>
        </w:rPr>
        <w:t xml:space="preserve"> €</w:t>
      </w:r>
      <w:r w:rsidRPr="00DB651F">
        <w:rPr>
          <w:rFonts w:ascii="Times New Roman" w:eastAsia="Calibri" w:hAnsi="Times New Roman" w:cs="Times New Roman"/>
        </w:rPr>
        <w:t>,</w:t>
      </w:r>
      <w:r w:rsidR="00435D92" w:rsidRPr="00DB651F">
        <w:rPr>
          <w:rFonts w:ascii="Times New Roman" w:eastAsia="Calibri" w:hAnsi="Times New Roman" w:cs="Times New Roman"/>
        </w:rPr>
        <w:t xml:space="preserve"> i obuhvaćaju bruto plać</w:t>
      </w:r>
      <w:r w:rsidR="006B0E37" w:rsidRPr="00DB651F">
        <w:rPr>
          <w:rFonts w:ascii="Times New Roman" w:eastAsia="Calibri" w:hAnsi="Times New Roman" w:cs="Times New Roman"/>
        </w:rPr>
        <w:t>e</w:t>
      </w:r>
      <w:r w:rsidR="00435D92" w:rsidRPr="00DB651F">
        <w:rPr>
          <w:rFonts w:ascii="Times New Roman" w:eastAsia="Calibri" w:hAnsi="Times New Roman" w:cs="Times New Roman"/>
        </w:rPr>
        <w:t xml:space="preserve"> zaposlenic</w:t>
      </w:r>
      <w:r w:rsidR="006B0E37" w:rsidRPr="00DB651F">
        <w:rPr>
          <w:rFonts w:ascii="Times New Roman" w:eastAsia="Calibri" w:hAnsi="Times New Roman" w:cs="Times New Roman"/>
        </w:rPr>
        <w:t>a</w:t>
      </w:r>
      <w:r w:rsidRPr="00DB651F">
        <w:rPr>
          <w:rFonts w:ascii="Times New Roman" w:eastAsia="Calibri" w:hAnsi="Times New Roman" w:cs="Times New Roman"/>
        </w:rPr>
        <w:t xml:space="preserve"> </w:t>
      </w:r>
      <w:r w:rsidR="00435D92" w:rsidRPr="00DB651F">
        <w:rPr>
          <w:rFonts w:ascii="Times New Roman" w:eastAsia="Calibri" w:hAnsi="Times New Roman" w:cs="Times New Roman"/>
        </w:rPr>
        <w:t>od</w:t>
      </w:r>
      <w:r w:rsidR="00C25C50" w:rsidRPr="00DB651F">
        <w:rPr>
          <w:rFonts w:ascii="Times New Roman" w:eastAsia="Calibri" w:hAnsi="Times New Roman" w:cs="Times New Roman"/>
        </w:rPr>
        <w:t xml:space="preserve"> </w:t>
      </w:r>
      <w:r w:rsidR="00DB651F" w:rsidRPr="00DB651F">
        <w:rPr>
          <w:rFonts w:ascii="Times New Roman" w:eastAsia="Calibri" w:hAnsi="Times New Roman" w:cs="Times New Roman"/>
        </w:rPr>
        <w:t>45.353,36</w:t>
      </w:r>
      <w:r w:rsidR="00C25C50" w:rsidRPr="00DB651F">
        <w:rPr>
          <w:rFonts w:ascii="Times New Roman" w:eastAsia="Calibri" w:hAnsi="Times New Roman" w:cs="Times New Roman"/>
        </w:rPr>
        <w:t xml:space="preserve"> €</w:t>
      </w:r>
      <w:r w:rsidR="00435D92" w:rsidRPr="00DB651F">
        <w:rPr>
          <w:rFonts w:ascii="Times New Roman" w:eastAsia="Calibri" w:hAnsi="Times New Roman" w:cs="Times New Roman"/>
        </w:rPr>
        <w:t xml:space="preserve">, obvezni doprinos na plaću od </w:t>
      </w:r>
      <w:r w:rsidR="00DB651F" w:rsidRPr="00DB651F">
        <w:rPr>
          <w:rFonts w:ascii="Times New Roman" w:eastAsia="Calibri" w:hAnsi="Times New Roman" w:cs="Times New Roman"/>
        </w:rPr>
        <w:t>7.483,31</w:t>
      </w:r>
      <w:r w:rsidR="00C25C50" w:rsidRPr="00DB651F">
        <w:rPr>
          <w:rFonts w:ascii="Times New Roman" w:eastAsia="Calibri" w:hAnsi="Times New Roman" w:cs="Times New Roman"/>
        </w:rPr>
        <w:t xml:space="preserve"> €</w:t>
      </w:r>
      <w:r w:rsidR="00435D92" w:rsidRPr="00DB651F">
        <w:rPr>
          <w:rFonts w:ascii="Times New Roman" w:eastAsia="Calibri" w:hAnsi="Times New Roman" w:cs="Times New Roman"/>
        </w:rPr>
        <w:t>, ostale rashode za zaposlene od</w:t>
      </w:r>
      <w:r w:rsidR="00505D37" w:rsidRPr="00DB651F">
        <w:rPr>
          <w:rFonts w:ascii="Times New Roman" w:eastAsia="Calibri" w:hAnsi="Times New Roman" w:cs="Times New Roman"/>
        </w:rPr>
        <w:t xml:space="preserve"> 1.</w:t>
      </w:r>
      <w:r w:rsidR="00DB651F" w:rsidRPr="00DB651F">
        <w:rPr>
          <w:rFonts w:ascii="Times New Roman" w:eastAsia="Calibri" w:hAnsi="Times New Roman" w:cs="Times New Roman"/>
        </w:rPr>
        <w:t>734,87</w:t>
      </w:r>
      <w:r w:rsidR="00C25C50" w:rsidRPr="00DB651F">
        <w:rPr>
          <w:rFonts w:ascii="Times New Roman" w:eastAsia="Calibri" w:hAnsi="Times New Roman" w:cs="Times New Roman"/>
        </w:rPr>
        <w:t xml:space="preserve"> €</w:t>
      </w:r>
      <w:r w:rsidR="00435D92" w:rsidRPr="00DB651F">
        <w:rPr>
          <w:rFonts w:ascii="Times New Roman" w:eastAsia="Calibri" w:hAnsi="Times New Roman" w:cs="Times New Roman"/>
        </w:rPr>
        <w:t xml:space="preserve"> (regres </w:t>
      </w:r>
      <w:r w:rsidR="00C25C50" w:rsidRPr="00DB651F">
        <w:rPr>
          <w:rFonts w:ascii="Times New Roman" w:eastAsia="Calibri" w:hAnsi="Times New Roman" w:cs="Times New Roman"/>
        </w:rPr>
        <w:t>za godišnji odmor</w:t>
      </w:r>
      <w:r w:rsidR="00505D37" w:rsidRPr="00DB651F">
        <w:rPr>
          <w:rFonts w:ascii="Times New Roman" w:eastAsia="Calibri" w:hAnsi="Times New Roman" w:cs="Times New Roman"/>
        </w:rPr>
        <w:t xml:space="preserve"> i božićnica</w:t>
      </w:r>
      <w:r w:rsidR="00C25C50" w:rsidRPr="00DB651F">
        <w:rPr>
          <w:rFonts w:ascii="Times New Roman" w:eastAsia="Calibri" w:hAnsi="Times New Roman" w:cs="Times New Roman"/>
        </w:rPr>
        <w:t>) i</w:t>
      </w:r>
      <w:r w:rsidR="00DC55BE" w:rsidRPr="00DB651F">
        <w:rPr>
          <w:rFonts w:ascii="Times New Roman" w:eastAsia="Calibri" w:hAnsi="Times New Roman" w:cs="Times New Roman"/>
        </w:rPr>
        <w:t xml:space="preserve"> </w:t>
      </w:r>
      <w:r w:rsidR="00435D92" w:rsidRPr="00DB651F">
        <w:rPr>
          <w:rFonts w:ascii="Times New Roman" w:eastAsia="Calibri" w:hAnsi="Times New Roman" w:cs="Times New Roman"/>
        </w:rPr>
        <w:t>naknad</w:t>
      </w:r>
      <w:r w:rsidR="00DB651F" w:rsidRPr="00DB651F">
        <w:rPr>
          <w:rFonts w:ascii="Times New Roman" w:eastAsia="Calibri" w:hAnsi="Times New Roman" w:cs="Times New Roman"/>
        </w:rPr>
        <w:t>e troškova zaposlenima: službena putovanja 334,40 €, stručno usavršavanje 330,00 €</w:t>
      </w:r>
      <w:r w:rsidR="00435D92" w:rsidRPr="00DB651F">
        <w:rPr>
          <w:rFonts w:ascii="Times New Roman" w:eastAsia="Calibri" w:hAnsi="Times New Roman" w:cs="Times New Roman"/>
        </w:rPr>
        <w:t xml:space="preserve"> </w:t>
      </w:r>
      <w:r w:rsidR="00DB651F" w:rsidRPr="00DB651F">
        <w:rPr>
          <w:rFonts w:ascii="Times New Roman" w:eastAsia="Calibri" w:hAnsi="Times New Roman" w:cs="Times New Roman"/>
        </w:rPr>
        <w:t>i</w:t>
      </w:r>
      <w:r w:rsidR="00435D92" w:rsidRPr="00DB651F">
        <w:rPr>
          <w:rFonts w:ascii="Times New Roman" w:eastAsia="Calibri" w:hAnsi="Times New Roman" w:cs="Times New Roman"/>
        </w:rPr>
        <w:t xml:space="preserve"> prijevoz na </w:t>
      </w:r>
      <w:r w:rsidR="00DC55BE" w:rsidRPr="00DB651F">
        <w:rPr>
          <w:rFonts w:ascii="Times New Roman" w:eastAsia="Calibri" w:hAnsi="Times New Roman" w:cs="Times New Roman"/>
        </w:rPr>
        <w:t xml:space="preserve">i s </w:t>
      </w:r>
      <w:r w:rsidR="00435D92" w:rsidRPr="00DB651F">
        <w:rPr>
          <w:rFonts w:ascii="Times New Roman" w:eastAsia="Calibri" w:hAnsi="Times New Roman" w:cs="Times New Roman"/>
        </w:rPr>
        <w:t>pos</w:t>
      </w:r>
      <w:r w:rsidR="00DC55BE" w:rsidRPr="00DB651F">
        <w:rPr>
          <w:rFonts w:ascii="Times New Roman" w:eastAsia="Calibri" w:hAnsi="Times New Roman" w:cs="Times New Roman"/>
        </w:rPr>
        <w:t>la</w:t>
      </w:r>
      <w:r w:rsidR="00435D92" w:rsidRPr="00DB651F">
        <w:rPr>
          <w:rFonts w:ascii="Times New Roman" w:eastAsia="Calibri" w:hAnsi="Times New Roman" w:cs="Times New Roman"/>
        </w:rPr>
        <w:t xml:space="preserve"> </w:t>
      </w:r>
      <w:r w:rsidR="00DB651F" w:rsidRPr="00DB651F">
        <w:rPr>
          <w:rFonts w:ascii="Times New Roman" w:eastAsia="Calibri" w:hAnsi="Times New Roman" w:cs="Times New Roman"/>
        </w:rPr>
        <w:t>2.953,66</w:t>
      </w:r>
      <w:r w:rsidR="00C25C50" w:rsidRPr="00DB651F">
        <w:rPr>
          <w:rFonts w:ascii="Times New Roman" w:eastAsia="Calibri" w:hAnsi="Times New Roman" w:cs="Times New Roman"/>
        </w:rPr>
        <w:t xml:space="preserve"> €.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606"/>
        <w:gridCol w:w="1538"/>
        <w:gridCol w:w="1285"/>
        <w:gridCol w:w="1208"/>
        <w:gridCol w:w="1125"/>
        <w:gridCol w:w="1097"/>
        <w:gridCol w:w="1203"/>
      </w:tblGrid>
      <w:tr w:rsidR="00366E90" w14:paraId="1B625BE9" w14:textId="77777777" w:rsidTr="00B43B6A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4F36CABD" w14:textId="77777777" w:rsidR="00366E90" w:rsidRDefault="00366E90" w:rsidP="00B43B6A">
            <w:pPr>
              <w:jc w:val="center"/>
            </w:pPr>
          </w:p>
          <w:p w14:paraId="040C87E9" w14:textId="77777777" w:rsidR="00366E90" w:rsidRDefault="00366E90" w:rsidP="00B43B6A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6FC6A18D" w14:textId="77777777" w:rsidR="00366E90" w:rsidRDefault="00366E90" w:rsidP="00B43B6A">
            <w:pPr>
              <w:jc w:val="center"/>
            </w:pPr>
          </w:p>
          <w:p w14:paraId="323088FF" w14:textId="77777777" w:rsidR="00366E90" w:rsidRDefault="00366E90" w:rsidP="00B43B6A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0B047256" w14:textId="77777777" w:rsidR="00366E90" w:rsidRDefault="00366E90" w:rsidP="00B43B6A">
            <w:pPr>
              <w:jc w:val="center"/>
            </w:pPr>
          </w:p>
          <w:p w14:paraId="44A2FC99" w14:textId="77777777" w:rsidR="00366E90" w:rsidRDefault="00366E90" w:rsidP="00B43B6A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3BC14BA1" w14:textId="77777777" w:rsidR="00366E90" w:rsidRDefault="00366E90" w:rsidP="00B43B6A">
            <w:pPr>
              <w:jc w:val="center"/>
            </w:pPr>
          </w:p>
          <w:p w14:paraId="017F355C" w14:textId="77777777" w:rsidR="00366E90" w:rsidRDefault="00366E90" w:rsidP="00B43B6A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082EC40C" w14:textId="77777777" w:rsidR="00366E90" w:rsidRDefault="00366E90" w:rsidP="00B43B6A">
            <w:pPr>
              <w:jc w:val="center"/>
            </w:pPr>
          </w:p>
          <w:p w14:paraId="0523A7A0" w14:textId="77777777" w:rsidR="00366E90" w:rsidRDefault="00366E90" w:rsidP="00B43B6A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43E26AFF" w14:textId="2FCFE917" w:rsidR="00366E90" w:rsidRDefault="00366E90" w:rsidP="00B43B6A">
            <w:pPr>
              <w:jc w:val="center"/>
            </w:pPr>
            <w:r>
              <w:t>Ciljana vrijednost za 202</w:t>
            </w:r>
            <w:r w:rsidR="00AC1F28">
              <w:t>4</w:t>
            </w:r>
            <w:r>
              <w:t>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602F8DDE" w14:textId="3B29213C" w:rsidR="00366E90" w:rsidRDefault="00366E90" w:rsidP="00B43B6A">
            <w:pPr>
              <w:jc w:val="center"/>
            </w:pPr>
            <w:r>
              <w:t>Ostvarenje na dan 31.12.202</w:t>
            </w:r>
            <w:r w:rsidR="00AC1F28">
              <w:t>4</w:t>
            </w:r>
            <w:r>
              <w:t>.</w:t>
            </w:r>
          </w:p>
        </w:tc>
      </w:tr>
      <w:tr w:rsidR="00366E90" w14:paraId="34DD13F1" w14:textId="77777777" w:rsidTr="00B43B6A">
        <w:tc>
          <w:tcPr>
            <w:tcW w:w="12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C074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121FEE92" w14:textId="77777777" w:rsidR="00366E90" w:rsidRPr="00CD79CE" w:rsidRDefault="00366E90" w:rsidP="00B43B6A">
            <w:r w:rsidRPr="00CD79CE">
              <w:rPr>
                <w:lang w:eastAsia="hr-HR"/>
              </w:rPr>
              <w:t>Broj djece s komunikacijskim i govorno-jezičnim teškoćama uključenih u logopedski tretman</w:t>
            </w:r>
          </w:p>
        </w:tc>
        <w:tc>
          <w:tcPr>
            <w:tcW w:w="1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1501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7A02A984" w14:textId="77777777" w:rsidR="00366E90" w:rsidRPr="00CD79CE" w:rsidRDefault="00366E90" w:rsidP="00B43B6A">
            <w:r w:rsidRPr="00CD79CE">
              <w:rPr>
                <w:lang w:eastAsia="hr-HR"/>
              </w:rPr>
              <w:t>Pravovremenom detekcijom, dijagnostikom, terapijom i savjetovanjem ublažavaju se i ispravljaju govorno-jezične i specifične teškoće.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2B5B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2D422C62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Broj korisnika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7BC6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40724268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80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63B3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5E7FB4A6" w14:textId="77777777" w:rsidR="00366E90" w:rsidRPr="00CD79CE" w:rsidRDefault="00366E90" w:rsidP="00B43B6A">
            <w:r w:rsidRPr="00CD79CE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306D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5A48A38E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80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2FB7763F" w14:textId="77777777" w:rsidR="00366E90" w:rsidRDefault="00366E90" w:rsidP="00B43B6A">
            <w:pPr>
              <w:jc w:val="center"/>
            </w:pPr>
          </w:p>
          <w:p w14:paraId="2C402BCD" w14:textId="77777777" w:rsidR="00366E90" w:rsidRDefault="00366E90" w:rsidP="00B43B6A">
            <w:pPr>
              <w:jc w:val="center"/>
            </w:pPr>
            <w:r>
              <w:t>80</w:t>
            </w:r>
          </w:p>
        </w:tc>
      </w:tr>
    </w:tbl>
    <w:p w14:paraId="26BE32DD" w14:textId="77777777" w:rsidR="00366E90" w:rsidRPr="00823CE1" w:rsidRDefault="00366E90" w:rsidP="0051199C">
      <w:pPr>
        <w:rPr>
          <w:rFonts w:ascii="Times New Roman" w:eastAsia="Calibri" w:hAnsi="Times New Roman" w:cs="Times New Roman"/>
        </w:rPr>
      </w:pPr>
    </w:p>
    <w:p w14:paraId="001D8BAD" w14:textId="77777777" w:rsidR="00E4713A" w:rsidRPr="000D41ED" w:rsidRDefault="00E4713A" w:rsidP="0051199C">
      <w:pPr>
        <w:rPr>
          <w:rFonts w:ascii="Times New Roman" w:eastAsia="Calibri" w:hAnsi="Times New Roman" w:cs="Times New Roman"/>
        </w:rPr>
      </w:pPr>
      <w:r w:rsidRPr="000D41ED">
        <w:rPr>
          <w:rFonts w:ascii="Times New Roman" w:eastAsia="Calibri" w:hAnsi="Times New Roman" w:cs="Times New Roman"/>
          <w:u w:val="single"/>
        </w:rPr>
        <w:t xml:space="preserve">Aktivnost A3000317: Redovna djelatnost škola  </w:t>
      </w:r>
    </w:p>
    <w:p w14:paraId="614FEFCA" w14:textId="169EE8E8" w:rsidR="00363286" w:rsidRPr="000D41ED" w:rsidRDefault="00743EF5" w:rsidP="00A566E5">
      <w:pPr>
        <w:rPr>
          <w:rFonts w:ascii="Times New Roman" w:eastAsia="Calibri" w:hAnsi="Times New Roman" w:cs="Times New Roman"/>
        </w:rPr>
      </w:pPr>
      <w:r w:rsidRPr="000D41ED">
        <w:rPr>
          <w:rFonts w:ascii="Times New Roman" w:eastAsia="Calibri" w:hAnsi="Times New Roman" w:cs="Times New Roman"/>
        </w:rPr>
        <w:t>Ukupno planirani iznos rashoda u ovoj aktivnosti</w:t>
      </w:r>
      <w:r w:rsidR="008D46D2" w:rsidRPr="000D41ED">
        <w:rPr>
          <w:rFonts w:ascii="Times New Roman" w:eastAsia="Calibri" w:hAnsi="Times New Roman" w:cs="Times New Roman"/>
        </w:rPr>
        <w:t xml:space="preserve"> bio</w:t>
      </w:r>
      <w:r w:rsidRPr="000D41ED">
        <w:rPr>
          <w:rFonts w:ascii="Times New Roman" w:eastAsia="Calibri" w:hAnsi="Times New Roman" w:cs="Times New Roman"/>
        </w:rPr>
        <w:t xml:space="preserve"> </w:t>
      </w:r>
      <w:r w:rsidR="006E244E" w:rsidRPr="000D41ED">
        <w:rPr>
          <w:rFonts w:ascii="Times New Roman" w:eastAsia="Calibri" w:hAnsi="Times New Roman" w:cs="Times New Roman"/>
        </w:rPr>
        <w:t xml:space="preserve">je </w:t>
      </w:r>
      <w:r w:rsidR="00DB651F" w:rsidRPr="000D41ED">
        <w:rPr>
          <w:rFonts w:ascii="Times New Roman" w:eastAsia="Calibri" w:hAnsi="Times New Roman" w:cs="Times New Roman"/>
        </w:rPr>
        <w:t>99.027</w:t>
      </w:r>
      <w:r w:rsidR="006E244E" w:rsidRPr="000D41ED">
        <w:rPr>
          <w:rFonts w:ascii="Times New Roman" w:eastAsia="Calibri" w:hAnsi="Times New Roman" w:cs="Times New Roman"/>
        </w:rPr>
        <w:t>,00 €</w:t>
      </w:r>
      <w:r w:rsidRPr="000D41ED">
        <w:rPr>
          <w:rFonts w:ascii="Times New Roman" w:eastAsia="Calibri" w:hAnsi="Times New Roman" w:cs="Times New Roman"/>
        </w:rPr>
        <w:t>,</w:t>
      </w:r>
      <w:r w:rsidR="004F3A88" w:rsidRPr="000D41ED">
        <w:rPr>
          <w:rFonts w:ascii="Times New Roman" w:eastAsia="Calibri" w:hAnsi="Times New Roman" w:cs="Times New Roman"/>
        </w:rPr>
        <w:t xml:space="preserve"> </w:t>
      </w:r>
      <w:r w:rsidR="00E83579" w:rsidRPr="000D41ED">
        <w:rPr>
          <w:rFonts w:ascii="Times New Roman" w:eastAsia="Calibri" w:hAnsi="Times New Roman" w:cs="Times New Roman"/>
        </w:rPr>
        <w:t>a izvršenje</w:t>
      </w:r>
      <w:r w:rsidR="008A2682" w:rsidRPr="000D41ED">
        <w:rPr>
          <w:rFonts w:ascii="Times New Roman" w:eastAsia="Calibri" w:hAnsi="Times New Roman" w:cs="Times New Roman"/>
        </w:rPr>
        <w:t xml:space="preserve"> </w:t>
      </w:r>
      <w:r w:rsidR="00DB651F" w:rsidRPr="000D41ED">
        <w:rPr>
          <w:rFonts w:ascii="Times New Roman" w:eastAsia="Calibri" w:hAnsi="Times New Roman" w:cs="Times New Roman"/>
        </w:rPr>
        <w:t>65.711,96</w:t>
      </w:r>
      <w:r w:rsidR="008A2682" w:rsidRPr="000D41ED">
        <w:rPr>
          <w:rFonts w:ascii="Times New Roman" w:eastAsia="Calibri" w:hAnsi="Times New Roman" w:cs="Times New Roman"/>
        </w:rPr>
        <w:t xml:space="preserve"> €</w:t>
      </w:r>
      <w:r w:rsidR="00E83579" w:rsidRPr="000D41ED">
        <w:rPr>
          <w:rFonts w:ascii="Times New Roman" w:eastAsia="Calibri" w:hAnsi="Times New Roman" w:cs="Times New Roman"/>
        </w:rPr>
        <w:t xml:space="preserve">. </w:t>
      </w:r>
    </w:p>
    <w:p w14:paraId="18AC3792" w14:textId="77777777" w:rsidR="004372CC" w:rsidRPr="000D41ED" w:rsidRDefault="004372CC" w:rsidP="00A566E5">
      <w:pPr>
        <w:rPr>
          <w:rFonts w:ascii="Times New Roman" w:eastAsia="Calibri" w:hAnsi="Times New Roman" w:cs="Times New Roman"/>
        </w:rPr>
      </w:pPr>
      <w:r w:rsidRPr="000D41ED">
        <w:rPr>
          <w:rFonts w:ascii="Times New Roman" w:eastAsia="Calibri" w:hAnsi="Times New Roman" w:cs="Times New Roman"/>
        </w:rPr>
        <w:t xml:space="preserve">Zbog nedostatnih sredstava za pokriće učeničkog prijevoza od MZOM, utrošeno je </w:t>
      </w:r>
      <w:r w:rsidRPr="000D41ED">
        <w:rPr>
          <w:rFonts w:ascii="Times New Roman" w:eastAsia="Calibri" w:hAnsi="Times New Roman" w:cs="Times New Roman"/>
        </w:rPr>
        <w:t>18.373,25</w:t>
      </w:r>
      <w:r w:rsidRPr="000D41ED">
        <w:rPr>
          <w:rFonts w:ascii="Times New Roman" w:eastAsia="Calibri" w:hAnsi="Times New Roman" w:cs="Times New Roman"/>
        </w:rPr>
        <w:t xml:space="preserve"> € općih prihoda od osnivača.</w:t>
      </w:r>
    </w:p>
    <w:p w14:paraId="71427168" w14:textId="3303932B" w:rsidR="00F76766" w:rsidRPr="000D41ED" w:rsidRDefault="00E83579" w:rsidP="00A566E5">
      <w:pPr>
        <w:rPr>
          <w:rFonts w:ascii="Times New Roman" w:eastAsia="Calibri" w:hAnsi="Times New Roman" w:cs="Times New Roman"/>
        </w:rPr>
      </w:pPr>
      <w:r w:rsidRPr="000D41ED">
        <w:rPr>
          <w:rFonts w:ascii="Times New Roman" w:eastAsia="Calibri" w:hAnsi="Times New Roman" w:cs="Times New Roman"/>
        </w:rPr>
        <w:t>Planiran</w:t>
      </w:r>
      <w:r w:rsidR="00C8740A" w:rsidRPr="000D41ED">
        <w:rPr>
          <w:rFonts w:ascii="Times New Roman" w:eastAsia="Calibri" w:hAnsi="Times New Roman" w:cs="Times New Roman"/>
        </w:rPr>
        <w:t>i</w:t>
      </w:r>
      <w:r w:rsidRPr="000D41ED">
        <w:rPr>
          <w:rFonts w:ascii="Times New Roman" w:eastAsia="Calibri" w:hAnsi="Times New Roman" w:cs="Times New Roman"/>
        </w:rPr>
        <w:t xml:space="preserve"> </w:t>
      </w:r>
      <w:r w:rsidR="00C8740A" w:rsidRPr="000D41ED">
        <w:rPr>
          <w:rFonts w:ascii="Times New Roman" w:eastAsia="Calibri" w:hAnsi="Times New Roman" w:cs="Times New Roman"/>
        </w:rPr>
        <w:t>rashodi</w:t>
      </w:r>
      <w:r w:rsidRPr="000D41ED">
        <w:rPr>
          <w:rFonts w:ascii="Times New Roman" w:eastAsia="Calibri" w:hAnsi="Times New Roman" w:cs="Times New Roman"/>
        </w:rPr>
        <w:t xml:space="preserve"> za </w:t>
      </w:r>
      <w:r w:rsidR="008A2682" w:rsidRPr="000D41ED">
        <w:rPr>
          <w:rFonts w:ascii="Times New Roman" w:eastAsia="Calibri" w:hAnsi="Times New Roman" w:cs="Times New Roman"/>
        </w:rPr>
        <w:t>tekuće i investicijsko održavanje</w:t>
      </w:r>
      <w:r w:rsidR="000D41ED" w:rsidRPr="000D41ED">
        <w:rPr>
          <w:rFonts w:ascii="Times New Roman" w:eastAsia="Calibri" w:hAnsi="Times New Roman" w:cs="Times New Roman"/>
        </w:rPr>
        <w:t xml:space="preserve"> na teret osnivača,</w:t>
      </w:r>
      <w:r w:rsidR="008A2682" w:rsidRPr="000D41ED">
        <w:rPr>
          <w:rFonts w:ascii="Times New Roman" w:eastAsia="Calibri" w:hAnsi="Times New Roman" w:cs="Times New Roman"/>
        </w:rPr>
        <w:t xml:space="preserve"> kao </w:t>
      </w:r>
      <w:r w:rsidR="00C8740A" w:rsidRPr="000D41ED">
        <w:rPr>
          <w:rFonts w:ascii="Times New Roman" w:eastAsia="Calibri" w:hAnsi="Times New Roman" w:cs="Times New Roman"/>
        </w:rPr>
        <w:t>druga po visini</w:t>
      </w:r>
      <w:r w:rsidR="008A2682" w:rsidRPr="000D41ED">
        <w:rPr>
          <w:rFonts w:ascii="Times New Roman" w:eastAsia="Calibri" w:hAnsi="Times New Roman" w:cs="Times New Roman"/>
        </w:rPr>
        <w:t xml:space="preserve"> stavka od 2</w:t>
      </w:r>
      <w:r w:rsidR="004372CC" w:rsidRPr="000D41ED">
        <w:rPr>
          <w:rFonts w:ascii="Times New Roman" w:eastAsia="Calibri" w:hAnsi="Times New Roman" w:cs="Times New Roman"/>
        </w:rPr>
        <w:t>0.</w:t>
      </w:r>
      <w:r w:rsidR="008A2682" w:rsidRPr="000D41ED">
        <w:rPr>
          <w:rFonts w:ascii="Times New Roman" w:eastAsia="Calibri" w:hAnsi="Times New Roman" w:cs="Times New Roman"/>
        </w:rPr>
        <w:t xml:space="preserve">000,00 €, </w:t>
      </w:r>
      <w:r w:rsidR="00882877" w:rsidRPr="000D41ED">
        <w:rPr>
          <w:rFonts w:ascii="Times New Roman" w:eastAsia="Calibri" w:hAnsi="Times New Roman" w:cs="Times New Roman"/>
        </w:rPr>
        <w:t xml:space="preserve">izvršena je u visini od </w:t>
      </w:r>
      <w:r w:rsidR="004372CC" w:rsidRPr="000D41ED">
        <w:rPr>
          <w:rFonts w:ascii="Times New Roman" w:eastAsia="Calibri" w:hAnsi="Times New Roman" w:cs="Times New Roman"/>
        </w:rPr>
        <w:t>18.373,25</w:t>
      </w:r>
      <w:r w:rsidR="00882877" w:rsidRPr="000D41ED">
        <w:rPr>
          <w:rFonts w:ascii="Times New Roman" w:eastAsia="Calibri" w:hAnsi="Times New Roman" w:cs="Times New Roman"/>
        </w:rPr>
        <w:t xml:space="preserve"> €</w:t>
      </w:r>
      <w:r w:rsidR="00C8740A" w:rsidRPr="000D41ED">
        <w:rPr>
          <w:rFonts w:ascii="Times New Roman" w:eastAsia="Calibri" w:hAnsi="Times New Roman" w:cs="Times New Roman"/>
        </w:rPr>
        <w:t>.</w:t>
      </w:r>
      <w:r w:rsidR="004372CC" w:rsidRPr="000D41ED">
        <w:rPr>
          <w:rFonts w:ascii="Times New Roman" w:eastAsia="Calibri" w:hAnsi="Times New Roman" w:cs="Times New Roman"/>
        </w:rPr>
        <w:t xml:space="preserve"> </w:t>
      </w:r>
      <w:r w:rsidR="00270922" w:rsidRPr="000D41ED">
        <w:rPr>
          <w:rFonts w:ascii="Times New Roman" w:eastAsia="Calibri" w:hAnsi="Times New Roman" w:cs="Times New Roman"/>
        </w:rPr>
        <w:t>Z</w:t>
      </w:r>
      <w:r w:rsidRPr="000D41ED">
        <w:rPr>
          <w:rFonts w:ascii="Times New Roman" w:eastAsia="Calibri" w:hAnsi="Times New Roman" w:cs="Times New Roman"/>
        </w:rPr>
        <w:t xml:space="preserve">a zdravstvene </w:t>
      </w:r>
      <w:r w:rsidR="00704700" w:rsidRPr="000D41ED">
        <w:rPr>
          <w:rFonts w:ascii="Times New Roman" w:eastAsia="Calibri" w:hAnsi="Times New Roman" w:cs="Times New Roman"/>
        </w:rPr>
        <w:t xml:space="preserve">sistematske </w:t>
      </w:r>
      <w:r w:rsidRPr="000D41ED">
        <w:rPr>
          <w:rFonts w:ascii="Times New Roman" w:eastAsia="Calibri" w:hAnsi="Times New Roman" w:cs="Times New Roman"/>
        </w:rPr>
        <w:t xml:space="preserve">preglede zaposlenika od planiranih </w:t>
      </w:r>
      <w:r w:rsidR="004372CC" w:rsidRPr="000D41ED">
        <w:rPr>
          <w:rFonts w:ascii="Times New Roman" w:eastAsia="Calibri" w:hAnsi="Times New Roman" w:cs="Times New Roman"/>
        </w:rPr>
        <w:t>5</w:t>
      </w:r>
      <w:r w:rsidR="00882877" w:rsidRPr="000D41ED">
        <w:rPr>
          <w:rFonts w:ascii="Times New Roman" w:eastAsia="Calibri" w:hAnsi="Times New Roman" w:cs="Times New Roman"/>
        </w:rPr>
        <w:t>.000</w:t>
      </w:r>
      <w:r w:rsidRPr="000D41ED">
        <w:rPr>
          <w:rFonts w:ascii="Times New Roman" w:eastAsia="Calibri" w:hAnsi="Times New Roman" w:cs="Times New Roman"/>
        </w:rPr>
        <w:t xml:space="preserve">,00 </w:t>
      </w:r>
      <w:r w:rsidR="00270922" w:rsidRPr="000D41ED">
        <w:rPr>
          <w:rFonts w:ascii="Times New Roman" w:eastAsia="Calibri" w:hAnsi="Times New Roman" w:cs="Times New Roman"/>
        </w:rPr>
        <w:t>€</w:t>
      </w:r>
      <w:r w:rsidRPr="000D41ED">
        <w:rPr>
          <w:rFonts w:ascii="Times New Roman" w:eastAsia="Calibri" w:hAnsi="Times New Roman" w:cs="Times New Roman"/>
        </w:rPr>
        <w:t xml:space="preserve"> </w:t>
      </w:r>
      <w:r w:rsidR="00882877" w:rsidRPr="000D41ED">
        <w:rPr>
          <w:rFonts w:ascii="Times New Roman" w:eastAsia="Calibri" w:hAnsi="Times New Roman" w:cs="Times New Roman"/>
        </w:rPr>
        <w:t xml:space="preserve">prema odazivu zaposlenika </w:t>
      </w:r>
      <w:r w:rsidR="00270922" w:rsidRPr="000D41ED">
        <w:rPr>
          <w:rFonts w:ascii="Times New Roman" w:eastAsia="Calibri" w:hAnsi="Times New Roman" w:cs="Times New Roman"/>
        </w:rPr>
        <w:t>izvršeno</w:t>
      </w:r>
      <w:r w:rsidR="00A41B77" w:rsidRPr="000D41ED">
        <w:rPr>
          <w:rFonts w:ascii="Times New Roman" w:eastAsia="Calibri" w:hAnsi="Times New Roman" w:cs="Times New Roman"/>
        </w:rPr>
        <w:t xml:space="preserve"> je </w:t>
      </w:r>
      <w:r w:rsidR="00882877" w:rsidRPr="000D41ED">
        <w:rPr>
          <w:rFonts w:ascii="Times New Roman" w:eastAsia="Calibri" w:hAnsi="Times New Roman" w:cs="Times New Roman"/>
        </w:rPr>
        <w:t>5.</w:t>
      </w:r>
      <w:r w:rsidR="004372CC" w:rsidRPr="000D41ED">
        <w:rPr>
          <w:rFonts w:ascii="Times New Roman" w:eastAsia="Calibri" w:hAnsi="Times New Roman" w:cs="Times New Roman"/>
        </w:rPr>
        <w:t>149,42</w:t>
      </w:r>
      <w:r w:rsidR="00270922" w:rsidRPr="000D41ED">
        <w:rPr>
          <w:rFonts w:ascii="Times New Roman" w:eastAsia="Calibri" w:hAnsi="Times New Roman" w:cs="Times New Roman"/>
        </w:rPr>
        <w:t xml:space="preserve"> €</w:t>
      </w:r>
      <w:r w:rsidR="00882877" w:rsidRPr="000D41ED">
        <w:rPr>
          <w:rFonts w:ascii="Times New Roman" w:eastAsia="Calibri" w:hAnsi="Times New Roman" w:cs="Times New Roman"/>
        </w:rPr>
        <w:t xml:space="preserve">. </w:t>
      </w:r>
      <w:r w:rsidR="00F76766" w:rsidRPr="000D41ED">
        <w:rPr>
          <w:rFonts w:ascii="Times New Roman" w:eastAsia="Calibri" w:hAnsi="Times New Roman" w:cs="Times New Roman"/>
        </w:rPr>
        <w:t xml:space="preserve">Za kupnju radnih bilježnica učenicima utrošeno je </w:t>
      </w:r>
      <w:r w:rsidR="00DD2A73" w:rsidRPr="000D41ED">
        <w:rPr>
          <w:rFonts w:ascii="Times New Roman" w:eastAsia="Calibri" w:hAnsi="Times New Roman" w:cs="Times New Roman"/>
        </w:rPr>
        <w:t>247,53</w:t>
      </w:r>
      <w:r w:rsidR="00F76766" w:rsidRPr="000D41ED">
        <w:rPr>
          <w:rFonts w:ascii="Times New Roman" w:eastAsia="Calibri" w:hAnsi="Times New Roman" w:cs="Times New Roman"/>
        </w:rPr>
        <w:t xml:space="preserve"> € iz vlastit</w:t>
      </w:r>
      <w:r w:rsidR="00AC1F28" w:rsidRPr="000D41ED">
        <w:rPr>
          <w:rFonts w:ascii="Times New Roman" w:eastAsia="Calibri" w:hAnsi="Times New Roman" w:cs="Times New Roman"/>
        </w:rPr>
        <w:t>i</w:t>
      </w:r>
      <w:r w:rsidR="00F76766" w:rsidRPr="000D41ED">
        <w:rPr>
          <w:rFonts w:ascii="Times New Roman" w:eastAsia="Calibri" w:hAnsi="Times New Roman" w:cs="Times New Roman"/>
        </w:rPr>
        <w:t>h prihoda, a za higijenske potrepštine ženskim osobama 1</w:t>
      </w:r>
      <w:r w:rsidR="00DD2A73" w:rsidRPr="000D41ED">
        <w:rPr>
          <w:rFonts w:ascii="Times New Roman" w:eastAsia="Calibri" w:hAnsi="Times New Roman" w:cs="Times New Roman"/>
        </w:rPr>
        <w:t>36,47</w:t>
      </w:r>
      <w:r w:rsidR="00F76766" w:rsidRPr="000D41ED">
        <w:rPr>
          <w:rFonts w:ascii="Times New Roman" w:eastAsia="Calibri" w:hAnsi="Times New Roman" w:cs="Times New Roman"/>
        </w:rPr>
        <w:t xml:space="preserve"> € što je refundiralo MZO</w:t>
      </w:r>
      <w:r w:rsidR="00AC1F28" w:rsidRPr="000D41ED">
        <w:rPr>
          <w:rFonts w:ascii="Times New Roman" w:eastAsia="Calibri" w:hAnsi="Times New Roman" w:cs="Times New Roman"/>
        </w:rPr>
        <w:t>M</w:t>
      </w:r>
      <w:r w:rsidR="00F76766" w:rsidRPr="000D41ED">
        <w:rPr>
          <w:rFonts w:ascii="Times New Roman" w:eastAsia="Calibri" w:hAnsi="Times New Roman" w:cs="Times New Roman"/>
        </w:rPr>
        <w:t>. Od namjenske uplate MZO</w:t>
      </w:r>
      <w:r w:rsidR="00AC1F28" w:rsidRPr="000D41ED">
        <w:rPr>
          <w:rFonts w:ascii="Times New Roman" w:eastAsia="Calibri" w:hAnsi="Times New Roman" w:cs="Times New Roman"/>
        </w:rPr>
        <w:t>M</w:t>
      </w:r>
      <w:r w:rsidR="00F76766" w:rsidRPr="000D41ED">
        <w:rPr>
          <w:rFonts w:ascii="Times New Roman" w:eastAsia="Calibri" w:hAnsi="Times New Roman" w:cs="Times New Roman"/>
        </w:rPr>
        <w:t xml:space="preserve"> kupljeno je knjižne građe u vrijednosti</w:t>
      </w:r>
      <w:r w:rsidR="004372CC" w:rsidRPr="000D41ED">
        <w:rPr>
          <w:rFonts w:ascii="Times New Roman" w:eastAsia="Calibri" w:hAnsi="Times New Roman" w:cs="Times New Roman"/>
        </w:rPr>
        <w:t xml:space="preserve"> 310</w:t>
      </w:r>
      <w:r w:rsidR="00F76766" w:rsidRPr="000D41ED">
        <w:rPr>
          <w:rFonts w:ascii="Times New Roman" w:eastAsia="Calibri" w:hAnsi="Times New Roman" w:cs="Times New Roman"/>
        </w:rPr>
        <w:t>,00 € za školsku knjižnicu.</w:t>
      </w:r>
    </w:p>
    <w:p w14:paraId="2579708D" w14:textId="055C5BD3" w:rsidR="00DD2A73" w:rsidRPr="000D41ED" w:rsidRDefault="00DD2A73" w:rsidP="00A566E5">
      <w:pPr>
        <w:rPr>
          <w:rFonts w:ascii="Times New Roman" w:eastAsia="Calibri" w:hAnsi="Times New Roman" w:cs="Times New Roman"/>
        </w:rPr>
      </w:pPr>
      <w:r w:rsidRPr="000D41ED">
        <w:rPr>
          <w:rFonts w:ascii="Times New Roman" w:eastAsia="Calibri" w:hAnsi="Times New Roman" w:cs="Times New Roman"/>
        </w:rPr>
        <w:t>Nije realizirana nabava e-ko</w:t>
      </w:r>
      <w:r w:rsidR="00C8740A" w:rsidRPr="000D41ED">
        <w:rPr>
          <w:rFonts w:ascii="Times New Roman" w:eastAsia="Calibri" w:hAnsi="Times New Roman" w:cs="Times New Roman"/>
        </w:rPr>
        <w:t>m</w:t>
      </w:r>
      <w:r w:rsidRPr="000D41ED">
        <w:rPr>
          <w:rFonts w:ascii="Times New Roman" w:eastAsia="Calibri" w:hAnsi="Times New Roman" w:cs="Times New Roman"/>
        </w:rPr>
        <w:t>bi</w:t>
      </w:r>
      <w:r w:rsidR="00C8740A" w:rsidRPr="000D41ED">
        <w:rPr>
          <w:rFonts w:ascii="Times New Roman" w:eastAsia="Calibri" w:hAnsi="Times New Roman" w:cs="Times New Roman"/>
        </w:rPr>
        <w:t>ja</w:t>
      </w:r>
      <w:r w:rsidRPr="000D41ED">
        <w:rPr>
          <w:rFonts w:ascii="Times New Roman" w:eastAsia="Calibri" w:hAnsi="Times New Roman" w:cs="Times New Roman"/>
        </w:rPr>
        <w:t>, stoga je ostalo neutrošenih 27.318,00 € planiranih za pokriće dijela cijene vozila.</w:t>
      </w:r>
    </w:p>
    <w:p w14:paraId="50E616FD" w14:textId="77777777" w:rsidR="00A566E5" w:rsidRPr="000D41ED" w:rsidRDefault="00A566E5" w:rsidP="00A566E5">
      <w:pPr>
        <w:rPr>
          <w:rFonts w:ascii="Times New Roman" w:eastAsia="Calibri" w:hAnsi="Times New Roman" w:cs="Times New Roman"/>
          <w:u w:val="single"/>
        </w:rPr>
      </w:pPr>
      <w:r w:rsidRPr="000D41ED">
        <w:rPr>
          <w:rFonts w:ascii="Times New Roman" w:eastAsia="Calibri" w:hAnsi="Times New Roman" w:cs="Times New Roman"/>
          <w:u w:val="single"/>
        </w:rPr>
        <w:t xml:space="preserve"> Aktivnost A300327: Radno-proizvodna aktivnost        </w:t>
      </w:r>
    </w:p>
    <w:p w14:paraId="415CAA28" w14:textId="7D5EC7D1" w:rsidR="0050125D" w:rsidRPr="000D41ED" w:rsidRDefault="00A566E5" w:rsidP="00A566E5">
      <w:pPr>
        <w:rPr>
          <w:rFonts w:ascii="Times New Roman" w:eastAsia="Calibri" w:hAnsi="Times New Roman" w:cs="Times New Roman"/>
        </w:rPr>
      </w:pPr>
      <w:r w:rsidRPr="000D41ED">
        <w:rPr>
          <w:rFonts w:ascii="Times New Roman" w:eastAsia="Calibri" w:hAnsi="Times New Roman" w:cs="Times New Roman"/>
        </w:rPr>
        <w:t>Centar pruža uslugu poludnevnog boravka tjelesno i mentalno oštećenim osobama starijim od 21 godine, a rashodi te aktivnosti su financirani sredstvima MDOMSP-a</w:t>
      </w:r>
      <w:r w:rsidR="00387570" w:rsidRPr="000D41ED">
        <w:rPr>
          <w:rFonts w:ascii="Times New Roman" w:eastAsia="Calibri" w:hAnsi="Times New Roman" w:cs="Times New Roman"/>
        </w:rPr>
        <w:t>.</w:t>
      </w:r>
      <w:r w:rsidR="00C2505D" w:rsidRPr="000D41ED">
        <w:rPr>
          <w:rFonts w:ascii="Times New Roman" w:eastAsia="Calibri" w:hAnsi="Times New Roman" w:cs="Times New Roman"/>
        </w:rPr>
        <w:t xml:space="preserve"> Broj polaznika je 1</w:t>
      </w:r>
      <w:r w:rsidR="00270922" w:rsidRPr="000D41ED">
        <w:rPr>
          <w:rFonts w:ascii="Times New Roman" w:eastAsia="Calibri" w:hAnsi="Times New Roman" w:cs="Times New Roman"/>
        </w:rPr>
        <w:t>8</w:t>
      </w:r>
      <w:r w:rsidR="001D0926" w:rsidRPr="000D41ED">
        <w:rPr>
          <w:rFonts w:ascii="Times New Roman" w:eastAsia="Calibri" w:hAnsi="Times New Roman" w:cs="Times New Roman"/>
        </w:rPr>
        <w:t xml:space="preserve">, a </w:t>
      </w:r>
      <w:r w:rsidR="00270922" w:rsidRPr="000D41ED">
        <w:rPr>
          <w:rFonts w:ascii="Times New Roman" w:eastAsia="Calibri" w:hAnsi="Times New Roman" w:cs="Times New Roman"/>
        </w:rPr>
        <w:t xml:space="preserve">puna </w:t>
      </w:r>
      <w:r w:rsidR="001D0926" w:rsidRPr="000D41ED">
        <w:rPr>
          <w:rFonts w:ascii="Times New Roman" w:eastAsia="Calibri" w:hAnsi="Times New Roman" w:cs="Times New Roman"/>
        </w:rPr>
        <w:t xml:space="preserve">mjesečna cijena (za </w:t>
      </w:r>
      <w:r w:rsidR="00270922" w:rsidRPr="000D41ED">
        <w:rPr>
          <w:rFonts w:ascii="Times New Roman" w:eastAsia="Calibri" w:hAnsi="Times New Roman" w:cs="Times New Roman"/>
        </w:rPr>
        <w:t xml:space="preserve">boravak u </w:t>
      </w:r>
      <w:r w:rsidR="001D0926" w:rsidRPr="000D41ED">
        <w:rPr>
          <w:rFonts w:ascii="Times New Roman" w:eastAsia="Calibri" w:hAnsi="Times New Roman" w:cs="Times New Roman"/>
        </w:rPr>
        <w:t>sve radne dane) po osobi</w:t>
      </w:r>
      <w:r w:rsidR="00270922" w:rsidRPr="000D41ED">
        <w:rPr>
          <w:rFonts w:ascii="Times New Roman" w:eastAsia="Calibri" w:hAnsi="Times New Roman" w:cs="Times New Roman"/>
        </w:rPr>
        <w:t xml:space="preserve"> iznosi</w:t>
      </w:r>
      <w:r w:rsidR="00E52C54" w:rsidRPr="000D41ED">
        <w:rPr>
          <w:rFonts w:ascii="Times New Roman" w:eastAsia="Calibri" w:hAnsi="Times New Roman" w:cs="Times New Roman"/>
        </w:rPr>
        <w:t xml:space="preserve"> 4</w:t>
      </w:r>
      <w:r w:rsidR="00C8740A" w:rsidRPr="000D41ED">
        <w:rPr>
          <w:rFonts w:ascii="Times New Roman" w:eastAsia="Calibri" w:hAnsi="Times New Roman" w:cs="Times New Roman"/>
        </w:rPr>
        <w:t>30,00</w:t>
      </w:r>
      <w:r w:rsidR="00E52C54" w:rsidRPr="000D41ED">
        <w:rPr>
          <w:rFonts w:ascii="Times New Roman" w:eastAsia="Calibri" w:hAnsi="Times New Roman" w:cs="Times New Roman"/>
        </w:rPr>
        <w:t xml:space="preserve"> €</w:t>
      </w:r>
      <w:r w:rsidR="00262B21">
        <w:rPr>
          <w:rFonts w:ascii="Times New Roman" w:eastAsia="Calibri" w:hAnsi="Times New Roman" w:cs="Times New Roman"/>
        </w:rPr>
        <w:t>, što nije dovoljno za pokriće rashoda ove aktivnosti te se redovito ostvaruje manjak prihoda nad rashodima.</w:t>
      </w:r>
    </w:p>
    <w:p w14:paraId="51B0C113" w14:textId="0821F9EB" w:rsidR="00A566E5" w:rsidRPr="00BA3878" w:rsidRDefault="00E52C54" w:rsidP="00A566E5">
      <w:pPr>
        <w:rPr>
          <w:rFonts w:ascii="Times New Roman" w:eastAsia="Calibri" w:hAnsi="Times New Roman" w:cs="Times New Roman"/>
        </w:rPr>
      </w:pPr>
      <w:r w:rsidRPr="00BA3878">
        <w:rPr>
          <w:rFonts w:ascii="Times New Roman" w:eastAsia="Calibri" w:hAnsi="Times New Roman" w:cs="Times New Roman"/>
        </w:rPr>
        <w:lastRenderedPageBreak/>
        <w:t>R</w:t>
      </w:r>
      <w:r w:rsidR="00A566E5" w:rsidRPr="00BA3878">
        <w:rPr>
          <w:rFonts w:ascii="Times New Roman" w:eastAsia="Calibri" w:hAnsi="Times New Roman" w:cs="Times New Roman"/>
        </w:rPr>
        <w:t>ashode čine plaće zaposlenih (</w:t>
      </w:r>
      <w:r w:rsidR="0050125D" w:rsidRPr="00BA3878">
        <w:rPr>
          <w:rFonts w:ascii="Times New Roman" w:eastAsia="Calibri" w:hAnsi="Times New Roman" w:cs="Times New Roman"/>
        </w:rPr>
        <w:t>4</w:t>
      </w:r>
      <w:r w:rsidR="007B217C" w:rsidRPr="00BA3878">
        <w:rPr>
          <w:rFonts w:ascii="Times New Roman" w:eastAsia="Calibri" w:hAnsi="Times New Roman" w:cs="Times New Roman"/>
        </w:rPr>
        <w:t>, od čega su dvoje radni terapeuti</w:t>
      </w:r>
      <w:r w:rsidR="00A566E5" w:rsidRPr="00BA3878">
        <w:rPr>
          <w:rFonts w:ascii="Times New Roman" w:eastAsia="Calibri" w:hAnsi="Times New Roman" w:cs="Times New Roman"/>
        </w:rPr>
        <w:t>)</w:t>
      </w:r>
      <w:r w:rsidR="0050125D" w:rsidRPr="00BA3878">
        <w:rPr>
          <w:rFonts w:ascii="Times New Roman" w:eastAsia="Calibri" w:hAnsi="Times New Roman" w:cs="Times New Roman"/>
        </w:rPr>
        <w:t xml:space="preserve"> od </w:t>
      </w:r>
      <w:r w:rsidR="00262B21" w:rsidRPr="00BA3878">
        <w:rPr>
          <w:rFonts w:ascii="Times New Roman" w:eastAsia="Calibri" w:hAnsi="Times New Roman" w:cs="Times New Roman"/>
        </w:rPr>
        <w:t>71.768,12</w:t>
      </w:r>
      <w:r w:rsidR="0050125D" w:rsidRPr="00BA3878">
        <w:rPr>
          <w:rFonts w:ascii="Times New Roman" w:eastAsia="Calibri" w:hAnsi="Times New Roman" w:cs="Times New Roman"/>
        </w:rPr>
        <w:t xml:space="preserve"> €</w:t>
      </w:r>
      <w:r w:rsidR="00A566E5" w:rsidRPr="00BA3878">
        <w:rPr>
          <w:rFonts w:ascii="Times New Roman" w:eastAsia="Calibri" w:hAnsi="Times New Roman" w:cs="Times New Roman"/>
        </w:rPr>
        <w:t xml:space="preserve"> sa ostalim rashodima</w:t>
      </w:r>
      <w:r w:rsidR="00BA5D31" w:rsidRPr="00BA3878">
        <w:rPr>
          <w:rFonts w:ascii="Times New Roman" w:eastAsia="Calibri" w:hAnsi="Times New Roman" w:cs="Times New Roman"/>
        </w:rPr>
        <w:t xml:space="preserve"> za zaposlene</w:t>
      </w:r>
      <w:r w:rsidR="0050125D" w:rsidRPr="00BA3878">
        <w:rPr>
          <w:rFonts w:ascii="Times New Roman" w:eastAsia="Calibri" w:hAnsi="Times New Roman" w:cs="Times New Roman"/>
        </w:rPr>
        <w:t xml:space="preserve"> od 4.</w:t>
      </w:r>
      <w:r w:rsidR="00262B21" w:rsidRPr="00BA3878">
        <w:rPr>
          <w:rFonts w:ascii="Times New Roman" w:eastAsia="Calibri" w:hAnsi="Times New Roman" w:cs="Times New Roman"/>
        </w:rPr>
        <w:t>327,95</w:t>
      </w:r>
      <w:r w:rsidR="0050125D" w:rsidRPr="00BA3878">
        <w:rPr>
          <w:rFonts w:ascii="Times New Roman" w:eastAsia="Calibri" w:hAnsi="Times New Roman" w:cs="Times New Roman"/>
        </w:rPr>
        <w:t xml:space="preserve"> €</w:t>
      </w:r>
      <w:r w:rsidR="00A566E5" w:rsidRPr="00BA3878">
        <w:rPr>
          <w:rFonts w:ascii="Times New Roman" w:eastAsia="Calibri" w:hAnsi="Times New Roman" w:cs="Times New Roman"/>
        </w:rPr>
        <w:t xml:space="preserve">, doprinosima </w:t>
      </w:r>
      <w:r w:rsidR="0050125D" w:rsidRPr="00BA3878">
        <w:rPr>
          <w:rFonts w:ascii="Times New Roman" w:eastAsia="Calibri" w:hAnsi="Times New Roman" w:cs="Times New Roman"/>
        </w:rPr>
        <w:t xml:space="preserve">od </w:t>
      </w:r>
      <w:r w:rsidR="00262B21" w:rsidRPr="00BA3878">
        <w:rPr>
          <w:rFonts w:ascii="Times New Roman" w:eastAsia="Calibri" w:hAnsi="Times New Roman" w:cs="Times New Roman"/>
        </w:rPr>
        <w:t>11.841,71</w:t>
      </w:r>
      <w:r w:rsidR="0050125D" w:rsidRPr="00BA3878">
        <w:rPr>
          <w:rFonts w:ascii="Times New Roman" w:eastAsia="Calibri" w:hAnsi="Times New Roman" w:cs="Times New Roman"/>
        </w:rPr>
        <w:t xml:space="preserve"> € </w:t>
      </w:r>
      <w:r w:rsidR="00A566E5" w:rsidRPr="00BA3878">
        <w:rPr>
          <w:rFonts w:ascii="Times New Roman" w:eastAsia="Calibri" w:hAnsi="Times New Roman" w:cs="Times New Roman"/>
        </w:rPr>
        <w:t xml:space="preserve">i naknadama </w:t>
      </w:r>
      <w:r w:rsidR="00BA5D31" w:rsidRPr="00BA3878">
        <w:rPr>
          <w:rFonts w:ascii="Times New Roman" w:eastAsia="Calibri" w:hAnsi="Times New Roman" w:cs="Times New Roman"/>
        </w:rPr>
        <w:t xml:space="preserve">troškova </w:t>
      </w:r>
      <w:r w:rsidR="00A566E5" w:rsidRPr="00BA3878">
        <w:rPr>
          <w:rFonts w:ascii="Times New Roman" w:eastAsia="Calibri" w:hAnsi="Times New Roman" w:cs="Times New Roman"/>
        </w:rPr>
        <w:t>zaposlenima</w:t>
      </w:r>
      <w:r w:rsidR="0050125D" w:rsidRPr="00BA3878">
        <w:rPr>
          <w:rFonts w:ascii="Times New Roman" w:eastAsia="Calibri" w:hAnsi="Times New Roman" w:cs="Times New Roman"/>
        </w:rPr>
        <w:t xml:space="preserve"> od 2.</w:t>
      </w:r>
      <w:r w:rsidR="00262B21" w:rsidRPr="00BA3878">
        <w:rPr>
          <w:rFonts w:ascii="Times New Roman" w:eastAsia="Calibri" w:hAnsi="Times New Roman" w:cs="Times New Roman"/>
        </w:rPr>
        <w:t>519,80</w:t>
      </w:r>
      <w:r w:rsidR="0050125D" w:rsidRPr="00BA3878">
        <w:rPr>
          <w:rFonts w:ascii="Times New Roman" w:eastAsia="Calibri" w:hAnsi="Times New Roman" w:cs="Times New Roman"/>
        </w:rPr>
        <w:t xml:space="preserve"> €;</w:t>
      </w:r>
      <w:r w:rsidR="00063AED" w:rsidRPr="00BA3878">
        <w:rPr>
          <w:rFonts w:ascii="Times New Roman" w:eastAsia="Calibri" w:hAnsi="Times New Roman" w:cs="Times New Roman"/>
        </w:rPr>
        <w:t xml:space="preserve"> </w:t>
      </w:r>
      <w:r w:rsidR="00A566E5" w:rsidRPr="00BA3878">
        <w:rPr>
          <w:rFonts w:ascii="Times New Roman" w:eastAsia="Calibri" w:hAnsi="Times New Roman" w:cs="Times New Roman"/>
        </w:rPr>
        <w:t>rashodi za materijal</w:t>
      </w:r>
      <w:r w:rsidR="00063AED" w:rsidRPr="00BA3878">
        <w:rPr>
          <w:rFonts w:ascii="Times New Roman" w:eastAsia="Calibri" w:hAnsi="Times New Roman" w:cs="Times New Roman"/>
        </w:rPr>
        <w:t xml:space="preserve"> </w:t>
      </w:r>
      <w:r w:rsidR="0050125D" w:rsidRPr="00BA3878">
        <w:rPr>
          <w:rFonts w:ascii="Times New Roman" w:eastAsia="Calibri" w:hAnsi="Times New Roman" w:cs="Times New Roman"/>
        </w:rPr>
        <w:t>od</w:t>
      </w:r>
      <w:r w:rsidR="00262B21" w:rsidRPr="00BA3878">
        <w:rPr>
          <w:rFonts w:ascii="Times New Roman" w:eastAsia="Calibri" w:hAnsi="Times New Roman" w:cs="Times New Roman"/>
        </w:rPr>
        <w:t xml:space="preserve"> 857,52</w:t>
      </w:r>
      <w:r w:rsidR="0050125D" w:rsidRPr="00BA3878">
        <w:rPr>
          <w:rFonts w:ascii="Times New Roman" w:eastAsia="Calibri" w:hAnsi="Times New Roman" w:cs="Times New Roman"/>
        </w:rPr>
        <w:t xml:space="preserve"> € </w:t>
      </w:r>
      <w:r w:rsidR="00063AED" w:rsidRPr="00BA3878">
        <w:rPr>
          <w:rFonts w:ascii="Times New Roman" w:eastAsia="Calibri" w:hAnsi="Times New Roman" w:cs="Times New Roman"/>
        </w:rPr>
        <w:t xml:space="preserve">i </w:t>
      </w:r>
      <w:r w:rsidR="00A566E5" w:rsidRPr="00BA3878">
        <w:rPr>
          <w:rFonts w:ascii="Times New Roman" w:eastAsia="Calibri" w:hAnsi="Times New Roman" w:cs="Times New Roman"/>
        </w:rPr>
        <w:t>rashodi za usluge</w:t>
      </w:r>
      <w:r w:rsidR="0050125D" w:rsidRPr="00BA3878">
        <w:rPr>
          <w:rFonts w:ascii="Times New Roman" w:eastAsia="Calibri" w:hAnsi="Times New Roman" w:cs="Times New Roman"/>
        </w:rPr>
        <w:t xml:space="preserve"> od </w:t>
      </w:r>
      <w:r w:rsidR="00262B21" w:rsidRPr="00BA3878">
        <w:rPr>
          <w:rFonts w:ascii="Times New Roman" w:eastAsia="Calibri" w:hAnsi="Times New Roman" w:cs="Times New Roman"/>
        </w:rPr>
        <w:t>115,99</w:t>
      </w:r>
      <w:r w:rsidR="007B217C" w:rsidRPr="00BA3878">
        <w:rPr>
          <w:rFonts w:ascii="Times New Roman" w:eastAsia="Calibri" w:hAnsi="Times New Roman" w:cs="Times New Roman"/>
        </w:rPr>
        <w:t xml:space="preserve"> €.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194"/>
        <w:gridCol w:w="1677"/>
        <w:gridCol w:w="1411"/>
        <w:gridCol w:w="1282"/>
        <w:gridCol w:w="1151"/>
        <w:gridCol w:w="1129"/>
        <w:gridCol w:w="1218"/>
      </w:tblGrid>
      <w:tr w:rsidR="00366E90" w14:paraId="7E8BE2CC" w14:textId="77777777" w:rsidTr="00B43B6A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3189D341" w14:textId="77777777" w:rsidR="00366E90" w:rsidRDefault="00366E90" w:rsidP="00B43B6A">
            <w:pPr>
              <w:jc w:val="center"/>
            </w:pPr>
          </w:p>
          <w:p w14:paraId="0F7A2953" w14:textId="77777777" w:rsidR="00366E90" w:rsidRDefault="00366E90" w:rsidP="00B43B6A">
            <w:pPr>
              <w:jc w:val="center"/>
            </w:pPr>
            <w:r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5C901E48" w14:textId="77777777" w:rsidR="00366E90" w:rsidRDefault="00366E90" w:rsidP="00B43B6A">
            <w:pPr>
              <w:jc w:val="center"/>
            </w:pPr>
          </w:p>
          <w:p w14:paraId="1FE694CA" w14:textId="77777777" w:rsidR="00366E90" w:rsidRDefault="00366E90" w:rsidP="00B43B6A">
            <w:pPr>
              <w:jc w:val="center"/>
            </w:pPr>
            <w:r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6BE6BAAF" w14:textId="77777777" w:rsidR="00366E90" w:rsidRDefault="00366E90" w:rsidP="00B43B6A">
            <w:pPr>
              <w:jc w:val="center"/>
            </w:pPr>
          </w:p>
          <w:p w14:paraId="0D94B959" w14:textId="77777777" w:rsidR="00366E90" w:rsidRDefault="00366E90" w:rsidP="00B43B6A">
            <w:pPr>
              <w:jc w:val="center"/>
            </w:pPr>
            <w:r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1D9742DB" w14:textId="77777777" w:rsidR="00366E90" w:rsidRDefault="00366E90" w:rsidP="00B43B6A">
            <w:pPr>
              <w:jc w:val="center"/>
            </w:pPr>
          </w:p>
          <w:p w14:paraId="4EEC95E3" w14:textId="77777777" w:rsidR="00366E90" w:rsidRDefault="00366E90" w:rsidP="00B43B6A">
            <w:pPr>
              <w:jc w:val="center"/>
            </w:pPr>
            <w:r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653F067F" w14:textId="77777777" w:rsidR="00366E90" w:rsidRDefault="00366E90" w:rsidP="00B43B6A">
            <w:pPr>
              <w:jc w:val="center"/>
            </w:pPr>
          </w:p>
          <w:p w14:paraId="3DE91898" w14:textId="77777777" w:rsidR="00366E90" w:rsidRDefault="00366E90" w:rsidP="00B43B6A">
            <w:pPr>
              <w:jc w:val="center"/>
            </w:pPr>
            <w:r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32614C9F" w14:textId="676C1579" w:rsidR="00366E90" w:rsidRDefault="00366E90" w:rsidP="00B43B6A">
            <w:pPr>
              <w:jc w:val="center"/>
            </w:pPr>
            <w:r>
              <w:t>Ciljana vrijednost za 202</w:t>
            </w:r>
            <w:r w:rsidR="00AC1F28">
              <w:t>4</w:t>
            </w:r>
            <w:r>
              <w:t>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59C53B97" w14:textId="3C0E6D1F" w:rsidR="00366E90" w:rsidRDefault="00366E90" w:rsidP="00B43B6A">
            <w:pPr>
              <w:jc w:val="center"/>
            </w:pPr>
            <w:r>
              <w:t>Ostvarenje na dan 31.12.202</w:t>
            </w:r>
            <w:r w:rsidR="00AC1F28">
              <w:t>4</w:t>
            </w:r>
            <w:r>
              <w:t>.</w:t>
            </w:r>
          </w:p>
        </w:tc>
      </w:tr>
      <w:tr w:rsidR="00366E90" w14:paraId="65120D63" w14:textId="77777777" w:rsidTr="00B43B6A">
        <w:tc>
          <w:tcPr>
            <w:tcW w:w="12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AF3C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31B765D7" w14:textId="77777777" w:rsidR="00366E90" w:rsidRPr="00CD79CE" w:rsidRDefault="00366E90" w:rsidP="00B43B6A">
            <w:r w:rsidRPr="00CD79CE">
              <w:rPr>
                <w:lang w:eastAsia="hr-HR"/>
              </w:rPr>
              <w:t>Broj korisnika socijalne usluge poludnevni boravak</w:t>
            </w:r>
          </w:p>
        </w:tc>
        <w:tc>
          <w:tcPr>
            <w:tcW w:w="1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C929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759424D9" w14:textId="77777777" w:rsidR="00366E90" w:rsidRPr="00CD79CE" w:rsidRDefault="00366E90" w:rsidP="00B43B6A">
            <w:r w:rsidRPr="00CD79CE">
              <w:rPr>
                <w:lang w:eastAsia="hr-HR"/>
              </w:rPr>
              <w:t>Provođenje radne terapije kroz tri područja: samozbrinjavanje, produktivnost i slobodno vrijeme.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9BCE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48A41B28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Broj korisnika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7E5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12DFD848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18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FEB3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2CCFE9E0" w14:textId="77777777" w:rsidR="00366E90" w:rsidRPr="00CD79CE" w:rsidRDefault="00366E90" w:rsidP="00B43B6A">
            <w:r w:rsidRPr="00CD79CE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0FD7" w14:textId="77777777" w:rsidR="00366E90" w:rsidRPr="00CD79CE" w:rsidRDefault="00366E90" w:rsidP="00B43B6A">
            <w:pPr>
              <w:jc w:val="both"/>
              <w:rPr>
                <w:lang w:eastAsia="hr-HR"/>
              </w:rPr>
            </w:pPr>
          </w:p>
          <w:p w14:paraId="6408804C" w14:textId="77777777" w:rsidR="00366E90" w:rsidRPr="00CD79CE" w:rsidRDefault="00366E90" w:rsidP="00B43B6A">
            <w:pPr>
              <w:jc w:val="center"/>
            </w:pPr>
            <w:r w:rsidRPr="00CD79CE">
              <w:rPr>
                <w:lang w:eastAsia="hr-HR"/>
              </w:rPr>
              <w:t>18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352ED19B" w14:textId="77777777" w:rsidR="00366E90" w:rsidRDefault="00366E90" w:rsidP="00B43B6A"/>
          <w:p w14:paraId="602BF3A9" w14:textId="1D955AAF" w:rsidR="00366E90" w:rsidRDefault="00366E90" w:rsidP="00B43B6A">
            <w:pPr>
              <w:jc w:val="center"/>
            </w:pPr>
            <w:r>
              <w:t>1</w:t>
            </w:r>
            <w:r w:rsidR="00AC1F28">
              <w:t>8</w:t>
            </w:r>
          </w:p>
          <w:p w14:paraId="112F77C2" w14:textId="77777777" w:rsidR="00366E90" w:rsidRDefault="00366E90" w:rsidP="00B43B6A">
            <w:pPr>
              <w:jc w:val="center"/>
            </w:pPr>
          </w:p>
        </w:tc>
      </w:tr>
    </w:tbl>
    <w:p w14:paraId="27EB6272" w14:textId="77777777" w:rsidR="00366E90" w:rsidRPr="00823CE1" w:rsidRDefault="00366E90" w:rsidP="00A566E5">
      <w:pPr>
        <w:rPr>
          <w:rFonts w:ascii="Times New Roman" w:eastAsia="Calibri" w:hAnsi="Times New Roman" w:cs="Times New Roman"/>
        </w:rPr>
      </w:pPr>
    </w:p>
    <w:p w14:paraId="04EBD4C4" w14:textId="00B3FA78" w:rsidR="00A20114" w:rsidRDefault="00A20114" w:rsidP="00A20114">
      <w:pPr>
        <w:rPr>
          <w:rFonts w:ascii="Times New Roman" w:eastAsia="Calibri" w:hAnsi="Times New Roman" w:cs="Times New Roman"/>
          <w:u w:val="single"/>
        </w:rPr>
      </w:pPr>
      <w:r w:rsidRPr="00E569F4">
        <w:rPr>
          <w:rFonts w:ascii="Times New Roman" w:eastAsia="Calibri" w:hAnsi="Times New Roman" w:cs="Times New Roman"/>
          <w:u w:val="single"/>
        </w:rPr>
        <w:t>Aktivnost A300329: Didaktika, po</w:t>
      </w:r>
      <w:r>
        <w:rPr>
          <w:rFonts w:ascii="Times New Roman" w:eastAsia="Calibri" w:hAnsi="Times New Roman" w:cs="Times New Roman"/>
          <w:u w:val="single"/>
        </w:rPr>
        <w:t xml:space="preserve">magala </w:t>
      </w:r>
    </w:p>
    <w:p w14:paraId="664E1507" w14:textId="44EE102E" w:rsidR="00A20114" w:rsidRPr="000349A1" w:rsidRDefault="00A20114" w:rsidP="00A20114">
      <w:pPr>
        <w:rPr>
          <w:rFonts w:ascii="Times New Roman" w:eastAsia="Calibri" w:hAnsi="Times New Roman" w:cs="Times New Roman"/>
        </w:rPr>
      </w:pPr>
      <w:r w:rsidRPr="000349A1">
        <w:rPr>
          <w:rFonts w:ascii="Times New Roman" w:eastAsia="Calibri" w:hAnsi="Times New Roman" w:cs="Times New Roman"/>
        </w:rPr>
        <w:t>Rashodi ove aktivnosti su ostvareni od sredstava pomoći MZO</w:t>
      </w:r>
      <w:r w:rsidR="00AA02F8" w:rsidRPr="000349A1">
        <w:rPr>
          <w:rFonts w:ascii="Times New Roman" w:eastAsia="Calibri" w:hAnsi="Times New Roman" w:cs="Times New Roman"/>
        </w:rPr>
        <w:t xml:space="preserve">M </w:t>
      </w:r>
      <w:r w:rsidRPr="000349A1">
        <w:rPr>
          <w:rFonts w:ascii="Times New Roman" w:eastAsia="Calibri" w:hAnsi="Times New Roman" w:cs="Times New Roman"/>
        </w:rPr>
        <w:t xml:space="preserve">i donacija. Ministarstvo </w:t>
      </w:r>
      <w:r w:rsidR="00D826FC" w:rsidRPr="000349A1">
        <w:rPr>
          <w:rFonts w:ascii="Times New Roman" w:eastAsia="Calibri" w:hAnsi="Times New Roman" w:cs="Times New Roman"/>
        </w:rPr>
        <w:t xml:space="preserve">dodatno </w:t>
      </w:r>
      <w:r w:rsidRPr="000349A1">
        <w:rPr>
          <w:rFonts w:ascii="Times New Roman" w:eastAsia="Calibri" w:hAnsi="Times New Roman" w:cs="Times New Roman"/>
        </w:rPr>
        <w:t xml:space="preserve">financira mjesečno za fotokopirni materijal, didaktička sredstva i nastavna pomagala te povećana sredstva za higijenu i čišćenje; također </w:t>
      </w:r>
      <w:r w:rsidR="00D826FC" w:rsidRPr="000349A1">
        <w:rPr>
          <w:rFonts w:ascii="Times New Roman" w:eastAsia="Calibri" w:hAnsi="Times New Roman" w:cs="Times New Roman"/>
        </w:rPr>
        <w:t>i</w:t>
      </w:r>
      <w:r w:rsidRPr="000349A1">
        <w:rPr>
          <w:rFonts w:ascii="Times New Roman" w:eastAsia="Calibri" w:hAnsi="Times New Roman" w:cs="Times New Roman"/>
        </w:rPr>
        <w:t xml:space="preserve"> po učeniku koji pohađaju program produženog stručnog postupka. </w:t>
      </w:r>
    </w:p>
    <w:p w14:paraId="27A7B7E6" w14:textId="0BD1EF7E" w:rsidR="00167963" w:rsidRPr="000349A1" w:rsidRDefault="00167963" w:rsidP="00A20114">
      <w:pPr>
        <w:rPr>
          <w:rFonts w:ascii="Times New Roman" w:eastAsia="Calibri" w:hAnsi="Times New Roman" w:cs="Times New Roman"/>
        </w:rPr>
      </w:pPr>
      <w:r w:rsidRPr="000349A1">
        <w:rPr>
          <w:rFonts w:ascii="Times New Roman" w:eastAsia="Calibri" w:hAnsi="Times New Roman" w:cs="Times New Roman"/>
        </w:rPr>
        <w:t xml:space="preserve">Za rashode </w:t>
      </w:r>
      <w:r w:rsidR="00BA3878" w:rsidRPr="000349A1">
        <w:rPr>
          <w:rFonts w:ascii="Times New Roman" w:eastAsia="Calibri" w:hAnsi="Times New Roman" w:cs="Times New Roman"/>
        </w:rPr>
        <w:t xml:space="preserve">za materijal </w:t>
      </w:r>
      <w:r w:rsidRPr="000349A1">
        <w:rPr>
          <w:rFonts w:ascii="Times New Roman" w:eastAsia="Calibri" w:hAnsi="Times New Roman" w:cs="Times New Roman"/>
        </w:rPr>
        <w:t xml:space="preserve">utrošeno je </w:t>
      </w:r>
      <w:r w:rsidR="00BA3878" w:rsidRPr="000349A1">
        <w:rPr>
          <w:rFonts w:ascii="Times New Roman" w:eastAsia="Calibri" w:hAnsi="Times New Roman" w:cs="Times New Roman"/>
        </w:rPr>
        <w:t>3.355,65</w:t>
      </w:r>
      <w:r w:rsidR="00D826FC" w:rsidRPr="000349A1">
        <w:rPr>
          <w:rFonts w:ascii="Times New Roman" w:eastAsia="Calibri" w:hAnsi="Times New Roman" w:cs="Times New Roman"/>
        </w:rPr>
        <w:t xml:space="preserve"> €</w:t>
      </w:r>
      <w:r w:rsidRPr="000349A1">
        <w:rPr>
          <w:rFonts w:ascii="Times New Roman" w:eastAsia="Calibri" w:hAnsi="Times New Roman" w:cs="Times New Roman"/>
        </w:rPr>
        <w:t xml:space="preserve">, </w:t>
      </w:r>
      <w:r w:rsidR="00081CA9" w:rsidRPr="000349A1">
        <w:rPr>
          <w:rFonts w:ascii="Times New Roman" w:eastAsia="Calibri" w:hAnsi="Times New Roman" w:cs="Times New Roman"/>
        </w:rPr>
        <w:t>od toga</w:t>
      </w:r>
      <w:r w:rsidRPr="000349A1">
        <w:rPr>
          <w:rFonts w:ascii="Times New Roman" w:eastAsia="Calibri" w:hAnsi="Times New Roman" w:cs="Times New Roman"/>
        </w:rPr>
        <w:t xml:space="preserve"> iz tekuće pomoći MZO</w:t>
      </w:r>
      <w:r w:rsidR="00AA02F8" w:rsidRPr="000349A1">
        <w:rPr>
          <w:rFonts w:ascii="Times New Roman" w:eastAsia="Calibri" w:hAnsi="Times New Roman" w:cs="Times New Roman"/>
        </w:rPr>
        <w:t>M</w:t>
      </w:r>
      <w:r w:rsidR="00F15D00" w:rsidRPr="000349A1">
        <w:rPr>
          <w:rFonts w:ascii="Times New Roman" w:eastAsia="Calibri" w:hAnsi="Times New Roman" w:cs="Times New Roman"/>
        </w:rPr>
        <w:t>-a</w:t>
      </w:r>
      <w:r w:rsidR="00081CA9" w:rsidRPr="000349A1">
        <w:rPr>
          <w:rFonts w:ascii="Times New Roman" w:eastAsia="Calibri" w:hAnsi="Times New Roman" w:cs="Times New Roman"/>
        </w:rPr>
        <w:t xml:space="preserve"> </w:t>
      </w:r>
      <w:r w:rsidR="00BA3878" w:rsidRPr="000349A1">
        <w:rPr>
          <w:rFonts w:ascii="Times New Roman" w:eastAsia="Calibri" w:hAnsi="Times New Roman" w:cs="Times New Roman"/>
        </w:rPr>
        <w:t>2.694,72</w:t>
      </w:r>
      <w:r w:rsidR="00353FC1" w:rsidRPr="000349A1">
        <w:rPr>
          <w:rFonts w:ascii="Times New Roman" w:eastAsia="Calibri" w:hAnsi="Times New Roman" w:cs="Times New Roman"/>
        </w:rPr>
        <w:t xml:space="preserve"> €, a od</w:t>
      </w:r>
      <w:r w:rsidR="00081CA9" w:rsidRPr="000349A1">
        <w:rPr>
          <w:rFonts w:ascii="Times New Roman" w:eastAsia="Calibri" w:hAnsi="Times New Roman" w:cs="Times New Roman"/>
        </w:rPr>
        <w:t xml:space="preserve"> donacija </w:t>
      </w:r>
      <w:r w:rsidR="00BA3878" w:rsidRPr="000349A1">
        <w:rPr>
          <w:rFonts w:ascii="Times New Roman" w:eastAsia="Calibri" w:hAnsi="Times New Roman" w:cs="Times New Roman"/>
        </w:rPr>
        <w:t>660,93</w:t>
      </w:r>
      <w:r w:rsidR="00D826FC" w:rsidRPr="000349A1">
        <w:rPr>
          <w:rFonts w:ascii="Times New Roman" w:eastAsia="Calibri" w:hAnsi="Times New Roman" w:cs="Times New Roman"/>
        </w:rPr>
        <w:t xml:space="preserve"> €</w:t>
      </w:r>
      <w:r w:rsidR="00BA3878" w:rsidRPr="000349A1">
        <w:rPr>
          <w:rFonts w:ascii="Times New Roman" w:eastAsia="Calibri" w:hAnsi="Times New Roman" w:cs="Times New Roman"/>
        </w:rPr>
        <w:t>,</w:t>
      </w:r>
      <w:r w:rsidR="000349A1" w:rsidRPr="000349A1">
        <w:rPr>
          <w:rFonts w:ascii="Times New Roman" w:eastAsia="Calibri" w:hAnsi="Times New Roman" w:cs="Times New Roman"/>
        </w:rPr>
        <w:t xml:space="preserve"> </w:t>
      </w:r>
      <w:r w:rsidR="00BA3878" w:rsidRPr="000349A1">
        <w:rPr>
          <w:rFonts w:ascii="Times New Roman" w:eastAsia="Calibri" w:hAnsi="Times New Roman" w:cs="Times New Roman"/>
        </w:rPr>
        <w:t>za usluge</w:t>
      </w:r>
      <w:r w:rsidR="000349A1" w:rsidRPr="000349A1">
        <w:rPr>
          <w:rFonts w:ascii="Times New Roman" w:eastAsia="Calibri" w:hAnsi="Times New Roman" w:cs="Times New Roman"/>
        </w:rPr>
        <w:t xml:space="preserve"> 100,00 € od donacija i z</w:t>
      </w:r>
      <w:r w:rsidR="00C33A49" w:rsidRPr="000349A1">
        <w:rPr>
          <w:rFonts w:ascii="Times New Roman" w:eastAsia="Calibri" w:hAnsi="Times New Roman" w:cs="Times New Roman"/>
        </w:rPr>
        <w:t>a ostale rashode poslovanja</w:t>
      </w:r>
      <w:r w:rsidR="000349A1" w:rsidRPr="000349A1">
        <w:rPr>
          <w:rFonts w:ascii="Times New Roman" w:eastAsia="Calibri" w:hAnsi="Times New Roman" w:cs="Times New Roman"/>
        </w:rPr>
        <w:t xml:space="preserve"> </w:t>
      </w:r>
      <w:r w:rsidR="00BA3878" w:rsidRPr="000349A1">
        <w:rPr>
          <w:rFonts w:ascii="Times New Roman" w:eastAsia="Calibri" w:hAnsi="Times New Roman" w:cs="Times New Roman"/>
        </w:rPr>
        <w:t>102,55</w:t>
      </w:r>
      <w:r w:rsidR="00C33A49" w:rsidRPr="000349A1">
        <w:rPr>
          <w:rFonts w:ascii="Times New Roman" w:eastAsia="Calibri" w:hAnsi="Times New Roman" w:cs="Times New Roman"/>
        </w:rPr>
        <w:t xml:space="preserve"> € od donacija.</w:t>
      </w:r>
    </w:p>
    <w:p w14:paraId="3E39D6CC" w14:textId="7A7A7990" w:rsidR="000349A1" w:rsidRPr="000349A1" w:rsidRDefault="000349A1" w:rsidP="00A20114">
      <w:pPr>
        <w:rPr>
          <w:rFonts w:ascii="Times New Roman" w:eastAsia="Calibri" w:hAnsi="Times New Roman" w:cs="Times New Roman"/>
        </w:rPr>
      </w:pPr>
      <w:r w:rsidRPr="000349A1">
        <w:rPr>
          <w:rFonts w:ascii="Times New Roman" w:eastAsia="Calibri" w:hAnsi="Times New Roman" w:cs="Times New Roman"/>
        </w:rPr>
        <w:t>Također je od donacija financirana nabava nefinancijske imovine (posebno prilagođeni tricikl) u vrijednosti od 2.268,51 €.</w:t>
      </w:r>
    </w:p>
    <w:p w14:paraId="6846B889" w14:textId="77777777" w:rsidR="004C2DCF" w:rsidRPr="004C2DCF" w:rsidRDefault="00802D68" w:rsidP="0051199C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Aktivnost A30033</w:t>
      </w:r>
      <w:r w:rsidR="004C2DCF">
        <w:rPr>
          <w:rFonts w:ascii="Times New Roman" w:eastAsia="Calibri" w:hAnsi="Times New Roman" w:cs="Times New Roman"/>
          <w:u w:val="single"/>
        </w:rPr>
        <w:t>5: U</w:t>
      </w:r>
      <w:r w:rsidR="004C2DCF" w:rsidRPr="004C2DCF">
        <w:rPr>
          <w:rFonts w:ascii="Times New Roman" w:eastAsia="Calibri" w:hAnsi="Times New Roman" w:cs="Times New Roman"/>
          <w:u w:val="single"/>
        </w:rPr>
        <w:t>napređenje standarda u školama</w:t>
      </w:r>
      <w:r w:rsidR="00022562" w:rsidRPr="004C2DCF">
        <w:rPr>
          <w:rFonts w:ascii="Times New Roman" w:eastAsia="Calibri" w:hAnsi="Times New Roman" w:cs="Times New Roman"/>
          <w:u w:val="single"/>
        </w:rPr>
        <w:tab/>
      </w:r>
    </w:p>
    <w:p w14:paraId="7C2252A2" w14:textId="3E56EB6B" w:rsidR="002A3AE1" w:rsidRPr="0006492A" w:rsidRDefault="00A87490" w:rsidP="0051199C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>O</w:t>
      </w:r>
      <w:r w:rsidR="00802D68" w:rsidRPr="0006492A">
        <w:rPr>
          <w:rFonts w:ascii="Times New Roman" w:eastAsia="Calibri" w:hAnsi="Times New Roman" w:cs="Times New Roman"/>
        </w:rPr>
        <w:t xml:space="preserve">d planiranih </w:t>
      </w:r>
      <w:r w:rsidR="00F15D00" w:rsidRPr="0006492A">
        <w:rPr>
          <w:rFonts w:ascii="Times New Roman" w:eastAsia="Calibri" w:hAnsi="Times New Roman" w:cs="Times New Roman"/>
        </w:rPr>
        <w:t>1</w:t>
      </w:r>
      <w:r w:rsidR="00FE5FC8" w:rsidRPr="0006492A">
        <w:rPr>
          <w:rFonts w:ascii="Times New Roman" w:eastAsia="Calibri" w:hAnsi="Times New Roman" w:cs="Times New Roman"/>
        </w:rPr>
        <w:t>9</w:t>
      </w:r>
      <w:r w:rsidR="000349A1" w:rsidRPr="0006492A">
        <w:rPr>
          <w:rFonts w:ascii="Times New Roman" w:eastAsia="Calibri" w:hAnsi="Times New Roman" w:cs="Times New Roman"/>
        </w:rPr>
        <w:t>2.339</w:t>
      </w:r>
      <w:r w:rsidR="00F15D00" w:rsidRPr="0006492A">
        <w:rPr>
          <w:rFonts w:ascii="Times New Roman" w:eastAsia="Calibri" w:hAnsi="Times New Roman" w:cs="Times New Roman"/>
        </w:rPr>
        <w:t>,00 €</w:t>
      </w:r>
      <w:r w:rsidR="00802D68" w:rsidRPr="0006492A">
        <w:rPr>
          <w:rFonts w:ascii="Times New Roman" w:eastAsia="Calibri" w:hAnsi="Times New Roman" w:cs="Times New Roman"/>
        </w:rPr>
        <w:t xml:space="preserve"> </w:t>
      </w:r>
      <w:r w:rsidRPr="0006492A">
        <w:rPr>
          <w:rFonts w:ascii="Times New Roman" w:eastAsia="Calibri" w:hAnsi="Times New Roman" w:cs="Times New Roman"/>
        </w:rPr>
        <w:t>izvršeno je 1</w:t>
      </w:r>
      <w:r w:rsidR="000349A1" w:rsidRPr="0006492A">
        <w:rPr>
          <w:rFonts w:ascii="Times New Roman" w:eastAsia="Calibri" w:hAnsi="Times New Roman" w:cs="Times New Roman"/>
        </w:rPr>
        <w:t>86.703,18</w:t>
      </w:r>
      <w:r w:rsidR="00F15D00" w:rsidRPr="0006492A">
        <w:rPr>
          <w:rFonts w:ascii="Times New Roman" w:eastAsia="Calibri" w:hAnsi="Times New Roman" w:cs="Times New Roman"/>
        </w:rPr>
        <w:t xml:space="preserve"> €</w:t>
      </w:r>
      <w:r w:rsidRPr="0006492A">
        <w:rPr>
          <w:rFonts w:ascii="Times New Roman" w:eastAsia="Calibri" w:hAnsi="Times New Roman" w:cs="Times New Roman"/>
        </w:rPr>
        <w:t xml:space="preserve"> rashod</w:t>
      </w:r>
      <w:r w:rsidR="00F15D00" w:rsidRPr="0006492A">
        <w:rPr>
          <w:rFonts w:ascii="Times New Roman" w:eastAsia="Calibri" w:hAnsi="Times New Roman" w:cs="Times New Roman"/>
        </w:rPr>
        <w:t xml:space="preserve">a što daje indeks od </w:t>
      </w:r>
      <w:r w:rsidR="000349A1" w:rsidRPr="0006492A">
        <w:rPr>
          <w:rFonts w:ascii="Times New Roman" w:eastAsia="Calibri" w:hAnsi="Times New Roman" w:cs="Times New Roman"/>
        </w:rPr>
        <w:t>97,07</w:t>
      </w:r>
      <w:r w:rsidR="00F15D00" w:rsidRPr="0006492A">
        <w:rPr>
          <w:rFonts w:ascii="Times New Roman" w:eastAsia="Calibri" w:hAnsi="Times New Roman" w:cs="Times New Roman"/>
        </w:rPr>
        <w:t>.</w:t>
      </w:r>
      <w:r w:rsidR="006F231A" w:rsidRPr="0006492A">
        <w:rPr>
          <w:rFonts w:ascii="Times New Roman" w:eastAsia="Calibri" w:hAnsi="Times New Roman" w:cs="Times New Roman"/>
        </w:rPr>
        <w:t xml:space="preserve"> </w:t>
      </w:r>
    </w:p>
    <w:p w14:paraId="19538EA3" w14:textId="31882456" w:rsidR="006B08FE" w:rsidRPr="0006492A" w:rsidRDefault="006F231A" w:rsidP="0051199C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 xml:space="preserve">Najveći iznos odnosi se na rashode </w:t>
      </w:r>
      <w:r w:rsidR="00534B95" w:rsidRPr="0006492A">
        <w:rPr>
          <w:rFonts w:ascii="Times New Roman" w:eastAsia="Calibri" w:hAnsi="Times New Roman" w:cs="Times New Roman"/>
        </w:rPr>
        <w:t xml:space="preserve">za </w:t>
      </w:r>
      <w:r w:rsidRPr="0006492A">
        <w:rPr>
          <w:rFonts w:ascii="Times New Roman" w:eastAsia="Calibri" w:hAnsi="Times New Roman" w:cs="Times New Roman"/>
        </w:rPr>
        <w:t>prijevoz učenika</w:t>
      </w:r>
      <w:r w:rsidR="002A3AE1" w:rsidRPr="0006492A">
        <w:rPr>
          <w:rFonts w:ascii="Times New Roman" w:eastAsia="Calibri" w:hAnsi="Times New Roman" w:cs="Times New Roman"/>
        </w:rPr>
        <w:t xml:space="preserve"> koje financira</w:t>
      </w:r>
      <w:r w:rsidRPr="0006492A">
        <w:rPr>
          <w:rFonts w:ascii="Times New Roman" w:eastAsia="Calibri" w:hAnsi="Times New Roman" w:cs="Times New Roman"/>
        </w:rPr>
        <w:t xml:space="preserve"> nadležno ministarstvo</w:t>
      </w:r>
      <w:r w:rsidR="006C258C" w:rsidRPr="0006492A">
        <w:rPr>
          <w:rFonts w:ascii="Times New Roman" w:eastAsia="Calibri" w:hAnsi="Times New Roman" w:cs="Times New Roman"/>
        </w:rPr>
        <w:t xml:space="preserve">, što je iznosilo </w:t>
      </w:r>
      <w:r w:rsidR="00FE5FC8" w:rsidRPr="0006492A">
        <w:rPr>
          <w:rFonts w:ascii="Times New Roman" w:eastAsia="Calibri" w:hAnsi="Times New Roman" w:cs="Times New Roman"/>
        </w:rPr>
        <w:t>1</w:t>
      </w:r>
      <w:r w:rsidR="000349A1" w:rsidRPr="0006492A">
        <w:rPr>
          <w:rFonts w:ascii="Times New Roman" w:eastAsia="Calibri" w:hAnsi="Times New Roman" w:cs="Times New Roman"/>
        </w:rPr>
        <w:t>55.437,27</w:t>
      </w:r>
      <w:r w:rsidR="00F15D00" w:rsidRPr="0006492A">
        <w:rPr>
          <w:rFonts w:ascii="Times New Roman" w:eastAsia="Calibri" w:hAnsi="Times New Roman" w:cs="Times New Roman"/>
        </w:rPr>
        <w:t xml:space="preserve"> € prema planiranih 1</w:t>
      </w:r>
      <w:r w:rsidR="00FE5FC8" w:rsidRPr="0006492A">
        <w:rPr>
          <w:rFonts w:ascii="Times New Roman" w:eastAsia="Calibri" w:hAnsi="Times New Roman" w:cs="Times New Roman"/>
        </w:rPr>
        <w:t>6</w:t>
      </w:r>
      <w:r w:rsidR="000349A1" w:rsidRPr="0006492A">
        <w:rPr>
          <w:rFonts w:ascii="Times New Roman" w:eastAsia="Calibri" w:hAnsi="Times New Roman" w:cs="Times New Roman"/>
        </w:rPr>
        <w:t>0</w:t>
      </w:r>
      <w:r w:rsidR="00FE5FC8" w:rsidRPr="0006492A">
        <w:rPr>
          <w:rFonts w:ascii="Times New Roman" w:eastAsia="Calibri" w:hAnsi="Times New Roman" w:cs="Times New Roman"/>
        </w:rPr>
        <w:t>.000</w:t>
      </w:r>
      <w:r w:rsidR="00F15D00" w:rsidRPr="0006492A">
        <w:rPr>
          <w:rFonts w:ascii="Times New Roman" w:eastAsia="Calibri" w:hAnsi="Times New Roman" w:cs="Times New Roman"/>
        </w:rPr>
        <w:t>,00 €</w:t>
      </w:r>
      <w:r w:rsidR="00B2352F" w:rsidRPr="0006492A">
        <w:rPr>
          <w:rFonts w:ascii="Times New Roman" w:eastAsia="Calibri" w:hAnsi="Times New Roman" w:cs="Times New Roman"/>
        </w:rPr>
        <w:t>, što uključuje troškove organiziranog prijevoza, dizel goriva za školske kombije i naknade pratiteljima učenika.</w:t>
      </w:r>
    </w:p>
    <w:p w14:paraId="503957B2" w14:textId="6268B0D6" w:rsidR="00B96169" w:rsidRPr="0006492A" w:rsidRDefault="00B96169" w:rsidP="00B96169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 xml:space="preserve">Za namirnice za školsku kuhinju po osnovi </w:t>
      </w:r>
      <w:r w:rsidR="00EE4BFE" w:rsidRPr="0006492A">
        <w:rPr>
          <w:rFonts w:ascii="Times New Roman" w:eastAsia="Calibri" w:hAnsi="Times New Roman" w:cs="Times New Roman"/>
        </w:rPr>
        <w:t>pomoći</w:t>
      </w:r>
      <w:r w:rsidRPr="0006492A">
        <w:rPr>
          <w:rFonts w:ascii="Times New Roman" w:eastAsia="Calibri" w:hAnsi="Times New Roman" w:cs="Times New Roman"/>
        </w:rPr>
        <w:t xml:space="preserve"> MZO</w:t>
      </w:r>
      <w:r w:rsidR="00AA02F8" w:rsidRPr="0006492A">
        <w:rPr>
          <w:rFonts w:ascii="Times New Roman" w:eastAsia="Calibri" w:hAnsi="Times New Roman" w:cs="Times New Roman"/>
        </w:rPr>
        <w:t>M</w:t>
      </w:r>
      <w:r w:rsidR="00EE4BFE" w:rsidRPr="0006492A">
        <w:rPr>
          <w:rFonts w:ascii="Times New Roman" w:eastAsia="Calibri" w:hAnsi="Times New Roman" w:cs="Times New Roman"/>
        </w:rPr>
        <w:t xml:space="preserve"> </w:t>
      </w:r>
      <w:r w:rsidRPr="0006492A">
        <w:rPr>
          <w:rFonts w:ascii="Times New Roman" w:eastAsia="Calibri" w:hAnsi="Times New Roman" w:cs="Times New Roman"/>
        </w:rPr>
        <w:t xml:space="preserve">utrošeno je </w:t>
      </w:r>
      <w:r w:rsidR="000349A1" w:rsidRPr="0006492A">
        <w:rPr>
          <w:rFonts w:ascii="Times New Roman" w:eastAsia="Calibri" w:hAnsi="Times New Roman" w:cs="Times New Roman"/>
        </w:rPr>
        <w:t>19.630,49</w:t>
      </w:r>
      <w:r w:rsidRPr="0006492A">
        <w:rPr>
          <w:rFonts w:ascii="Times New Roman" w:eastAsia="Calibri" w:hAnsi="Times New Roman" w:cs="Times New Roman"/>
        </w:rPr>
        <w:t xml:space="preserve"> </w:t>
      </w:r>
      <w:r w:rsidR="00EE4BFE" w:rsidRPr="0006492A">
        <w:rPr>
          <w:rFonts w:ascii="Times New Roman" w:eastAsia="Calibri" w:hAnsi="Times New Roman" w:cs="Times New Roman"/>
        </w:rPr>
        <w:t>€</w:t>
      </w:r>
      <w:r w:rsidRPr="0006492A">
        <w:rPr>
          <w:rFonts w:ascii="Times New Roman" w:eastAsia="Calibri" w:hAnsi="Times New Roman" w:cs="Times New Roman"/>
        </w:rPr>
        <w:t xml:space="preserve">, s obzirom da </w:t>
      </w:r>
      <w:r w:rsidR="00D60040" w:rsidRPr="0006492A">
        <w:rPr>
          <w:rFonts w:ascii="Times New Roman" w:eastAsia="Calibri" w:hAnsi="Times New Roman" w:cs="Times New Roman"/>
        </w:rPr>
        <w:t xml:space="preserve">je </w:t>
      </w:r>
      <w:r w:rsidRPr="0006492A">
        <w:rPr>
          <w:rFonts w:ascii="Times New Roman" w:eastAsia="Calibri" w:hAnsi="Times New Roman" w:cs="Times New Roman"/>
        </w:rPr>
        <w:t>MZO</w:t>
      </w:r>
      <w:r w:rsidR="00AA02F8" w:rsidRPr="0006492A">
        <w:rPr>
          <w:rFonts w:ascii="Times New Roman" w:eastAsia="Calibri" w:hAnsi="Times New Roman" w:cs="Times New Roman"/>
        </w:rPr>
        <w:t>M</w:t>
      </w:r>
      <w:r w:rsidRPr="0006492A">
        <w:rPr>
          <w:rFonts w:ascii="Times New Roman" w:eastAsia="Calibri" w:hAnsi="Times New Roman" w:cs="Times New Roman"/>
        </w:rPr>
        <w:t xml:space="preserve"> </w:t>
      </w:r>
      <w:r w:rsidR="00EE4BFE" w:rsidRPr="0006492A">
        <w:rPr>
          <w:rFonts w:ascii="Times New Roman" w:eastAsia="Calibri" w:hAnsi="Times New Roman" w:cs="Times New Roman"/>
        </w:rPr>
        <w:t xml:space="preserve">vršilo </w:t>
      </w:r>
      <w:r w:rsidR="000349A1" w:rsidRPr="0006492A">
        <w:rPr>
          <w:rFonts w:ascii="Times New Roman" w:eastAsia="Calibri" w:hAnsi="Times New Roman" w:cs="Times New Roman"/>
        </w:rPr>
        <w:t xml:space="preserve">mjesečne </w:t>
      </w:r>
      <w:r w:rsidR="00EE4BFE" w:rsidRPr="0006492A">
        <w:rPr>
          <w:rFonts w:ascii="Times New Roman" w:eastAsia="Calibri" w:hAnsi="Times New Roman" w:cs="Times New Roman"/>
        </w:rPr>
        <w:t>doznake osnivaču po toj osnovi, a prema evidentiranom broju učenika u svakom mjesecu.</w:t>
      </w:r>
    </w:p>
    <w:p w14:paraId="4D0DC594" w14:textId="73B533EB" w:rsidR="00B96169" w:rsidRPr="0006492A" w:rsidRDefault="00B96169" w:rsidP="00B96169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>U okviru školske sheme</w:t>
      </w:r>
      <w:r w:rsidR="00EE4BFE" w:rsidRPr="0006492A">
        <w:rPr>
          <w:rFonts w:ascii="Times New Roman" w:eastAsia="Calibri" w:hAnsi="Times New Roman" w:cs="Times New Roman"/>
        </w:rPr>
        <w:t xml:space="preserve"> </w:t>
      </w:r>
      <w:r w:rsidRPr="0006492A">
        <w:rPr>
          <w:rFonts w:ascii="Times New Roman" w:eastAsia="Calibri" w:hAnsi="Times New Roman" w:cs="Times New Roman"/>
        </w:rPr>
        <w:t>voća i povrća</w:t>
      </w:r>
      <w:r w:rsidR="00EE4BFE" w:rsidRPr="0006492A">
        <w:rPr>
          <w:rFonts w:ascii="Times New Roman" w:eastAsia="Calibri" w:hAnsi="Times New Roman" w:cs="Times New Roman"/>
        </w:rPr>
        <w:t xml:space="preserve"> (nije bilo sheme mlijek</w:t>
      </w:r>
      <w:r w:rsidR="00DC25B6" w:rsidRPr="0006492A">
        <w:rPr>
          <w:rFonts w:ascii="Times New Roman" w:eastAsia="Calibri" w:hAnsi="Times New Roman" w:cs="Times New Roman"/>
        </w:rPr>
        <w:t>a</w:t>
      </w:r>
      <w:r w:rsidR="00EE4BFE" w:rsidRPr="0006492A">
        <w:rPr>
          <w:rFonts w:ascii="Times New Roman" w:eastAsia="Calibri" w:hAnsi="Times New Roman" w:cs="Times New Roman"/>
        </w:rPr>
        <w:t>)</w:t>
      </w:r>
      <w:r w:rsidRPr="0006492A">
        <w:rPr>
          <w:rFonts w:ascii="Times New Roman" w:eastAsia="Calibri" w:hAnsi="Times New Roman" w:cs="Times New Roman"/>
        </w:rPr>
        <w:t xml:space="preserve"> realizirano je </w:t>
      </w:r>
      <w:r w:rsidR="000349A1" w:rsidRPr="0006492A">
        <w:rPr>
          <w:rFonts w:ascii="Times New Roman" w:eastAsia="Calibri" w:hAnsi="Times New Roman" w:cs="Times New Roman"/>
        </w:rPr>
        <w:t>558,93</w:t>
      </w:r>
      <w:r w:rsidR="00EE4BFE" w:rsidRPr="0006492A">
        <w:rPr>
          <w:rFonts w:ascii="Times New Roman" w:eastAsia="Calibri" w:hAnsi="Times New Roman" w:cs="Times New Roman"/>
        </w:rPr>
        <w:t xml:space="preserve"> €</w:t>
      </w:r>
      <w:r w:rsidRPr="0006492A">
        <w:rPr>
          <w:rFonts w:ascii="Times New Roman" w:eastAsia="Calibri" w:hAnsi="Times New Roman" w:cs="Times New Roman"/>
        </w:rPr>
        <w:t xml:space="preserve"> (izvor je nacionalno sufinanciranje). </w:t>
      </w:r>
    </w:p>
    <w:p w14:paraId="2AAAF35E" w14:textId="1A6368A1" w:rsidR="001A7434" w:rsidRPr="0006492A" w:rsidRDefault="00B96169" w:rsidP="00B96169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 xml:space="preserve">Od uplata roditelja djece koja pohađaju vrtić, za živežne namirnice je </w:t>
      </w:r>
      <w:r w:rsidR="00390F05" w:rsidRPr="0006492A">
        <w:rPr>
          <w:rFonts w:ascii="Times New Roman" w:eastAsia="Calibri" w:hAnsi="Times New Roman" w:cs="Times New Roman"/>
        </w:rPr>
        <w:t>po</w:t>
      </w:r>
      <w:r w:rsidRPr="0006492A">
        <w:rPr>
          <w:rFonts w:ascii="Times New Roman" w:eastAsia="Calibri" w:hAnsi="Times New Roman" w:cs="Times New Roman"/>
        </w:rPr>
        <w:t xml:space="preserve">trošeno </w:t>
      </w:r>
      <w:r w:rsidR="000349A1" w:rsidRPr="0006492A">
        <w:rPr>
          <w:rFonts w:ascii="Times New Roman" w:eastAsia="Calibri" w:hAnsi="Times New Roman" w:cs="Times New Roman"/>
        </w:rPr>
        <w:t>4.869,13</w:t>
      </w:r>
      <w:r w:rsidR="00EE4BFE" w:rsidRPr="0006492A">
        <w:rPr>
          <w:rFonts w:ascii="Times New Roman" w:eastAsia="Calibri" w:hAnsi="Times New Roman" w:cs="Times New Roman"/>
        </w:rPr>
        <w:t xml:space="preserve"> € što je </w:t>
      </w:r>
      <w:r w:rsidR="00FE5FC8" w:rsidRPr="0006492A">
        <w:rPr>
          <w:rFonts w:ascii="Times New Roman" w:eastAsia="Calibri" w:hAnsi="Times New Roman" w:cs="Times New Roman"/>
        </w:rPr>
        <w:t>vrlo blizu</w:t>
      </w:r>
      <w:r w:rsidR="00EE4BFE" w:rsidRPr="0006492A">
        <w:rPr>
          <w:rFonts w:ascii="Times New Roman" w:eastAsia="Calibri" w:hAnsi="Times New Roman" w:cs="Times New Roman"/>
        </w:rPr>
        <w:t xml:space="preserve"> planiranog iznosa od 5.</w:t>
      </w:r>
      <w:r w:rsidR="000349A1" w:rsidRPr="0006492A">
        <w:rPr>
          <w:rFonts w:ascii="Times New Roman" w:eastAsia="Calibri" w:hAnsi="Times New Roman" w:cs="Times New Roman"/>
        </w:rPr>
        <w:t>000</w:t>
      </w:r>
      <w:r w:rsidR="00EE4BFE" w:rsidRPr="0006492A">
        <w:rPr>
          <w:rFonts w:ascii="Times New Roman" w:eastAsia="Calibri" w:hAnsi="Times New Roman" w:cs="Times New Roman"/>
        </w:rPr>
        <w:t>,00 €.</w:t>
      </w:r>
    </w:p>
    <w:p w14:paraId="19D1E28C" w14:textId="554AC481" w:rsidR="00B96169" w:rsidRPr="0006492A" w:rsidRDefault="00857C30" w:rsidP="00B96169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>Od vlastitih prihoda utrošeno je 448,64 € za energiju, 240,72 € za komunalne usluge i 235,04 € za ostale rashode poslovanja.</w:t>
      </w:r>
    </w:p>
    <w:p w14:paraId="636C387D" w14:textId="570662AE" w:rsidR="00301E86" w:rsidRPr="0006492A" w:rsidRDefault="00301E86" w:rsidP="00B96169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t>Iz izvora donacija financirano je stručno usavršavanje</w:t>
      </w:r>
      <w:r w:rsidR="008373DE" w:rsidRPr="0006492A">
        <w:rPr>
          <w:rFonts w:ascii="Times New Roman" w:eastAsia="Calibri" w:hAnsi="Times New Roman" w:cs="Times New Roman"/>
        </w:rPr>
        <w:t xml:space="preserve"> za tri</w:t>
      </w:r>
      <w:r w:rsidR="000349A1" w:rsidRPr="0006492A">
        <w:rPr>
          <w:rFonts w:ascii="Times New Roman" w:eastAsia="Calibri" w:hAnsi="Times New Roman" w:cs="Times New Roman"/>
        </w:rPr>
        <w:t xml:space="preserve"> zaposleni</w:t>
      </w:r>
      <w:r w:rsidR="008373DE" w:rsidRPr="0006492A">
        <w:rPr>
          <w:rFonts w:ascii="Times New Roman" w:eastAsia="Calibri" w:hAnsi="Times New Roman" w:cs="Times New Roman"/>
        </w:rPr>
        <w:t>ce škole</w:t>
      </w:r>
      <w:r w:rsidR="000349A1" w:rsidRPr="0006492A">
        <w:rPr>
          <w:rFonts w:ascii="Times New Roman" w:eastAsia="Calibri" w:hAnsi="Times New Roman" w:cs="Times New Roman"/>
        </w:rPr>
        <w:t xml:space="preserve"> </w:t>
      </w:r>
      <w:r w:rsidRPr="0006492A">
        <w:rPr>
          <w:rFonts w:ascii="Times New Roman" w:eastAsia="Calibri" w:hAnsi="Times New Roman" w:cs="Times New Roman"/>
        </w:rPr>
        <w:t xml:space="preserve">u visini od </w:t>
      </w:r>
      <w:r w:rsidR="000349A1" w:rsidRPr="0006492A">
        <w:rPr>
          <w:rFonts w:ascii="Times New Roman" w:eastAsia="Calibri" w:hAnsi="Times New Roman" w:cs="Times New Roman"/>
        </w:rPr>
        <w:t>775</w:t>
      </w:r>
      <w:r w:rsidRPr="0006492A">
        <w:rPr>
          <w:rFonts w:ascii="Times New Roman" w:eastAsia="Calibri" w:hAnsi="Times New Roman" w:cs="Times New Roman"/>
        </w:rPr>
        <w:t>,00 €</w:t>
      </w:r>
      <w:r w:rsidR="008D1B51" w:rsidRPr="0006492A">
        <w:rPr>
          <w:rFonts w:ascii="Times New Roman" w:eastAsia="Calibri" w:hAnsi="Times New Roman" w:cs="Times New Roman"/>
        </w:rPr>
        <w:t>,</w:t>
      </w:r>
      <w:r w:rsidR="00857C30" w:rsidRPr="0006492A">
        <w:rPr>
          <w:rFonts w:ascii="Times New Roman" w:eastAsia="Calibri" w:hAnsi="Times New Roman" w:cs="Times New Roman"/>
        </w:rPr>
        <w:t xml:space="preserve"> </w:t>
      </w:r>
      <w:r w:rsidR="008D1B51" w:rsidRPr="0006492A">
        <w:rPr>
          <w:rFonts w:ascii="Times New Roman" w:eastAsia="Calibri" w:hAnsi="Times New Roman" w:cs="Times New Roman"/>
        </w:rPr>
        <w:t>licenca za Wordwall od 243,00 €</w:t>
      </w:r>
      <w:r w:rsidR="00857C30" w:rsidRPr="0006492A">
        <w:rPr>
          <w:rFonts w:ascii="Times New Roman" w:eastAsia="Calibri" w:hAnsi="Times New Roman" w:cs="Times New Roman"/>
        </w:rPr>
        <w:t>, izleti učenika od 1.820,00 € i ostali nespomenuti rashodi od 652,40 € (najviše za izradu kostima za RF – 449,99 €).</w:t>
      </w:r>
    </w:p>
    <w:p w14:paraId="787E1BD6" w14:textId="45CA6F85" w:rsidR="002A3AE1" w:rsidRPr="0006492A" w:rsidRDefault="00857C30" w:rsidP="0051199C">
      <w:pPr>
        <w:rPr>
          <w:rFonts w:ascii="Times New Roman" w:eastAsia="Calibri" w:hAnsi="Times New Roman" w:cs="Times New Roman"/>
        </w:rPr>
      </w:pPr>
      <w:r w:rsidRPr="0006492A">
        <w:rPr>
          <w:rFonts w:ascii="Times New Roman" w:eastAsia="Calibri" w:hAnsi="Times New Roman" w:cs="Times New Roman"/>
        </w:rPr>
        <w:lastRenderedPageBreak/>
        <w:t>Za nabavu udžbenika koji se daju učenicima na korištenje početkom školske godine utrošeno je 1.482,81 € koliko je iznosila kapitalna pomoć MZOM za tu namjenu.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472"/>
        <w:gridCol w:w="1398"/>
        <w:gridCol w:w="1403"/>
        <w:gridCol w:w="1287"/>
        <w:gridCol w:w="1152"/>
        <w:gridCol w:w="1131"/>
        <w:gridCol w:w="1219"/>
      </w:tblGrid>
      <w:tr w:rsidR="00366E90" w14:paraId="3EADB5BC" w14:textId="77777777" w:rsidTr="00B43B6A">
        <w:trPr>
          <w:trHeight w:val="757"/>
        </w:trPr>
        <w:tc>
          <w:tcPr>
            <w:tcW w:w="1211" w:type="dxa"/>
            <w:tcBorders>
              <w:bottom w:val="double" w:sz="4" w:space="0" w:color="auto"/>
            </w:tcBorders>
          </w:tcPr>
          <w:p w14:paraId="045712C5" w14:textId="77777777" w:rsidR="00366E90" w:rsidRPr="00315405" w:rsidRDefault="00366E90" w:rsidP="00B43B6A">
            <w:pPr>
              <w:jc w:val="center"/>
            </w:pPr>
          </w:p>
          <w:p w14:paraId="1B77C7EA" w14:textId="77777777" w:rsidR="00366E90" w:rsidRPr="00315405" w:rsidRDefault="00366E90" w:rsidP="00B43B6A">
            <w:pPr>
              <w:jc w:val="center"/>
            </w:pPr>
            <w:r w:rsidRPr="00315405">
              <w:t>Pokazatelj rezultata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5D3D2643" w14:textId="77777777" w:rsidR="00366E90" w:rsidRPr="00315405" w:rsidRDefault="00366E90" w:rsidP="00B43B6A">
            <w:pPr>
              <w:jc w:val="center"/>
            </w:pPr>
          </w:p>
          <w:p w14:paraId="0DF1B268" w14:textId="77777777" w:rsidR="00366E90" w:rsidRPr="00315405" w:rsidRDefault="00366E90" w:rsidP="00B43B6A">
            <w:pPr>
              <w:jc w:val="center"/>
            </w:pPr>
            <w:r w:rsidRPr="00315405">
              <w:t>Definicija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0C560000" w14:textId="77777777" w:rsidR="00366E90" w:rsidRPr="00315405" w:rsidRDefault="00366E90" w:rsidP="00B43B6A">
            <w:pPr>
              <w:jc w:val="center"/>
            </w:pPr>
          </w:p>
          <w:p w14:paraId="5A4AA6A9" w14:textId="77777777" w:rsidR="00366E90" w:rsidRPr="00315405" w:rsidRDefault="00366E90" w:rsidP="00B43B6A">
            <w:pPr>
              <w:jc w:val="center"/>
            </w:pPr>
            <w:r w:rsidRPr="00315405">
              <w:t>Jedinica</w:t>
            </w: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14:paraId="7CE8971A" w14:textId="77777777" w:rsidR="00366E90" w:rsidRPr="00315405" w:rsidRDefault="00366E90" w:rsidP="00B43B6A">
            <w:pPr>
              <w:jc w:val="center"/>
            </w:pPr>
          </w:p>
          <w:p w14:paraId="01F9CE5D" w14:textId="77777777" w:rsidR="00366E90" w:rsidRPr="00315405" w:rsidRDefault="00366E90" w:rsidP="00B43B6A">
            <w:pPr>
              <w:jc w:val="center"/>
            </w:pPr>
            <w:r w:rsidRPr="00315405">
              <w:t>Polazna vrijednost</w:t>
            </w: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676E7A75" w14:textId="77777777" w:rsidR="00366E90" w:rsidRPr="00315405" w:rsidRDefault="00366E90" w:rsidP="00B43B6A">
            <w:pPr>
              <w:jc w:val="center"/>
            </w:pPr>
          </w:p>
          <w:p w14:paraId="145CCEF3" w14:textId="77777777" w:rsidR="00366E90" w:rsidRPr="00315405" w:rsidRDefault="00366E90" w:rsidP="00B43B6A">
            <w:pPr>
              <w:jc w:val="center"/>
            </w:pPr>
            <w:r w:rsidRPr="00315405">
              <w:t>Izvor podataka</w:t>
            </w:r>
          </w:p>
        </w:tc>
        <w:tc>
          <w:tcPr>
            <w:tcW w:w="1155" w:type="dxa"/>
            <w:tcBorders>
              <w:bottom w:val="double" w:sz="4" w:space="0" w:color="auto"/>
            </w:tcBorders>
          </w:tcPr>
          <w:p w14:paraId="477BEEBC" w14:textId="77777777" w:rsidR="00366E90" w:rsidRPr="00315405" w:rsidRDefault="00366E90" w:rsidP="00B43B6A">
            <w:pPr>
              <w:jc w:val="center"/>
            </w:pPr>
            <w:r w:rsidRPr="00315405">
              <w:t>Ciljana vrijednost za 2023.</w:t>
            </w:r>
          </w:p>
        </w:tc>
        <w:tc>
          <w:tcPr>
            <w:tcW w:w="1230" w:type="dxa"/>
            <w:tcBorders>
              <w:bottom w:val="double" w:sz="4" w:space="0" w:color="auto"/>
            </w:tcBorders>
          </w:tcPr>
          <w:p w14:paraId="78826D72" w14:textId="77777777" w:rsidR="00366E90" w:rsidRPr="00315405" w:rsidRDefault="00366E90" w:rsidP="00B43B6A">
            <w:pPr>
              <w:jc w:val="center"/>
            </w:pPr>
            <w:r w:rsidRPr="00315405">
              <w:t>Ostvarenje na dan 31.12.2023.</w:t>
            </w:r>
          </w:p>
        </w:tc>
      </w:tr>
      <w:tr w:rsidR="00366E90" w14:paraId="302CF9BC" w14:textId="77777777" w:rsidTr="00B43B6A">
        <w:tc>
          <w:tcPr>
            <w:tcW w:w="12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C8F0" w14:textId="77777777" w:rsidR="00366E90" w:rsidRPr="00315405" w:rsidRDefault="00366E90" w:rsidP="00B43B6A">
            <w:pPr>
              <w:jc w:val="both"/>
              <w:rPr>
                <w:lang w:eastAsia="hr-HR"/>
              </w:rPr>
            </w:pPr>
          </w:p>
          <w:p w14:paraId="10265849" w14:textId="77777777" w:rsidR="00366E90" w:rsidRPr="00315405" w:rsidRDefault="00366E90" w:rsidP="00B43B6A">
            <w:r w:rsidRPr="00315405">
              <w:rPr>
                <w:lang w:eastAsia="hr-HR"/>
              </w:rPr>
              <w:t>Nastavnici, stručni suradnici, administrativno osoblje stručno se usavršavaju</w:t>
            </w:r>
          </w:p>
        </w:tc>
        <w:tc>
          <w:tcPr>
            <w:tcW w:w="1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BBB" w14:textId="77777777" w:rsidR="00366E90" w:rsidRPr="00315405" w:rsidRDefault="00366E90" w:rsidP="00B43B6A">
            <w:pPr>
              <w:jc w:val="both"/>
              <w:rPr>
                <w:lang w:eastAsia="hr-HR"/>
              </w:rPr>
            </w:pPr>
          </w:p>
          <w:p w14:paraId="1C69FC27" w14:textId="77777777" w:rsidR="00366E90" w:rsidRPr="00315405" w:rsidRDefault="00366E90" w:rsidP="00B43B6A">
            <w:r w:rsidRPr="00315405">
              <w:rPr>
                <w:lang w:eastAsia="hr-HR"/>
              </w:rPr>
              <w:t xml:space="preserve">Pohađanjem seminara i radionica stječu se neophodna znanja i vještine za kvalitetan rad </w:t>
            </w:r>
          </w:p>
        </w:tc>
        <w:tc>
          <w:tcPr>
            <w:tcW w:w="15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2821" w14:textId="77777777" w:rsidR="00366E90" w:rsidRPr="00315405" w:rsidRDefault="00366E90" w:rsidP="00B43B6A">
            <w:pPr>
              <w:jc w:val="both"/>
              <w:rPr>
                <w:lang w:eastAsia="hr-HR"/>
              </w:rPr>
            </w:pPr>
          </w:p>
          <w:p w14:paraId="463F4A29" w14:textId="77777777" w:rsidR="00366E90" w:rsidRPr="00315405" w:rsidRDefault="00366E90" w:rsidP="00B43B6A">
            <w:pPr>
              <w:jc w:val="center"/>
            </w:pPr>
            <w:r w:rsidRPr="00315405">
              <w:rPr>
                <w:lang w:eastAsia="hr-HR"/>
              </w:rPr>
              <w:t>%</w:t>
            </w:r>
          </w:p>
        </w:tc>
        <w:tc>
          <w:tcPr>
            <w:tcW w:w="13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EE60" w14:textId="77777777" w:rsidR="00366E90" w:rsidRPr="00315405" w:rsidRDefault="00366E90" w:rsidP="00B43B6A">
            <w:pPr>
              <w:jc w:val="both"/>
              <w:rPr>
                <w:lang w:eastAsia="hr-HR"/>
              </w:rPr>
            </w:pPr>
          </w:p>
          <w:p w14:paraId="5C21866E" w14:textId="77777777" w:rsidR="00366E90" w:rsidRPr="00315405" w:rsidRDefault="00366E90" w:rsidP="00B43B6A">
            <w:pPr>
              <w:jc w:val="center"/>
            </w:pPr>
            <w:r w:rsidRPr="00315405">
              <w:rPr>
                <w:lang w:eastAsia="hr-HR"/>
              </w:rPr>
              <w:t>100 %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1496" w14:textId="77777777" w:rsidR="00366E90" w:rsidRPr="00315405" w:rsidRDefault="00366E90" w:rsidP="00B43B6A">
            <w:pPr>
              <w:jc w:val="both"/>
              <w:rPr>
                <w:lang w:eastAsia="hr-HR"/>
              </w:rPr>
            </w:pPr>
          </w:p>
          <w:p w14:paraId="6235842C" w14:textId="77777777" w:rsidR="00366E90" w:rsidRPr="00315405" w:rsidRDefault="00366E90" w:rsidP="00B43B6A">
            <w:r w:rsidRPr="00315405">
              <w:rPr>
                <w:lang w:eastAsia="hr-HR"/>
              </w:rPr>
              <w:t>COOR Podravsko sunce</w:t>
            </w: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8957" w14:textId="77777777" w:rsidR="00366E90" w:rsidRPr="00315405" w:rsidRDefault="00366E90" w:rsidP="00B43B6A">
            <w:pPr>
              <w:jc w:val="both"/>
              <w:rPr>
                <w:lang w:eastAsia="hr-HR"/>
              </w:rPr>
            </w:pPr>
          </w:p>
          <w:p w14:paraId="73CDA405" w14:textId="77777777" w:rsidR="00366E90" w:rsidRPr="00315405" w:rsidRDefault="00366E90" w:rsidP="00B43B6A">
            <w:pPr>
              <w:jc w:val="center"/>
            </w:pPr>
            <w:r w:rsidRPr="00315405">
              <w:rPr>
                <w:lang w:eastAsia="hr-HR"/>
              </w:rPr>
              <w:t>100 %</w:t>
            </w:r>
          </w:p>
        </w:tc>
        <w:tc>
          <w:tcPr>
            <w:tcW w:w="1230" w:type="dxa"/>
            <w:tcBorders>
              <w:top w:val="double" w:sz="4" w:space="0" w:color="auto"/>
            </w:tcBorders>
          </w:tcPr>
          <w:p w14:paraId="331A56B8" w14:textId="77777777" w:rsidR="00366E90" w:rsidRPr="00315405" w:rsidRDefault="00366E90" w:rsidP="00B43B6A">
            <w:pPr>
              <w:jc w:val="center"/>
            </w:pPr>
          </w:p>
          <w:p w14:paraId="147D90E9" w14:textId="77777777" w:rsidR="00366E90" w:rsidRPr="00315405" w:rsidRDefault="00366E90" w:rsidP="00B43B6A">
            <w:pPr>
              <w:jc w:val="center"/>
            </w:pPr>
            <w:r w:rsidRPr="00315405">
              <w:t>100 %</w:t>
            </w:r>
          </w:p>
        </w:tc>
      </w:tr>
    </w:tbl>
    <w:p w14:paraId="3E863E44" w14:textId="77777777" w:rsidR="00366E90" w:rsidRDefault="00366E90" w:rsidP="0051199C">
      <w:pPr>
        <w:rPr>
          <w:rFonts w:ascii="Times New Roman" w:eastAsia="Calibri" w:hAnsi="Times New Roman" w:cs="Times New Roman"/>
        </w:rPr>
      </w:pPr>
    </w:p>
    <w:p w14:paraId="0E2DB7BC" w14:textId="4DF402BC" w:rsidR="00177905" w:rsidRPr="00361332" w:rsidRDefault="00177905" w:rsidP="00177905">
      <w:pPr>
        <w:rPr>
          <w:rFonts w:ascii="Times New Roman" w:eastAsia="Calibri" w:hAnsi="Times New Roman" w:cs="Times New Roman"/>
          <w:u w:val="single"/>
        </w:rPr>
      </w:pPr>
      <w:r w:rsidRPr="00361332">
        <w:rPr>
          <w:rFonts w:ascii="Times New Roman" w:eastAsia="Calibri" w:hAnsi="Times New Roman" w:cs="Times New Roman"/>
          <w:u w:val="single"/>
        </w:rPr>
        <w:t>Aktivnost A300</w:t>
      </w:r>
      <w:r w:rsidR="003C350B" w:rsidRPr="00361332">
        <w:rPr>
          <w:rFonts w:ascii="Times New Roman" w:eastAsia="Calibri" w:hAnsi="Times New Roman" w:cs="Times New Roman"/>
          <w:u w:val="single"/>
        </w:rPr>
        <w:t>35</w:t>
      </w:r>
      <w:r w:rsidR="0006492A" w:rsidRPr="00361332">
        <w:rPr>
          <w:rFonts w:ascii="Times New Roman" w:eastAsia="Calibri" w:hAnsi="Times New Roman" w:cs="Times New Roman"/>
          <w:u w:val="single"/>
        </w:rPr>
        <w:t>6</w:t>
      </w:r>
      <w:r w:rsidRPr="00361332">
        <w:rPr>
          <w:rFonts w:ascii="Times New Roman" w:eastAsia="Calibri" w:hAnsi="Times New Roman" w:cs="Times New Roman"/>
          <w:u w:val="single"/>
        </w:rPr>
        <w:t xml:space="preserve">: Odjek </w:t>
      </w:r>
      <w:r w:rsidR="00292795" w:rsidRPr="00361332">
        <w:rPr>
          <w:rFonts w:ascii="Times New Roman" w:eastAsia="Calibri" w:hAnsi="Times New Roman" w:cs="Times New Roman"/>
          <w:u w:val="single"/>
        </w:rPr>
        <w:t>V</w:t>
      </w:r>
      <w:r w:rsidR="0006492A" w:rsidRPr="00361332">
        <w:rPr>
          <w:rFonts w:ascii="Times New Roman" w:eastAsia="Calibri" w:hAnsi="Times New Roman" w:cs="Times New Roman"/>
          <w:u w:val="single"/>
        </w:rPr>
        <w:t>I</w:t>
      </w:r>
      <w:r w:rsidRPr="00361332">
        <w:rPr>
          <w:rFonts w:ascii="Times New Roman" w:eastAsia="Calibri" w:hAnsi="Times New Roman" w:cs="Times New Roman"/>
          <w:u w:val="single"/>
        </w:rPr>
        <w:t xml:space="preserve"> 202</w:t>
      </w:r>
      <w:r w:rsidR="0006492A" w:rsidRPr="00361332">
        <w:rPr>
          <w:rFonts w:ascii="Times New Roman" w:eastAsia="Calibri" w:hAnsi="Times New Roman" w:cs="Times New Roman"/>
          <w:u w:val="single"/>
        </w:rPr>
        <w:t>3</w:t>
      </w:r>
      <w:r w:rsidRPr="00361332">
        <w:rPr>
          <w:rFonts w:ascii="Times New Roman" w:eastAsia="Calibri" w:hAnsi="Times New Roman" w:cs="Times New Roman"/>
          <w:u w:val="single"/>
        </w:rPr>
        <w:t>./202</w:t>
      </w:r>
      <w:r w:rsidR="0006492A" w:rsidRPr="00361332">
        <w:rPr>
          <w:rFonts w:ascii="Times New Roman" w:eastAsia="Calibri" w:hAnsi="Times New Roman" w:cs="Times New Roman"/>
          <w:u w:val="single"/>
        </w:rPr>
        <w:t>4</w:t>
      </w:r>
      <w:r w:rsidRPr="00361332">
        <w:rPr>
          <w:rFonts w:ascii="Times New Roman" w:eastAsia="Calibri" w:hAnsi="Times New Roman" w:cs="Times New Roman"/>
          <w:u w:val="single"/>
        </w:rPr>
        <w:t xml:space="preserve">. </w:t>
      </w:r>
    </w:p>
    <w:p w14:paraId="515153FD" w14:textId="004AB8C9" w:rsidR="00134042" w:rsidRPr="00361332" w:rsidRDefault="00134042" w:rsidP="00177905">
      <w:pPr>
        <w:rPr>
          <w:rFonts w:ascii="Times New Roman" w:eastAsia="Calibri" w:hAnsi="Times New Roman" w:cs="Times New Roman"/>
        </w:rPr>
      </w:pPr>
      <w:bookmarkStart w:id="1" w:name="_Hlk161917850"/>
      <w:r w:rsidRPr="00361332">
        <w:rPr>
          <w:rFonts w:ascii="Times New Roman" w:eastAsia="Calibri" w:hAnsi="Times New Roman" w:cs="Times New Roman"/>
        </w:rPr>
        <w:t>Za financiranje pomoćnika u nastavi u školskoj godini 202</w:t>
      </w:r>
      <w:r w:rsidR="0006492A" w:rsidRPr="00361332">
        <w:rPr>
          <w:rFonts w:ascii="Times New Roman" w:eastAsia="Calibri" w:hAnsi="Times New Roman" w:cs="Times New Roman"/>
        </w:rPr>
        <w:t>3</w:t>
      </w:r>
      <w:r w:rsidR="005003C7" w:rsidRPr="00361332">
        <w:rPr>
          <w:rFonts w:ascii="Times New Roman" w:eastAsia="Calibri" w:hAnsi="Times New Roman" w:cs="Times New Roman"/>
        </w:rPr>
        <w:t>.</w:t>
      </w:r>
      <w:r w:rsidRPr="00361332">
        <w:rPr>
          <w:rFonts w:ascii="Times New Roman" w:eastAsia="Calibri" w:hAnsi="Times New Roman" w:cs="Times New Roman"/>
        </w:rPr>
        <w:t>/202</w:t>
      </w:r>
      <w:r w:rsidR="0006492A" w:rsidRPr="00361332">
        <w:rPr>
          <w:rFonts w:ascii="Times New Roman" w:eastAsia="Calibri" w:hAnsi="Times New Roman" w:cs="Times New Roman"/>
        </w:rPr>
        <w:t>4</w:t>
      </w:r>
      <w:r w:rsidRPr="00361332">
        <w:rPr>
          <w:rFonts w:ascii="Times New Roman" w:eastAsia="Calibri" w:hAnsi="Times New Roman" w:cs="Times New Roman"/>
        </w:rPr>
        <w:t xml:space="preserve">. Grad je otvorio novu aktivnost, pa </w:t>
      </w:r>
      <w:r w:rsidR="001E7CE4" w:rsidRPr="00361332">
        <w:rPr>
          <w:rFonts w:ascii="Times New Roman" w:eastAsia="Calibri" w:hAnsi="Times New Roman" w:cs="Times New Roman"/>
        </w:rPr>
        <w:t>još</w:t>
      </w:r>
      <w:r w:rsidRPr="00361332">
        <w:rPr>
          <w:rFonts w:ascii="Times New Roman" w:eastAsia="Calibri" w:hAnsi="Times New Roman" w:cs="Times New Roman"/>
        </w:rPr>
        <w:t xml:space="preserve"> i nove izvore za EU sredstva i nacionalni dio sufinanciranja.</w:t>
      </w:r>
    </w:p>
    <w:bookmarkEnd w:id="1"/>
    <w:p w14:paraId="48ECBE7B" w14:textId="267AF355" w:rsidR="00F20BD1" w:rsidRPr="00361332" w:rsidRDefault="009930B8" w:rsidP="00177905">
      <w:pPr>
        <w:rPr>
          <w:rFonts w:ascii="Times New Roman" w:eastAsia="Calibri" w:hAnsi="Times New Roman" w:cs="Times New Roman"/>
        </w:rPr>
      </w:pPr>
      <w:r w:rsidRPr="00361332">
        <w:rPr>
          <w:rFonts w:ascii="Times New Roman" w:eastAsia="Calibri" w:hAnsi="Times New Roman" w:cs="Times New Roman"/>
        </w:rPr>
        <w:t>Za</w:t>
      </w:r>
      <w:r w:rsidR="00134042" w:rsidRPr="00361332">
        <w:rPr>
          <w:rFonts w:ascii="Times New Roman" w:eastAsia="Calibri" w:hAnsi="Times New Roman" w:cs="Times New Roman"/>
        </w:rPr>
        <w:t xml:space="preserve"> razdoblje </w:t>
      </w:r>
      <w:r w:rsidRPr="00361332">
        <w:rPr>
          <w:rFonts w:ascii="Times New Roman" w:eastAsia="Calibri" w:hAnsi="Times New Roman" w:cs="Times New Roman"/>
        </w:rPr>
        <w:t>siječanj-lipanj</w:t>
      </w:r>
      <w:r w:rsidR="00134042" w:rsidRPr="00361332">
        <w:rPr>
          <w:rFonts w:ascii="Times New Roman" w:eastAsia="Calibri" w:hAnsi="Times New Roman" w:cs="Times New Roman"/>
        </w:rPr>
        <w:t xml:space="preserve"> 202</w:t>
      </w:r>
      <w:r w:rsidR="0006492A" w:rsidRPr="00361332">
        <w:rPr>
          <w:rFonts w:ascii="Times New Roman" w:eastAsia="Calibri" w:hAnsi="Times New Roman" w:cs="Times New Roman"/>
        </w:rPr>
        <w:t>4</w:t>
      </w:r>
      <w:r w:rsidR="00134042" w:rsidRPr="00361332">
        <w:rPr>
          <w:rFonts w:ascii="Times New Roman" w:eastAsia="Calibri" w:hAnsi="Times New Roman" w:cs="Times New Roman"/>
        </w:rPr>
        <w:t>., za bruto plaće</w:t>
      </w:r>
      <w:r w:rsidR="0006492A" w:rsidRPr="00361332">
        <w:rPr>
          <w:rFonts w:ascii="Times New Roman" w:eastAsia="Calibri" w:hAnsi="Times New Roman" w:cs="Times New Roman"/>
        </w:rPr>
        <w:t xml:space="preserve"> </w:t>
      </w:r>
      <w:r w:rsidR="00562F82" w:rsidRPr="00361332">
        <w:rPr>
          <w:rFonts w:ascii="Times New Roman" w:eastAsia="Calibri" w:hAnsi="Times New Roman" w:cs="Times New Roman"/>
        </w:rPr>
        <w:t xml:space="preserve">pomoćnika </w:t>
      </w:r>
      <w:r w:rsidR="00134042" w:rsidRPr="00361332">
        <w:rPr>
          <w:rFonts w:ascii="Times New Roman" w:eastAsia="Calibri" w:hAnsi="Times New Roman" w:cs="Times New Roman"/>
        </w:rPr>
        <w:t>utrošeno</w:t>
      </w:r>
      <w:r w:rsidR="00562F82" w:rsidRPr="00361332">
        <w:rPr>
          <w:rFonts w:ascii="Times New Roman" w:eastAsia="Calibri" w:hAnsi="Times New Roman" w:cs="Times New Roman"/>
        </w:rPr>
        <w:t xml:space="preserve"> je</w:t>
      </w:r>
      <w:r w:rsidR="00134042" w:rsidRPr="00361332">
        <w:rPr>
          <w:rFonts w:ascii="Times New Roman" w:eastAsia="Calibri" w:hAnsi="Times New Roman" w:cs="Times New Roman"/>
        </w:rPr>
        <w:t xml:space="preserve"> </w:t>
      </w:r>
      <w:r w:rsidR="0006492A" w:rsidRPr="00361332">
        <w:rPr>
          <w:rFonts w:ascii="Times New Roman" w:eastAsia="Calibri" w:hAnsi="Times New Roman" w:cs="Times New Roman"/>
        </w:rPr>
        <w:t>54.861,38</w:t>
      </w:r>
      <w:r w:rsidRPr="00361332">
        <w:rPr>
          <w:rFonts w:ascii="Times New Roman" w:eastAsia="Calibri" w:hAnsi="Times New Roman" w:cs="Times New Roman"/>
        </w:rPr>
        <w:t xml:space="preserve"> €</w:t>
      </w:r>
      <w:r w:rsidR="00134042" w:rsidRPr="00361332">
        <w:rPr>
          <w:rFonts w:ascii="Times New Roman" w:eastAsia="Calibri" w:hAnsi="Times New Roman" w:cs="Times New Roman"/>
        </w:rPr>
        <w:t xml:space="preserve">, </w:t>
      </w:r>
      <w:bookmarkStart w:id="2" w:name="_Hlk161918061"/>
      <w:r w:rsidR="00134042" w:rsidRPr="00361332">
        <w:rPr>
          <w:rFonts w:ascii="Times New Roman" w:eastAsia="Calibri" w:hAnsi="Times New Roman" w:cs="Times New Roman"/>
        </w:rPr>
        <w:t>za obvezni doprinos</w:t>
      </w:r>
      <w:r w:rsidRPr="00361332">
        <w:rPr>
          <w:rFonts w:ascii="Times New Roman" w:eastAsia="Calibri" w:hAnsi="Times New Roman" w:cs="Times New Roman"/>
        </w:rPr>
        <w:t xml:space="preserve"> na plaće </w:t>
      </w:r>
      <w:r w:rsidR="0006492A" w:rsidRPr="00361332">
        <w:rPr>
          <w:rFonts w:ascii="Times New Roman" w:eastAsia="Calibri" w:hAnsi="Times New Roman" w:cs="Times New Roman"/>
        </w:rPr>
        <w:t>9.070,02</w:t>
      </w:r>
      <w:r w:rsidRPr="00361332">
        <w:rPr>
          <w:rFonts w:ascii="Times New Roman" w:eastAsia="Calibri" w:hAnsi="Times New Roman" w:cs="Times New Roman"/>
        </w:rPr>
        <w:t xml:space="preserve"> €, za ostale rashode za zaposlene </w:t>
      </w:r>
      <w:r w:rsidR="0006492A" w:rsidRPr="00361332">
        <w:rPr>
          <w:rFonts w:ascii="Times New Roman" w:eastAsia="Calibri" w:hAnsi="Times New Roman" w:cs="Times New Roman"/>
        </w:rPr>
        <w:t>9.441,44</w:t>
      </w:r>
      <w:r w:rsidRPr="00361332">
        <w:rPr>
          <w:rFonts w:ascii="Times New Roman" w:eastAsia="Calibri" w:hAnsi="Times New Roman" w:cs="Times New Roman"/>
        </w:rPr>
        <w:t xml:space="preserve"> €</w:t>
      </w:r>
      <w:r w:rsidR="00134042" w:rsidRPr="00361332">
        <w:rPr>
          <w:rFonts w:ascii="Times New Roman" w:eastAsia="Calibri" w:hAnsi="Times New Roman" w:cs="Times New Roman"/>
        </w:rPr>
        <w:t xml:space="preserve"> i za naknade troškova zaposlenima </w:t>
      </w:r>
      <w:r w:rsidRPr="00361332">
        <w:rPr>
          <w:rFonts w:ascii="Times New Roman" w:eastAsia="Calibri" w:hAnsi="Times New Roman" w:cs="Times New Roman"/>
        </w:rPr>
        <w:t>3.</w:t>
      </w:r>
      <w:r w:rsidR="0006492A" w:rsidRPr="00361332">
        <w:rPr>
          <w:rFonts w:ascii="Times New Roman" w:eastAsia="Calibri" w:hAnsi="Times New Roman" w:cs="Times New Roman"/>
        </w:rPr>
        <w:t>716,29</w:t>
      </w:r>
      <w:r w:rsidRPr="00361332">
        <w:rPr>
          <w:rFonts w:ascii="Times New Roman" w:eastAsia="Calibri" w:hAnsi="Times New Roman" w:cs="Times New Roman"/>
        </w:rPr>
        <w:t xml:space="preserve"> €</w:t>
      </w:r>
      <w:r w:rsidR="00F20BD1" w:rsidRPr="00361332">
        <w:rPr>
          <w:rFonts w:ascii="Times New Roman" w:eastAsia="Calibri" w:hAnsi="Times New Roman" w:cs="Times New Roman"/>
        </w:rPr>
        <w:t xml:space="preserve"> (službena putovanja</w:t>
      </w:r>
      <w:r w:rsidR="0006492A" w:rsidRPr="00361332">
        <w:rPr>
          <w:rFonts w:ascii="Times New Roman" w:eastAsia="Calibri" w:hAnsi="Times New Roman" w:cs="Times New Roman"/>
        </w:rPr>
        <w:t xml:space="preserve"> i </w:t>
      </w:r>
      <w:r w:rsidR="00F20BD1" w:rsidRPr="00361332">
        <w:rPr>
          <w:rFonts w:ascii="Times New Roman" w:eastAsia="Calibri" w:hAnsi="Times New Roman" w:cs="Times New Roman"/>
        </w:rPr>
        <w:t>naknade za prijevoz na posao).</w:t>
      </w:r>
      <w:r w:rsidRPr="00361332">
        <w:rPr>
          <w:rFonts w:ascii="Times New Roman" w:eastAsia="Calibri" w:hAnsi="Times New Roman" w:cs="Times New Roman"/>
        </w:rPr>
        <w:t xml:space="preserve"> </w:t>
      </w:r>
      <w:bookmarkEnd w:id="2"/>
    </w:p>
    <w:p w14:paraId="7141B46F" w14:textId="6B8A594E" w:rsidR="00363286" w:rsidRPr="00361332" w:rsidRDefault="00562F82" w:rsidP="0051199C">
      <w:pPr>
        <w:rPr>
          <w:rFonts w:ascii="Times New Roman" w:eastAsia="Calibri" w:hAnsi="Times New Roman" w:cs="Times New Roman"/>
        </w:rPr>
      </w:pPr>
      <w:r w:rsidRPr="00361332">
        <w:rPr>
          <w:rFonts w:ascii="Times New Roman" w:eastAsia="Calibri" w:hAnsi="Times New Roman" w:cs="Times New Roman"/>
        </w:rPr>
        <w:t>N</w:t>
      </w:r>
      <w:r w:rsidR="009930B8" w:rsidRPr="00361332">
        <w:rPr>
          <w:rFonts w:ascii="Times New Roman" w:eastAsia="Calibri" w:hAnsi="Times New Roman" w:cs="Times New Roman"/>
        </w:rPr>
        <w:t>a poziciji ostalih rashoda</w:t>
      </w:r>
      <w:r w:rsidRPr="00361332">
        <w:rPr>
          <w:rFonts w:ascii="Times New Roman" w:eastAsia="Calibri" w:hAnsi="Times New Roman" w:cs="Times New Roman"/>
        </w:rPr>
        <w:t xml:space="preserve"> za zaposlene, osim naknade za topli obrok</w:t>
      </w:r>
      <w:r w:rsidR="00361332" w:rsidRPr="00361332">
        <w:rPr>
          <w:rFonts w:ascii="Times New Roman" w:eastAsia="Calibri" w:hAnsi="Times New Roman" w:cs="Times New Roman"/>
        </w:rPr>
        <w:t xml:space="preserve"> od 3.400,00 €</w:t>
      </w:r>
      <w:r w:rsidRPr="00361332">
        <w:rPr>
          <w:rFonts w:ascii="Times New Roman" w:eastAsia="Calibri" w:hAnsi="Times New Roman" w:cs="Times New Roman"/>
        </w:rPr>
        <w:t xml:space="preserve">, isplaćeno je </w:t>
      </w:r>
      <w:r w:rsidR="00361332" w:rsidRPr="00361332">
        <w:rPr>
          <w:rFonts w:ascii="Times New Roman" w:eastAsia="Calibri" w:hAnsi="Times New Roman" w:cs="Times New Roman"/>
        </w:rPr>
        <w:t>1.400,00 € na ime uskrsnica, 441,44 € za jednu pomoć zbog smrti u obitelji i 4.200,00 € kao regres za korištenje godišnjeg odmora</w:t>
      </w:r>
      <w:r w:rsidR="009930B8" w:rsidRPr="00361332">
        <w:rPr>
          <w:rFonts w:ascii="Times New Roman" w:eastAsia="Calibri" w:hAnsi="Times New Roman" w:cs="Times New Roman"/>
        </w:rPr>
        <w:t xml:space="preserve"> </w:t>
      </w:r>
      <w:bookmarkStart w:id="3" w:name="_Hlk38970588"/>
      <w:r w:rsidRPr="00361332">
        <w:rPr>
          <w:rFonts w:ascii="Times New Roman" w:eastAsia="Calibri" w:hAnsi="Times New Roman" w:cs="Times New Roman"/>
        </w:rPr>
        <w:t xml:space="preserve">što čini ukupno </w:t>
      </w:r>
      <w:r w:rsidR="00361332" w:rsidRPr="00361332">
        <w:rPr>
          <w:rFonts w:ascii="Times New Roman" w:eastAsia="Calibri" w:hAnsi="Times New Roman" w:cs="Times New Roman"/>
        </w:rPr>
        <w:t>9.441,44</w:t>
      </w:r>
      <w:r w:rsidRPr="00361332">
        <w:rPr>
          <w:rFonts w:ascii="Times New Roman" w:eastAsia="Calibri" w:hAnsi="Times New Roman" w:cs="Times New Roman"/>
        </w:rPr>
        <w:t xml:space="preserve"> €, sve na teret osnivača.</w:t>
      </w:r>
    </w:p>
    <w:p w14:paraId="7459F212" w14:textId="6F9D5AD7" w:rsidR="00562F82" w:rsidRPr="00361332" w:rsidRDefault="00562F82" w:rsidP="00562F82">
      <w:pPr>
        <w:rPr>
          <w:rFonts w:ascii="Times New Roman" w:eastAsia="Calibri" w:hAnsi="Times New Roman" w:cs="Times New Roman"/>
          <w:u w:val="single"/>
        </w:rPr>
      </w:pPr>
      <w:r w:rsidRPr="00361332">
        <w:rPr>
          <w:rFonts w:ascii="Times New Roman" w:eastAsia="Calibri" w:hAnsi="Times New Roman" w:cs="Times New Roman"/>
          <w:u w:val="single"/>
        </w:rPr>
        <w:t>Aktivnost A30035</w:t>
      </w:r>
      <w:r w:rsidR="00361332">
        <w:rPr>
          <w:rFonts w:ascii="Times New Roman" w:eastAsia="Calibri" w:hAnsi="Times New Roman" w:cs="Times New Roman"/>
          <w:u w:val="single"/>
        </w:rPr>
        <w:t>9</w:t>
      </w:r>
      <w:r w:rsidRPr="00361332">
        <w:rPr>
          <w:rFonts w:ascii="Times New Roman" w:eastAsia="Calibri" w:hAnsi="Times New Roman" w:cs="Times New Roman"/>
          <w:u w:val="single"/>
        </w:rPr>
        <w:t>: Odjek VI</w:t>
      </w:r>
      <w:r w:rsidR="0006492A" w:rsidRPr="00361332">
        <w:rPr>
          <w:rFonts w:ascii="Times New Roman" w:eastAsia="Calibri" w:hAnsi="Times New Roman" w:cs="Times New Roman"/>
          <w:u w:val="single"/>
        </w:rPr>
        <w:t>I</w:t>
      </w:r>
      <w:r w:rsidRPr="00361332">
        <w:rPr>
          <w:rFonts w:ascii="Times New Roman" w:eastAsia="Calibri" w:hAnsi="Times New Roman" w:cs="Times New Roman"/>
          <w:u w:val="single"/>
        </w:rPr>
        <w:t xml:space="preserve"> 202</w:t>
      </w:r>
      <w:r w:rsidR="0006492A" w:rsidRPr="00361332">
        <w:rPr>
          <w:rFonts w:ascii="Times New Roman" w:eastAsia="Calibri" w:hAnsi="Times New Roman" w:cs="Times New Roman"/>
          <w:u w:val="single"/>
        </w:rPr>
        <w:t>4</w:t>
      </w:r>
      <w:r w:rsidRPr="00361332">
        <w:rPr>
          <w:rFonts w:ascii="Times New Roman" w:eastAsia="Calibri" w:hAnsi="Times New Roman" w:cs="Times New Roman"/>
          <w:u w:val="single"/>
        </w:rPr>
        <w:t>./202</w:t>
      </w:r>
      <w:r w:rsidR="0006492A" w:rsidRPr="00361332">
        <w:rPr>
          <w:rFonts w:ascii="Times New Roman" w:eastAsia="Calibri" w:hAnsi="Times New Roman" w:cs="Times New Roman"/>
          <w:u w:val="single"/>
        </w:rPr>
        <w:t>5</w:t>
      </w:r>
      <w:r w:rsidRPr="00361332">
        <w:rPr>
          <w:rFonts w:ascii="Times New Roman" w:eastAsia="Calibri" w:hAnsi="Times New Roman" w:cs="Times New Roman"/>
          <w:u w:val="single"/>
        </w:rPr>
        <w:t xml:space="preserve">. </w:t>
      </w:r>
    </w:p>
    <w:p w14:paraId="2D1D4C0A" w14:textId="790FFEEF" w:rsidR="00562F82" w:rsidRPr="00361332" w:rsidRDefault="00562F82" w:rsidP="00562F82">
      <w:pPr>
        <w:rPr>
          <w:rFonts w:ascii="Times New Roman" w:eastAsia="Calibri" w:hAnsi="Times New Roman" w:cs="Times New Roman"/>
        </w:rPr>
      </w:pPr>
      <w:r w:rsidRPr="00361332">
        <w:rPr>
          <w:rFonts w:ascii="Times New Roman" w:eastAsia="Calibri" w:hAnsi="Times New Roman" w:cs="Times New Roman"/>
        </w:rPr>
        <w:t>Za financiranje pomoćnika u nastavi u novoj školskoj godini Grad je otvorio novu aktivnost, pa tako opet i nove izvore za EU sredstva i nacionalni dio sufinanciranja.</w:t>
      </w:r>
    </w:p>
    <w:p w14:paraId="75B42004" w14:textId="6F49F982" w:rsidR="00562F82" w:rsidRPr="00361332" w:rsidRDefault="00562F82" w:rsidP="00562F82">
      <w:pPr>
        <w:rPr>
          <w:rFonts w:ascii="Times New Roman" w:eastAsia="Calibri" w:hAnsi="Times New Roman" w:cs="Times New Roman"/>
        </w:rPr>
      </w:pPr>
      <w:r w:rsidRPr="00361332">
        <w:rPr>
          <w:rFonts w:ascii="Times New Roman" w:eastAsia="Calibri" w:hAnsi="Times New Roman" w:cs="Times New Roman"/>
        </w:rPr>
        <w:t>Za razdoblje rujan-prosinac 202</w:t>
      </w:r>
      <w:r w:rsidR="0006492A" w:rsidRPr="00361332">
        <w:rPr>
          <w:rFonts w:ascii="Times New Roman" w:eastAsia="Calibri" w:hAnsi="Times New Roman" w:cs="Times New Roman"/>
        </w:rPr>
        <w:t>4</w:t>
      </w:r>
      <w:r w:rsidRPr="00361332">
        <w:rPr>
          <w:rFonts w:ascii="Times New Roman" w:eastAsia="Calibri" w:hAnsi="Times New Roman" w:cs="Times New Roman"/>
        </w:rPr>
        <w:t xml:space="preserve">., za bruto plaće 15 pomoćnika utrošeno je </w:t>
      </w:r>
      <w:r w:rsidR="0006492A" w:rsidRPr="00361332">
        <w:rPr>
          <w:rFonts w:ascii="Times New Roman" w:eastAsia="Calibri" w:hAnsi="Times New Roman" w:cs="Times New Roman"/>
        </w:rPr>
        <w:t>56.680,78</w:t>
      </w:r>
      <w:r w:rsidRPr="00361332">
        <w:rPr>
          <w:rFonts w:ascii="Times New Roman" w:eastAsia="Calibri" w:hAnsi="Times New Roman" w:cs="Times New Roman"/>
        </w:rPr>
        <w:t xml:space="preserve"> €, za obvezni doprinos na plaće </w:t>
      </w:r>
      <w:r w:rsidR="0006492A" w:rsidRPr="00361332">
        <w:rPr>
          <w:rFonts w:ascii="Times New Roman" w:eastAsia="Calibri" w:hAnsi="Times New Roman" w:cs="Times New Roman"/>
        </w:rPr>
        <w:t>9.337,97</w:t>
      </w:r>
      <w:r w:rsidRPr="00361332">
        <w:rPr>
          <w:rFonts w:ascii="Times New Roman" w:eastAsia="Calibri" w:hAnsi="Times New Roman" w:cs="Times New Roman"/>
        </w:rPr>
        <w:t xml:space="preserve"> €, za ostale rashode za zaposlene 7</w:t>
      </w:r>
      <w:r w:rsidR="0006492A" w:rsidRPr="00361332">
        <w:rPr>
          <w:rFonts w:ascii="Times New Roman" w:eastAsia="Calibri" w:hAnsi="Times New Roman" w:cs="Times New Roman"/>
        </w:rPr>
        <w:t>.600</w:t>
      </w:r>
      <w:r w:rsidRPr="00361332">
        <w:rPr>
          <w:rFonts w:ascii="Times New Roman" w:eastAsia="Calibri" w:hAnsi="Times New Roman" w:cs="Times New Roman"/>
        </w:rPr>
        <w:t>,00 €</w:t>
      </w:r>
      <w:r w:rsidR="00E95F97" w:rsidRPr="00361332">
        <w:rPr>
          <w:rFonts w:ascii="Times New Roman" w:eastAsia="Calibri" w:hAnsi="Times New Roman" w:cs="Times New Roman"/>
        </w:rPr>
        <w:t xml:space="preserve"> (božićnica 4.500,00 €, darovi djeci 700,00 € i za topli obrok 2.400,00 €)</w:t>
      </w:r>
      <w:r w:rsidRPr="00361332">
        <w:rPr>
          <w:rFonts w:ascii="Times New Roman" w:eastAsia="Calibri" w:hAnsi="Times New Roman" w:cs="Times New Roman"/>
        </w:rPr>
        <w:t xml:space="preserve"> </w:t>
      </w:r>
      <w:r w:rsidR="00E95F97" w:rsidRPr="00361332">
        <w:rPr>
          <w:rFonts w:ascii="Times New Roman" w:eastAsia="Calibri" w:hAnsi="Times New Roman" w:cs="Times New Roman"/>
        </w:rPr>
        <w:t>te</w:t>
      </w:r>
      <w:r w:rsidRPr="00361332">
        <w:rPr>
          <w:rFonts w:ascii="Times New Roman" w:eastAsia="Calibri" w:hAnsi="Times New Roman" w:cs="Times New Roman"/>
        </w:rPr>
        <w:t xml:space="preserve"> za naknade troškova zaposlenima </w:t>
      </w:r>
      <w:r w:rsidR="0006492A" w:rsidRPr="00361332">
        <w:rPr>
          <w:rFonts w:ascii="Times New Roman" w:eastAsia="Calibri" w:hAnsi="Times New Roman" w:cs="Times New Roman"/>
        </w:rPr>
        <w:t>3.517,48</w:t>
      </w:r>
      <w:r w:rsidRPr="00361332">
        <w:rPr>
          <w:rFonts w:ascii="Times New Roman" w:eastAsia="Calibri" w:hAnsi="Times New Roman" w:cs="Times New Roman"/>
        </w:rPr>
        <w:t xml:space="preserve"> € (</w:t>
      </w:r>
      <w:r w:rsidR="0006492A" w:rsidRPr="00361332">
        <w:rPr>
          <w:rFonts w:ascii="Times New Roman" w:eastAsia="Calibri" w:hAnsi="Times New Roman" w:cs="Times New Roman"/>
        </w:rPr>
        <w:t xml:space="preserve">za </w:t>
      </w:r>
      <w:r w:rsidRPr="00361332">
        <w:rPr>
          <w:rFonts w:ascii="Times New Roman" w:eastAsia="Calibri" w:hAnsi="Times New Roman" w:cs="Times New Roman"/>
        </w:rPr>
        <w:t>naknade za prijevoz na posao</w:t>
      </w:r>
      <w:r w:rsidR="0006492A" w:rsidRPr="00361332">
        <w:rPr>
          <w:rFonts w:ascii="Times New Roman" w:eastAsia="Calibri" w:hAnsi="Times New Roman" w:cs="Times New Roman"/>
        </w:rPr>
        <w:t xml:space="preserve"> 2. 541,70 € i za stručno usavršavanje 975,78 €</w:t>
      </w:r>
      <w:r w:rsidRPr="00361332">
        <w:rPr>
          <w:rFonts w:ascii="Times New Roman" w:eastAsia="Calibri" w:hAnsi="Times New Roman" w:cs="Times New Roman"/>
        </w:rPr>
        <w:t>).</w:t>
      </w:r>
    </w:p>
    <w:p w14:paraId="429A94E4" w14:textId="77777777" w:rsidR="00E61108" w:rsidRDefault="00E61108" w:rsidP="0051199C">
      <w:pPr>
        <w:rPr>
          <w:rFonts w:ascii="Times New Roman" w:eastAsia="Calibri" w:hAnsi="Times New Roman" w:cs="Times New Roman"/>
          <w:color w:val="FF0000"/>
        </w:rPr>
      </w:pPr>
    </w:p>
    <w:p w14:paraId="24D2E4EC" w14:textId="4CF087E7" w:rsidR="003A552B" w:rsidRDefault="003A552B" w:rsidP="0051199C">
      <w:pPr>
        <w:rPr>
          <w:rFonts w:ascii="Times New Roman" w:eastAsia="Calibri" w:hAnsi="Times New Roman" w:cs="Times New Roman"/>
        </w:rPr>
      </w:pPr>
      <w:r w:rsidRPr="00823CE1">
        <w:rPr>
          <w:rFonts w:ascii="Times New Roman" w:eastAsia="Calibri" w:hAnsi="Times New Roman" w:cs="Times New Roman"/>
        </w:rPr>
        <w:t>PROGRAM 3015: SOCIJALNI PROGRAM</w:t>
      </w:r>
    </w:p>
    <w:bookmarkEnd w:id="3"/>
    <w:p w14:paraId="49A4EFDA" w14:textId="77777777" w:rsidR="003A552B" w:rsidRPr="00A07A61" w:rsidRDefault="008E4181" w:rsidP="0051199C">
      <w:pPr>
        <w:rPr>
          <w:rFonts w:ascii="Times New Roman" w:eastAsia="Calibri" w:hAnsi="Times New Roman" w:cs="Times New Roman"/>
          <w:u w:val="single"/>
        </w:rPr>
      </w:pPr>
      <w:r w:rsidRPr="00A07A61">
        <w:rPr>
          <w:rFonts w:ascii="Times New Roman" w:eastAsia="Calibri" w:hAnsi="Times New Roman" w:cs="Times New Roman"/>
          <w:u w:val="single"/>
        </w:rPr>
        <w:t>Aktivnost A301508: Pomoć za podmirenje troškova prehrane učenika</w:t>
      </w:r>
      <w:r w:rsidR="003A552B" w:rsidRPr="00A07A61">
        <w:rPr>
          <w:rFonts w:ascii="Times New Roman" w:eastAsia="Calibri" w:hAnsi="Times New Roman" w:cs="Times New Roman"/>
          <w:u w:val="single"/>
        </w:rPr>
        <w:t xml:space="preserve">         </w:t>
      </w:r>
    </w:p>
    <w:p w14:paraId="579247EC" w14:textId="43B45E13" w:rsidR="008308A4" w:rsidRPr="00A07A61" w:rsidRDefault="00177905" w:rsidP="008308A4">
      <w:pPr>
        <w:rPr>
          <w:rFonts w:ascii="Times New Roman" w:eastAsia="Calibri" w:hAnsi="Times New Roman" w:cs="Times New Roman"/>
        </w:rPr>
      </w:pPr>
      <w:r w:rsidRPr="00A07A61">
        <w:rPr>
          <w:rFonts w:ascii="Times New Roman" w:eastAsia="Calibri" w:hAnsi="Times New Roman" w:cs="Times New Roman"/>
        </w:rPr>
        <w:t>R</w:t>
      </w:r>
      <w:r w:rsidR="003A552B" w:rsidRPr="00A07A61">
        <w:rPr>
          <w:rFonts w:ascii="Times New Roman" w:eastAsia="Calibri" w:hAnsi="Times New Roman" w:cs="Times New Roman"/>
        </w:rPr>
        <w:t>ashodi</w:t>
      </w:r>
      <w:r w:rsidRPr="00A07A61">
        <w:rPr>
          <w:rFonts w:ascii="Times New Roman" w:eastAsia="Calibri" w:hAnsi="Times New Roman" w:cs="Times New Roman"/>
        </w:rPr>
        <w:t xml:space="preserve"> </w:t>
      </w:r>
      <w:r w:rsidR="00AE2378" w:rsidRPr="00A07A61">
        <w:rPr>
          <w:rFonts w:ascii="Times New Roman" w:eastAsia="Calibri" w:hAnsi="Times New Roman" w:cs="Times New Roman"/>
        </w:rPr>
        <w:t xml:space="preserve">za namirnice </w:t>
      </w:r>
      <w:r w:rsidRPr="00A07A61">
        <w:rPr>
          <w:rFonts w:ascii="Times New Roman" w:eastAsia="Calibri" w:hAnsi="Times New Roman" w:cs="Times New Roman"/>
        </w:rPr>
        <w:t xml:space="preserve">od </w:t>
      </w:r>
      <w:r w:rsidR="00AE2378" w:rsidRPr="00A07A61">
        <w:rPr>
          <w:rFonts w:ascii="Times New Roman" w:eastAsia="Calibri" w:hAnsi="Times New Roman" w:cs="Times New Roman"/>
        </w:rPr>
        <w:t>2.844,28</w:t>
      </w:r>
      <w:r w:rsidR="00F20BD1" w:rsidRPr="00A07A61">
        <w:rPr>
          <w:rFonts w:ascii="Times New Roman" w:eastAsia="Calibri" w:hAnsi="Times New Roman" w:cs="Times New Roman"/>
        </w:rPr>
        <w:t xml:space="preserve"> € naspram 3.000,00 € planiranog iznosa</w:t>
      </w:r>
      <w:r w:rsidR="003A552B" w:rsidRPr="00A07A61">
        <w:rPr>
          <w:rFonts w:ascii="Times New Roman" w:eastAsia="Calibri" w:hAnsi="Times New Roman" w:cs="Times New Roman"/>
        </w:rPr>
        <w:t xml:space="preserve"> odnose</w:t>
      </w:r>
      <w:r w:rsidR="00F20BD1" w:rsidRPr="00A07A61">
        <w:rPr>
          <w:rFonts w:ascii="Times New Roman" w:eastAsia="Calibri" w:hAnsi="Times New Roman" w:cs="Times New Roman"/>
        </w:rPr>
        <w:t xml:space="preserve"> se</w:t>
      </w:r>
      <w:r w:rsidR="003A552B" w:rsidRPr="00A07A61">
        <w:rPr>
          <w:rFonts w:ascii="Times New Roman" w:eastAsia="Calibri" w:hAnsi="Times New Roman" w:cs="Times New Roman"/>
        </w:rPr>
        <w:t xml:space="preserve"> na sufinanciranje cijene usluge školske kuhinje</w:t>
      </w:r>
      <w:r w:rsidR="00AE2378" w:rsidRPr="00A07A61">
        <w:rPr>
          <w:rFonts w:ascii="Times New Roman" w:eastAsia="Calibri" w:hAnsi="Times New Roman" w:cs="Times New Roman"/>
        </w:rPr>
        <w:t xml:space="preserve"> </w:t>
      </w:r>
      <w:r w:rsidR="006F6701" w:rsidRPr="00A07A61">
        <w:rPr>
          <w:rFonts w:ascii="Times New Roman" w:eastAsia="Calibri" w:hAnsi="Times New Roman" w:cs="Times New Roman"/>
        </w:rPr>
        <w:t>od uplata</w:t>
      </w:r>
      <w:r w:rsidR="00F20BD1" w:rsidRPr="00A07A61">
        <w:rPr>
          <w:rFonts w:ascii="Times New Roman" w:eastAsia="Calibri" w:hAnsi="Times New Roman" w:cs="Times New Roman"/>
        </w:rPr>
        <w:t xml:space="preserve"> za učenike u produženom boravku i zaposlenika koji koriste uslugu prehrane u školskoj kuhinji.</w:t>
      </w:r>
    </w:p>
    <w:p w14:paraId="508D4549" w14:textId="3E6E6C1A" w:rsidR="003532CD" w:rsidRPr="00424B0D" w:rsidRDefault="003532CD" w:rsidP="003532CD">
      <w:pPr>
        <w:rPr>
          <w:rFonts w:ascii="Times New Roman" w:eastAsia="Calibri" w:hAnsi="Times New Roman" w:cs="Times New Roman"/>
        </w:rPr>
      </w:pPr>
      <w:r w:rsidRPr="00424B0D">
        <w:rPr>
          <w:rFonts w:ascii="Times New Roman" w:eastAsia="Calibri" w:hAnsi="Times New Roman" w:cs="Times New Roman"/>
        </w:rPr>
        <w:t>PROGRAM 6002: ERASMUS+</w:t>
      </w:r>
    </w:p>
    <w:p w14:paraId="2FC01D99" w14:textId="77777777" w:rsidR="00787620" w:rsidRPr="00424B0D" w:rsidRDefault="00787620" w:rsidP="00787620">
      <w:pPr>
        <w:rPr>
          <w:rFonts w:ascii="Times New Roman" w:eastAsia="Calibri" w:hAnsi="Times New Roman" w:cs="Times New Roman"/>
        </w:rPr>
      </w:pPr>
      <w:r w:rsidRPr="00424B0D">
        <w:rPr>
          <w:rFonts w:ascii="Times New Roman" w:eastAsia="Calibri" w:hAnsi="Times New Roman" w:cs="Times New Roman"/>
        </w:rPr>
        <w:t>Cilj Programa Erasmus+ je cjeloživotnim učenjem podupirati obrazovni, profesionalni i osobni razvoj zaposlenika.</w:t>
      </w:r>
    </w:p>
    <w:p w14:paraId="2A0DC32B" w14:textId="77777777" w:rsidR="003532CD" w:rsidRPr="00424B0D" w:rsidRDefault="003532CD" w:rsidP="003532CD">
      <w:pPr>
        <w:rPr>
          <w:rFonts w:ascii="Times New Roman" w:eastAsia="Calibri" w:hAnsi="Times New Roman" w:cs="Times New Roman"/>
          <w:u w:val="single"/>
        </w:rPr>
      </w:pPr>
      <w:r w:rsidRPr="00424B0D">
        <w:rPr>
          <w:rFonts w:ascii="Times New Roman" w:eastAsia="Calibri" w:hAnsi="Times New Roman" w:cs="Times New Roman"/>
          <w:u w:val="single"/>
        </w:rPr>
        <w:lastRenderedPageBreak/>
        <w:t xml:space="preserve">Aktivnost A600202: Erasmus+ </w:t>
      </w:r>
    </w:p>
    <w:p w14:paraId="7271BFFD" w14:textId="1DEF6A35" w:rsidR="003532CD" w:rsidRPr="00424B0D" w:rsidRDefault="003532CD" w:rsidP="003532CD">
      <w:pPr>
        <w:rPr>
          <w:rFonts w:ascii="Times New Roman" w:eastAsia="Calibri" w:hAnsi="Times New Roman" w:cs="Times New Roman"/>
        </w:rPr>
      </w:pPr>
      <w:r w:rsidRPr="00424B0D">
        <w:rPr>
          <w:rFonts w:ascii="Times New Roman" w:eastAsia="Calibri" w:hAnsi="Times New Roman" w:cs="Times New Roman"/>
        </w:rPr>
        <w:t xml:space="preserve">Agencija za mobilnost i programe EU izvršila je </w:t>
      </w:r>
      <w:r w:rsidR="00484712" w:rsidRPr="00424B0D">
        <w:rPr>
          <w:rFonts w:ascii="Times New Roman" w:eastAsia="Calibri" w:hAnsi="Times New Roman" w:cs="Times New Roman"/>
        </w:rPr>
        <w:t>jednu</w:t>
      </w:r>
      <w:r w:rsidRPr="00424B0D">
        <w:rPr>
          <w:rFonts w:ascii="Times New Roman" w:eastAsia="Calibri" w:hAnsi="Times New Roman" w:cs="Times New Roman"/>
        </w:rPr>
        <w:t xml:space="preserve"> uplat</w:t>
      </w:r>
      <w:r w:rsidR="00484712" w:rsidRPr="00424B0D">
        <w:rPr>
          <w:rFonts w:ascii="Times New Roman" w:eastAsia="Calibri" w:hAnsi="Times New Roman" w:cs="Times New Roman"/>
        </w:rPr>
        <w:t>u</w:t>
      </w:r>
      <w:r w:rsidRPr="00424B0D">
        <w:rPr>
          <w:rFonts w:ascii="Times New Roman" w:eastAsia="Calibri" w:hAnsi="Times New Roman" w:cs="Times New Roman"/>
        </w:rPr>
        <w:t xml:space="preserve"> u 202</w:t>
      </w:r>
      <w:r w:rsidR="00484712" w:rsidRPr="00424B0D">
        <w:rPr>
          <w:rFonts w:ascii="Times New Roman" w:eastAsia="Calibri" w:hAnsi="Times New Roman" w:cs="Times New Roman"/>
        </w:rPr>
        <w:t>4</w:t>
      </w:r>
      <w:r w:rsidRPr="00424B0D">
        <w:rPr>
          <w:rFonts w:ascii="Times New Roman" w:eastAsia="Calibri" w:hAnsi="Times New Roman" w:cs="Times New Roman"/>
        </w:rPr>
        <w:t>. godini,</w:t>
      </w:r>
      <w:r w:rsidR="00484712" w:rsidRPr="00424B0D">
        <w:rPr>
          <w:rFonts w:ascii="Times New Roman" w:eastAsia="Calibri" w:hAnsi="Times New Roman" w:cs="Times New Roman"/>
        </w:rPr>
        <w:t xml:space="preserve"> i to 232,85 €,</w:t>
      </w:r>
      <w:r w:rsidRPr="00424B0D">
        <w:rPr>
          <w:rFonts w:ascii="Times New Roman" w:eastAsia="Calibri" w:hAnsi="Times New Roman" w:cs="Times New Roman"/>
        </w:rPr>
        <w:t xml:space="preserve"> a preneseni višak iz prethodne godine</w:t>
      </w:r>
      <w:r w:rsidR="004567D6" w:rsidRPr="00424B0D">
        <w:rPr>
          <w:rFonts w:ascii="Times New Roman" w:eastAsia="Calibri" w:hAnsi="Times New Roman" w:cs="Times New Roman"/>
        </w:rPr>
        <w:t xml:space="preserve"> (neutrošena ranije dobivena sredstva)</w:t>
      </w:r>
      <w:r w:rsidRPr="00424B0D">
        <w:rPr>
          <w:rFonts w:ascii="Times New Roman" w:eastAsia="Calibri" w:hAnsi="Times New Roman" w:cs="Times New Roman"/>
        </w:rPr>
        <w:t xml:space="preserve"> iznosio je</w:t>
      </w:r>
      <w:r w:rsidR="00484712" w:rsidRPr="00424B0D">
        <w:rPr>
          <w:rFonts w:ascii="Times New Roman" w:eastAsia="Calibri" w:hAnsi="Times New Roman" w:cs="Times New Roman"/>
        </w:rPr>
        <w:t xml:space="preserve"> 3.123,52</w:t>
      </w:r>
      <w:r w:rsidRPr="00424B0D">
        <w:rPr>
          <w:rFonts w:ascii="Times New Roman" w:eastAsia="Calibri" w:hAnsi="Times New Roman" w:cs="Times New Roman"/>
        </w:rPr>
        <w:t xml:space="preserve"> €</w:t>
      </w:r>
      <w:r w:rsidR="004567D6" w:rsidRPr="00424B0D">
        <w:rPr>
          <w:rFonts w:ascii="Times New Roman" w:eastAsia="Calibri" w:hAnsi="Times New Roman" w:cs="Times New Roman"/>
        </w:rPr>
        <w:t xml:space="preserve"> te je uz 2.</w:t>
      </w:r>
      <w:r w:rsidR="00484712" w:rsidRPr="00424B0D">
        <w:rPr>
          <w:rFonts w:ascii="Times New Roman" w:eastAsia="Calibri" w:hAnsi="Times New Roman" w:cs="Times New Roman"/>
        </w:rPr>
        <w:t>303,56</w:t>
      </w:r>
      <w:r w:rsidR="004567D6" w:rsidRPr="00424B0D">
        <w:rPr>
          <w:rFonts w:ascii="Times New Roman" w:eastAsia="Calibri" w:hAnsi="Times New Roman" w:cs="Times New Roman"/>
        </w:rPr>
        <w:t xml:space="preserve"> € izvršenih rashoda, preostalo </w:t>
      </w:r>
      <w:r w:rsidR="001D76D6" w:rsidRPr="00424B0D">
        <w:rPr>
          <w:rFonts w:ascii="Times New Roman" w:eastAsia="Calibri" w:hAnsi="Times New Roman" w:cs="Times New Roman"/>
        </w:rPr>
        <w:t>1.052,81</w:t>
      </w:r>
      <w:r w:rsidR="004567D6" w:rsidRPr="00424B0D">
        <w:rPr>
          <w:rFonts w:ascii="Times New Roman" w:eastAsia="Calibri" w:hAnsi="Times New Roman" w:cs="Times New Roman"/>
        </w:rPr>
        <w:t xml:space="preserve"> € za prijenos u</w:t>
      </w:r>
      <w:r w:rsidR="001D76D6" w:rsidRPr="00424B0D">
        <w:rPr>
          <w:rFonts w:ascii="Times New Roman" w:eastAsia="Calibri" w:hAnsi="Times New Roman" w:cs="Times New Roman"/>
        </w:rPr>
        <w:t xml:space="preserve"> slijedeću</w:t>
      </w:r>
      <w:r w:rsidR="004567D6" w:rsidRPr="00424B0D">
        <w:rPr>
          <w:rFonts w:ascii="Times New Roman" w:eastAsia="Calibri" w:hAnsi="Times New Roman" w:cs="Times New Roman"/>
        </w:rPr>
        <w:t xml:space="preserve"> godinu.</w:t>
      </w:r>
    </w:p>
    <w:p w14:paraId="4CC4ECB6" w14:textId="77777777" w:rsidR="00D90B83" w:rsidRDefault="000417E9" w:rsidP="003A552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PROGRAM 9000: </w:t>
      </w:r>
      <w:r w:rsidR="00D90B83">
        <w:rPr>
          <w:rFonts w:ascii="Times New Roman" w:eastAsia="Calibri" w:hAnsi="Times New Roman" w:cs="Times New Roman"/>
        </w:rPr>
        <w:t xml:space="preserve">COP </w:t>
      </w:r>
    </w:p>
    <w:p w14:paraId="39B9E074" w14:textId="3497B205" w:rsidR="00D90B83" w:rsidRDefault="000417E9" w:rsidP="003A552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Aktivnost A900004</w:t>
      </w:r>
      <w:r w:rsidR="00C42588">
        <w:rPr>
          <w:rFonts w:ascii="Times New Roman" w:eastAsia="Calibri" w:hAnsi="Times New Roman" w:cs="Times New Roman"/>
          <w:u w:val="single"/>
        </w:rPr>
        <w:t>:</w:t>
      </w:r>
      <w:r>
        <w:rPr>
          <w:rFonts w:ascii="Times New Roman" w:eastAsia="Calibri" w:hAnsi="Times New Roman" w:cs="Times New Roman"/>
          <w:u w:val="single"/>
        </w:rPr>
        <w:t xml:space="preserve"> COP COOR</w:t>
      </w:r>
    </w:p>
    <w:p w14:paraId="2AE48FEB" w14:textId="40C8215E" w:rsidR="00C94666" w:rsidRPr="00484712" w:rsidRDefault="00C02273" w:rsidP="003A552B">
      <w:pPr>
        <w:rPr>
          <w:rFonts w:ascii="Times New Roman" w:eastAsia="Calibri" w:hAnsi="Times New Roman" w:cs="Times New Roman"/>
        </w:rPr>
      </w:pPr>
      <w:r w:rsidRPr="00484712">
        <w:rPr>
          <w:rFonts w:ascii="Times New Roman" w:eastAsia="Calibri" w:hAnsi="Times New Roman" w:cs="Times New Roman"/>
        </w:rPr>
        <w:t xml:space="preserve">Godišnji plan od </w:t>
      </w:r>
      <w:r w:rsidR="0067684A" w:rsidRPr="00484712">
        <w:rPr>
          <w:rFonts w:ascii="Times New Roman" w:eastAsia="Calibri" w:hAnsi="Times New Roman" w:cs="Times New Roman"/>
        </w:rPr>
        <w:t>1.045.250</w:t>
      </w:r>
      <w:r w:rsidR="00873989" w:rsidRPr="00484712">
        <w:rPr>
          <w:rFonts w:ascii="Times New Roman" w:eastAsia="Calibri" w:hAnsi="Times New Roman" w:cs="Times New Roman"/>
        </w:rPr>
        <w:t>,00 €</w:t>
      </w:r>
      <w:r w:rsidR="00D90B83" w:rsidRPr="00484712">
        <w:rPr>
          <w:rFonts w:ascii="Times New Roman" w:eastAsia="Calibri" w:hAnsi="Times New Roman" w:cs="Times New Roman"/>
        </w:rPr>
        <w:t xml:space="preserve"> realiziran </w:t>
      </w:r>
      <w:r w:rsidRPr="00484712">
        <w:rPr>
          <w:rFonts w:ascii="Times New Roman" w:eastAsia="Calibri" w:hAnsi="Times New Roman" w:cs="Times New Roman"/>
        </w:rPr>
        <w:t>je</w:t>
      </w:r>
      <w:r w:rsidR="00C60784" w:rsidRPr="00484712">
        <w:rPr>
          <w:rFonts w:ascii="Times New Roman" w:eastAsia="Calibri" w:hAnsi="Times New Roman" w:cs="Times New Roman"/>
        </w:rPr>
        <w:t xml:space="preserve"> </w:t>
      </w:r>
      <w:r w:rsidR="00873989" w:rsidRPr="00484712">
        <w:rPr>
          <w:rFonts w:ascii="Times New Roman" w:eastAsia="Calibri" w:hAnsi="Times New Roman" w:cs="Times New Roman"/>
        </w:rPr>
        <w:t xml:space="preserve">sa </w:t>
      </w:r>
      <w:r w:rsidR="00C60784" w:rsidRPr="00484712">
        <w:rPr>
          <w:rFonts w:ascii="Times New Roman" w:eastAsia="Calibri" w:hAnsi="Times New Roman" w:cs="Times New Roman"/>
        </w:rPr>
        <w:t>98,</w:t>
      </w:r>
      <w:r w:rsidR="0067684A" w:rsidRPr="00484712">
        <w:rPr>
          <w:rFonts w:ascii="Times New Roman" w:eastAsia="Calibri" w:hAnsi="Times New Roman" w:cs="Times New Roman"/>
        </w:rPr>
        <w:t>37</w:t>
      </w:r>
      <w:r w:rsidR="00D90B83" w:rsidRPr="00484712">
        <w:rPr>
          <w:rFonts w:ascii="Times New Roman" w:eastAsia="Calibri" w:hAnsi="Times New Roman" w:cs="Times New Roman"/>
        </w:rPr>
        <w:t xml:space="preserve">% </w:t>
      </w:r>
      <w:r w:rsidRPr="00484712">
        <w:rPr>
          <w:rFonts w:ascii="Times New Roman" w:eastAsia="Calibri" w:hAnsi="Times New Roman" w:cs="Times New Roman"/>
        </w:rPr>
        <w:t xml:space="preserve">odnosno </w:t>
      </w:r>
      <w:r w:rsidR="0067684A" w:rsidRPr="00484712">
        <w:rPr>
          <w:rFonts w:ascii="Times New Roman" w:eastAsia="Calibri" w:hAnsi="Times New Roman" w:cs="Times New Roman"/>
        </w:rPr>
        <w:t>1.028.189,80</w:t>
      </w:r>
      <w:r w:rsidR="00873989" w:rsidRPr="00484712">
        <w:rPr>
          <w:rFonts w:ascii="Times New Roman" w:eastAsia="Calibri" w:hAnsi="Times New Roman" w:cs="Times New Roman"/>
        </w:rPr>
        <w:t xml:space="preserve"> €</w:t>
      </w:r>
      <w:r w:rsidR="009E33C6" w:rsidRPr="00484712">
        <w:rPr>
          <w:rFonts w:ascii="Times New Roman" w:eastAsia="Calibri" w:hAnsi="Times New Roman" w:cs="Times New Roman"/>
        </w:rPr>
        <w:t>.</w:t>
      </w:r>
      <w:r w:rsidR="00C94666" w:rsidRPr="00484712">
        <w:rPr>
          <w:rFonts w:ascii="Times New Roman" w:eastAsia="Calibri" w:hAnsi="Times New Roman" w:cs="Times New Roman"/>
        </w:rPr>
        <w:t xml:space="preserve"> Ovi rashodi odnose se samo na zaposlene u školi i p</w:t>
      </w:r>
      <w:r w:rsidR="00E800D6" w:rsidRPr="00484712">
        <w:rPr>
          <w:rFonts w:ascii="Times New Roman" w:eastAsia="Calibri" w:hAnsi="Times New Roman" w:cs="Times New Roman"/>
        </w:rPr>
        <w:t>okriva</w:t>
      </w:r>
      <w:r w:rsidR="00C94666" w:rsidRPr="00484712">
        <w:rPr>
          <w:rFonts w:ascii="Times New Roman" w:eastAsia="Calibri" w:hAnsi="Times New Roman" w:cs="Times New Roman"/>
        </w:rPr>
        <w:t xml:space="preserve"> ih MZO</w:t>
      </w:r>
      <w:r w:rsidR="0067684A" w:rsidRPr="00484712">
        <w:rPr>
          <w:rFonts w:ascii="Times New Roman" w:eastAsia="Calibri" w:hAnsi="Times New Roman" w:cs="Times New Roman"/>
        </w:rPr>
        <w:t>M</w:t>
      </w:r>
      <w:r w:rsidR="00C94666" w:rsidRPr="00484712">
        <w:rPr>
          <w:rFonts w:ascii="Times New Roman" w:eastAsia="Calibri" w:hAnsi="Times New Roman" w:cs="Times New Roman"/>
        </w:rPr>
        <w:t xml:space="preserve"> kroz sustav centralnog obračuna</w:t>
      </w:r>
      <w:r w:rsidR="00C60784" w:rsidRPr="00484712">
        <w:rPr>
          <w:rFonts w:ascii="Times New Roman" w:eastAsia="Calibri" w:hAnsi="Times New Roman" w:cs="Times New Roman"/>
        </w:rPr>
        <w:t xml:space="preserve"> plaća.</w:t>
      </w:r>
      <w:r w:rsidR="00C94666" w:rsidRPr="00484712">
        <w:rPr>
          <w:rFonts w:ascii="Times New Roman" w:eastAsia="Calibri" w:hAnsi="Times New Roman" w:cs="Times New Roman"/>
        </w:rPr>
        <w:t xml:space="preserve">  </w:t>
      </w:r>
    </w:p>
    <w:p w14:paraId="1D71F2AE" w14:textId="5626D92A" w:rsidR="00A9275A" w:rsidRPr="00484712" w:rsidRDefault="00C94666" w:rsidP="003A552B">
      <w:pPr>
        <w:rPr>
          <w:rFonts w:ascii="Times New Roman" w:eastAsia="Calibri" w:hAnsi="Times New Roman" w:cs="Times New Roman"/>
        </w:rPr>
      </w:pPr>
      <w:r w:rsidRPr="00484712">
        <w:rPr>
          <w:rFonts w:ascii="Times New Roman" w:eastAsia="Calibri" w:hAnsi="Times New Roman" w:cs="Times New Roman"/>
        </w:rPr>
        <w:t xml:space="preserve">U </w:t>
      </w:r>
      <w:r w:rsidR="009E33C6" w:rsidRPr="00484712">
        <w:rPr>
          <w:rFonts w:ascii="Times New Roman" w:eastAsia="Calibri" w:hAnsi="Times New Roman" w:cs="Times New Roman"/>
        </w:rPr>
        <w:t>tom zbirnom iznosu sadržane su bruto plaće za</w:t>
      </w:r>
      <w:r w:rsidR="00C02273" w:rsidRPr="00484712">
        <w:rPr>
          <w:rFonts w:ascii="Times New Roman" w:eastAsia="Calibri" w:hAnsi="Times New Roman" w:cs="Times New Roman"/>
        </w:rPr>
        <w:t xml:space="preserve">poslenih u školi od </w:t>
      </w:r>
      <w:r w:rsidR="0067684A" w:rsidRPr="00484712">
        <w:rPr>
          <w:rFonts w:ascii="Times New Roman" w:eastAsia="Calibri" w:hAnsi="Times New Roman" w:cs="Times New Roman"/>
        </w:rPr>
        <w:t>837.505,82</w:t>
      </w:r>
      <w:r w:rsidR="00873989" w:rsidRPr="00484712">
        <w:rPr>
          <w:rFonts w:ascii="Times New Roman" w:eastAsia="Calibri" w:hAnsi="Times New Roman" w:cs="Times New Roman"/>
        </w:rPr>
        <w:t xml:space="preserve"> €</w:t>
      </w:r>
      <w:r w:rsidR="009E33C6" w:rsidRPr="00484712">
        <w:rPr>
          <w:rFonts w:ascii="Times New Roman" w:eastAsia="Calibri" w:hAnsi="Times New Roman" w:cs="Times New Roman"/>
        </w:rPr>
        <w:t>, ostali ra</w:t>
      </w:r>
      <w:r w:rsidR="00C02273" w:rsidRPr="00484712">
        <w:rPr>
          <w:rFonts w:ascii="Times New Roman" w:eastAsia="Calibri" w:hAnsi="Times New Roman" w:cs="Times New Roman"/>
        </w:rPr>
        <w:t xml:space="preserve">shodi za zaposlene od </w:t>
      </w:r>
      <w:r w:rsidR="00C60784" w:rsidRPr="00484712">
        <w:rPr>
          <w:rFonts w:ascii="Times New Roman" w:eastAsia="Calibri" w:hAnsi="Times New Roman" w:cs="Times New Roman"/>
        </w:rPr>
        <w:t>3</w:t>
      </w:r>
      <w:r w:rsidR="0067684A" w:rsidRPr="00484712">
        <w:rPr>
          <w:rFonts w:ascii="Times New Roman" w:eastAsia="Calibri" w:hAnsi="Times New Roman" w:cs="Times New Roman"/>
        </w:rPr>
        <w:t>7.087,18</w:t>
      </w:r>
      <w:r w:rsidR="00873989" w:rsidRPr="00484712">
        <w:rPr>
          <w:rFonts w:ascii="Times New Roman" w:eastAsia="Calibri" w:hAnsi="Times New Roman" w:cs="Times New Roman"/>
        </w:rPr>
        <w:t xml:space="preserve"> €</w:t>
      </w:r>
      <w:r w:rsidR="009E33C6" w:rsidRPr="00484712">
        <w:rPr>
          <w:rFonts w:ascii="Times New Roman" w:eastAsia="Calibri" w:hAnsi="Times New Roman" w:cs="Times New Roman"/>
        </w:rPr>
        <w:t xml:space="preserve">, </w:t>
      </w:r>
      <w:r w:rsidR="00C02273" w:rsidRPr="00484712">
        <w:rPr>
          <w:rFonts w:ascii="Times New Roman" w:eastAsia="Calibri" w:hAnsi="Times New Roman" w:cs="Times New Roman"/>
        </w:rPr>
        <w:t xml:space="preserve">doprinosi od </w:t>
      </w:r>
      <w:r w:rsidR="00C60784" w:rsidRPr="00484712">
        <w:rPr>
          <w:rFonts w:ascii="Times New Roman" w:eastAsia="Calibri" w:hAnsi="Times New Roman" w:cs="Times New Roman"/>
        </w:rPr>
        <w:t>1</w:t>
      </w:r>
      <w:r w:rsidR="0067684A" w:rsidRPr="00484712">
        <w:rPr>
          <w:rFonts w:ascii="Times New Roman" w:eastAsia="Calibri" w:hAnsi="Times New Roman" w:cs="Times New Roman"/>
        </w:rPr>
        <w:t>38.188,38</w:t>
      </w:r>
      <w:r w:rsidR="00873989" w:rsidRPr="00484712">
        <w:rPr>
          <w:rFonts w:ascii="Times New Roman" w:eastAsia="Calibri" w:hAnsi="Times New Roman" w:cs="Times New Roman"/>
        </w:rPr>
        <w:t xml:space="preserve"> €</w:t>
      </w:r>
      <w:r w:rsidR="009E33C6" w:rsidRPr="00484712">
        <w:rPr>
          <w:rFonts w:ascii="Times New Roman" w:eastAsia="Calibri" w:hAnsi="Times New Roman" w:cs="Times New Roman"/>
        </w:rPr>
        <w:t xml:space="preserve"> i naknade za pri</w:t>
      </w:r>
      <w:r w:rsidR="00C02273" w:rsidRPr="00484712">
        <w:rPr>
          <w:rFonts w:ascii="Times New Roman" w:eastAsia="Calibri" w:hAnsi="Times New Roman" w:cs="Times New Roman"/>
        </w:rPr>
        <w:t>jevoz na i s posla od</w:t>
      </w:r>
      <w:r w:rsidR="000A1E82" w:rsidRPr="00484712">
        <w:rPr>
          <w:rFonts w:ascii="Times New Roman" w:eastAsia="Calibri" w:hAnsi="Times New Roman" w:cs="Times New Roman"/>
        </w:rPr>
        <w:t xml:space="preserve"> </w:t>
      </w:r>
      <w:r w:rsidR="00C60784" w:rsidRPr="00484712">
        <w:rPr>
          <w:rFonts w:ascii="Times New Roman" w:eastAsia="Calibri" w:hAnsi="Times New Roman" w:cs="Times New Roman"/>
        </w:rPr>
        <w:t>1</w:t>
      </w:r>
      <w:r w:rsidR="0067684A" w:rsidRPr="00484712">
        <w:rPr>
          <w:rFonts w:ascii="Times New Roman" w:eastAsia="Calibri" w:hAnsi="Times New Roman" w:cs="Times New Roman"/>
        </w:rPr>
        <w:t>5.408,42</w:t>
      </w:r>
      <w:r w:rsidR="000A1E82" w:rsidRPr="00484712">
        <w:rPr>
          <w:rFonts w:ascii="Times New Roman" w:eastAsia="Calibri" w:hAnsi="Times New Roman" w:cs="Times New Roman"/>
        </w:rPr>
        <w:t xml:space="preserve"> €</w:t>
      </w:r>
      <w:r w:rsidR="009E33C6" w:rsidRPr="00484712">
        <w:rPr>
          <w:rFonts w:ascii="Times New Roman" w:eastAsia="Calibri" w:hAnsi="Times New Roman" w:cs="Times New Roman"/>
        </w:rPr>
        <w:t>.</w:t>
      </w:r>
      <w:r w:rsidR="00CC26E0" w:rsidRPr="00484712">
        <w:rPr>
          <w:rFonts w:ascii="Times New Roman" w:eastAsia="Calibri" w:hAnsi="Times New Roman" w:cs="Times New Roman"/>
        </w:rPr>
        <w:t xml:space="preserve"> </w:t>
      </w:r>
    </w:p>
    <w:p w14:paraId="3777BB8D" w14:textId="717F01EB" w:rsidR="00D90B83" w:rsidRPr="00484712" w:rsidRDefault="00A9275A" w:rsidP="003A552B">
      <w:pPr>
        <w:rPr>
          <w:rFonts w:ascii="Times New Roman" w:eastAsia="Calibri" w:hAnsi="Times New Roman" w:cs="Times New Roman"/>
        </w:rPr>
      </w:pPr>
      <w:r w:rsidRPr="00484712">
        <w:rPr>
          <w:rFonts w:ascii="Times New Roman" w:eastAsia="Calibri" w:hAnsi="Times New Roman" w:cs="Times New Roman"/>
        </w:rPr>
        <w:t xml:space="preserve">Za redovan rad isplaćeno je bruto </w:t>
      </w:r>
      <w:r w:rsidR="00484712" w:rsidRPr="00484712">
        <w:rPr>
          <w:rFonts w:ascii="Times New Roman" w:eastAsia="Calibri" w:hAnsi="Times New Roman" w:cs="Times New Roman"/>
        </w:rPr>
        <w:t>792.592,30</w:t>
      </w:r>
      <w:r w:rsidR="000A1E82" w:rsidRPr="00484712">
        <w:rPr>
          <w:rFonts w:ascii="Times New Roman" w:eastAsia="Calibri" w:hAnsi="Times New Roman" w:cs="Times New Roman"/>
        </w:rPr>
        <w:t xml:space="preserve"> €</w:t>
      </w:r>
      <w:r w:rsidRPr="00484712">
        <w:rPr>
          <w:rFonts w:ascii="Times New Roman" w:eastAsia="Calibri" w:hAnsi="Times New Roman" w:cs="Times New Roman"/>
        </w:rPr>
        <w:t xml:space="preserve">, za prekovremeni rad (samo učitelji) </w:t>
      </w:r>
      <w:r w:rsidR="00484712" w:rsidRPr="00484712">
        <w:rPr>
          <w:rFonts w:ascii="Times New Roman" w:eastAsia="Calibri" w:hAnsi="Times New Roman" w:cs="Times New Roman"/>
        </w:rPr>
        <w:t>12.941,77</w:t>
      </w:r>
      <w:r w:rsidR="000A1E82" w:rsidRPr="00484712">
        <w:rPr>
          <w:rFonts w:ascii="Times New Roman" w:eastAsia="Calibri" w:hAnsi="Times New Roman" w:cs="Times New Roman"/>
        </w:rPr>
        <w:t xml:space="preserve"> €</w:t>
      </w:r>
      <w:r w:rsidRPr="00484712">
        <w:rPr>
          <w:rFonts w:ascii="Times New Roman" w:eastAsia="Calibri" w:hAnsi="Times New Roman" w:cs="Times New Roman"/>
        </w:rPr>
        <w:t xml:space="preserve"> i za posebne uvjete rada </w:t>
      </w:r>
      <w:r w:rsidR="00484712" w:rsidRPr="00484712">
        <w:rPr>
          <w:rFonts w:ascii="Times New Roman" w:eastAsia="Calibri" w:hAnsi="Times New Roman" w:cs="Times New Roman"/>
        </w:rPr>
        <w:t>31.971,75</w:t>
      </w:r>
      <w:r w:rsidR="000A1E82" w:rsidRPr="00484712">
        <w:rPr>
          <w:rFonts w:ascii="Times New Roman" w:eastAsia="Calibri" w:hAnsi="Times New Roman" w:cs="Times New Roman"/>
        </w:rPr>
        <w:t xml:space="preserve"> €</w:t>
      </w:r>
      <w:r w:rsidRPr="00484712">
        <w:rPr>
          <w:rFonts w:ascii="Times New Roman" w:eastAsia="Calibri" w:hAnsi="Times New Roman" w:cs="Times New Roman"/>
        </w:rPr>
        <w:t>.</w:t>
      </w:r>
    </w:p>
    <w:p w14:paraId="0A53E791" w14:textId="2EBABCFA" w:rsidR="00A16F24" w:rsidRPr="00E61108" w:rsidRDefault="007E09CB" w:rsidP="007E5D48">
      <w:pPr>
        <w:rPr>
          <w:rFonts w:ascii="Times New Roman" w:eastAsia="Calibri" w:hAnsi="Times New Roman" w:cs="Times New Roman"/>
        </w:rPr>
      </w:pPr>
      <w:r w:rsidRPr="00E61108">
        <w:rPr>
          <w:rFonts w:ascii="Times New Roman" w:eastAsia="Calibri" w:hAnsi="Times New Roman" w:cs="Times New Roman"/>
        </w:rPr>
        <w:t>Struktura ostalih rashoda je slijedeća: nagrade</w:t>
      </w:r>
      <w:r w:rsidR="00EB72CD" w:rsidRPr="00E61108">
        <w:rPr>
          <w:rFonts w:ascii="Times New Roman" w:eastAsia="Calibri" w:hAnsi="Times New Roman" w:cs="Times New Roman"/>
        </w:rPr>
        <w:t xml:space="preserve"> </w:t>
      </w:r>
      <w:r w:rsidR="00E61108" w:rsidRPr="00E61108">
        <w:rPr>
          <w:rFonts w:ascii="Times New Roman" w:eastAsia="Calibri" w:hAnsi="Times New Roman" w:cs="Times New Roman"/>
        </w:rPr>
        <w:t xml:space="preserve">(jubilarne, uskrsnice i božićnice) </w:t>
      </w:r>
      <w:r w:rsidR="00EB72CD" w:rsidRPr="00E61108">
        <w:rPr>
          <w:rFonts w:ascii="Times New Roman" w:eastAsia="Calibri" w:hAnsi="Times New Roman" w:cs="Times New Roman"/>
        </w:rPr>
        <w:t>21.140,73</w:t>
      </w:r>
      <w:r w:rsidR="005F4F30" w:rsidRPr="00E61108">
        <w:rPr>
          <w:rFonts w:ascii="Times New Roman" w:eastAsia="Calibri" w:hAnsi="Times New Roman" w:cs="Times New Roman"/>
        </w:rPr>
        <w:t xml:space="preserve"> €,</w:t>
      </w:r>
      <w:r w:rsidRPr="00E61108">
        <w:rPr>
          <w:rFonts w:ascii="Times New Roman" w:eastAsia="Calibri" w:hAnsi="Times New Roman" w:cs="Times New Roman"/>
        </w:rPr>
        <w:t xml:space="preserve"> </w:t>
      </w:r>
      <w:r w:rsidR="00EB72CD" w:rsidRPr="00E61108">
        <w:rPr>
          <w:rFonts w:ascii="Times New Roman" w:eastAsia="Calibri" w:hAnsi="Times New Roman" w:cs="Times New Roman"/>
        </w:rPr>
        <w:t>darovi djeci 2.800,00 €</w:t>
      </w:r>
      <w:r w:rsidRPr="00E61108">
        <w:rPr>
          <w:rFonts w:ascii="Times New Roman" w:eastAsia="Calibri" w:hAnsi="Times New Roman" w:cs="Times New Roman"/>
        </w:rPr>
        <w:t xml:space="preserve">, regres za godišnji odmor </w:t>
      </w:r>
      <w:r w:rsidR="00505870" w:rsidRPr="00E61108">
        <w:rPr>
          <w:rFonts w:ascii="Times New Roman" w:eastAsia="Calibri" w:hAnsi="Times New Roman" w:cs="Times New Roman"/>
        </w:rPr>
        <w:t>11</w:t>
      </w:r>
      <w:r w:rsidR="00EB72CD" w:rsidRPr="00E61108">
        <w:rPr>
          <w:rFonts w:ascii="Times New Roman" w:eastAsia="Calibri" w:hAnsi="Times New Roman" w:cs="Times New Roman"/>
        </w:rPr>
        <w:t>.400,00</w:t>
      </w:r>
      <w:r w:rsidR="005F4F30" w:rsidRPr="00E61108">
        <w:rPr>
          <w:rFonts w:ascii="Times New Roman" w:eastAsia="Calibri" w:hAnsi="Times New Roman" w:cs="Times New Roman"/>
        </w:rPr>
        <w:t xml:space="preserve"> </w:t>
      </w:r>
      <w:r w:rsidR="00EB72CD" w:rsidRPr="00E61108">
        <w:rPr>
          <w:rFonts w:ascii="Times New Roman" w:eastAsia="Calibri" w:hAnsi="Times New Roman" w:cs="Times New Roman"/>
        </w:rPr>
        <w:t>€,</w:t>
      </w:r>
      <w:r w:rsidR="00E61108" w:rsidRPr="00E61108">
        <w:rPr>
          <w:rFonts w:ascii="Times New Roman" w:eastAsia="Calibri" w:hAnsi="Times New Roman" w:cs="Times New Roman"/>
        </w:rPr>
        <w:t xml:space="preserve"> pomoći (zbog smrti u obitelji i za dijete s invaliditetom) 1.525,73 €</w:t>
      </w:r>
      <w:r w:rsidRPr="00E61108">
        <w:rPr>
          <w:rFonts w:ascii="Times New Roman" w:eastAsia="Calibri" w:hAnsi="Times New Roman" w:cs="Times New Roman"/>
        </w:rPr>
        <w:t xml:space="preserve"> i</w:t>
      </w:r>
      <w:r w:rsidR="00083C40" w:rsidRPr="00E61108">
        <w:rPr>
          <w:rFonts w:ascii="Times New Roman" w:eastAsia="Calibri" w:hAnsi="Times New Roman" w:cs="Times New Roman"/>
        </w:rPr>
        <w:t xml:space="preserve"> ostali nenavedeni rashodi</w:t>
      </w:r>
      <w:r w:rsidRPr="00E61108">
        <w:rPr>
          <w:rFonts w:ascii="Times New Roman" w:eastAsia="Calibri" w:hAnsi="Times New Roman" w:cs="Times New Roman"/>
        </w:rPr>
        <w:t xml:space="preserve"> </w:t>
      </w:r>
      <w:r w:rsidR="00EB72CD" w:rsidRPr="00E61108">
        <w:rPr>
          <w:rFonts w:ascii="Times New Roman" w:eastAsia="Calibri" w:hAnsi="Times New Roman" w:cs="Times New Roman"/>
        </w:rPr>
        <w:t>220,72 € (potpora za novorođeno dijete).</w:t>
      </w:r>
    </w:p>
    <w:p w14:paraId="2B5EBBBB" w14:textId="77777777" w:rsidR="00484712" w:rsidRPr="00484712" w:rsidRDefault="00484712" w:rsidP="007E5D48">
      <w:pPr>
        <w:rPr>
          <w:rFonts w:ascii="Times New Roman" w:eastAsia="Calibri" w:hAnsi="Times New Roman" w:cs="Times New Roman"/>
          <w:color w:val="FF0000"/>
        </w:rPr>
      </w:pPr>
    </w:p>
    <w:p w14:paraId="54432E60" w14:textId="7B050313" w:rsidR="007E5D48" w:rsidRPr="00823CE1" w:rsidRDefault="007E5D48" w:rsidP="007E5D48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823CE1">
        <w:rPr>
          <w:rFonts w:ascii="Times New Roman" w:hAnsi="Times New Roman" w:cs="Times New Roman"/>
        </w:rPr>
        <w:t>oditelj računovodstva:</w:t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>Ravnateljica:</w:t>
      </w:r>
    </w:p>
    <w:p w14:paraId="3056FDA8" w14:textId="77777777" w:rsidR="007E5D48" w:rsidRDefault="007E5D48" w:rsidP="007E5D48">
      <w:pPr>
        <w:spacing w:after="0" w:line="240" w:lineRule="auto"/>
        <w:ind w:left="4248" w:hanging="4248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Nikola Đurica, dipl. oec.</w:t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  <w:t>Radmila Popović, mag. rehab. educ.</w:t>
      </w:r>
    </w:p>
    <w:p w14:paraId="000DA8CA" w14:textId="77777777" w:rsidR="007E5D48" w:rsidRDefault="007E5D48" w:rsidP="003A552B">
      <w:pPr>
        <w:rPr>
          <w:rFonts w:ascii="Times New Roman" w:eastAsia="Calibri" w:hAnsi="Times New Roman" w:cs="Times New Roman"/>
        </w:rPr>
      </w:pPr>
    </w:p>
    <w:sectPr w:rsidR="007E5D48" w:rsidSect="001D06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13C02" w14:textId="77777777" w:rsidR="007E2F8A" w:rsidRDefault="007E2F8A" w:rsidP="00F460E9">
      <w:pPr>
        <w:spacing w:after="0" w:line="240" w:lineRule="auto"/>
      </w:pPr>
      <w:r>
        <w:separator/>
      </w:r>
    </w:p>
  </w:endnote>
  <w:endnote w:type="continuationSeparator" w:id="0">
    <w:p w14:paraId="2CC9CB3E" w14:textId="77777777" w:rsidR="007E2F8A" w:rsidRDefault="007E2F8A" w:rsidP="00F4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2475768"/>
      <w:docPartObj>
        <w:docPartGallery w:val="Page Numbers (Bottom of Page)"/>
        <w:docPartUnique/>
      </w:docPartObj>
    </w:sdtPr>
    <w:sdtContent>
      <w:p w14:paraId="34BDECE0" w14:textId="77777777" w:rsidR="00F460E9" w:rsidRDefault="00F460E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514C7" w14:textId="77777777" w:rsidR="00F460E9" w:rsidRDefault="00F460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22AAD" w14:textId="77777777" w:rsidR="007E2F8A" w:rsidRDefault="007E2F8A" w:rsidP="00F460E9">
      <w:pPr>
        <w:spacing w:after="0" w:line="240" w:lineRule="auto"/>
      </w:pPr>
      <w:r>
        <w:separator/>
      </w:r>
    </w:p>
  </w:footnote>
  <w:footnote w:type="continuationSeparator" w:id="0">
    <w:p w14:paraId="16D09C16" w14:textId="77777777" w:rsidR="007E2F8A" w:rsidRDefault="007E2F8A" w:rsidP="00F46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A68C0"/>
    <w:multiLevelType w:val="hybridMultilevel"/>
    <w:tmpl w:val="608436AC"/>
    <w:lvl w:ilvl="0" w:tplc="068A5AC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AE34AF"/>
    <w:multiLevelType w:val="hybridMultilevel"/>
    <w:tmpl w:val="675E0D5A"/>
    <w:lvl w:ilvl="0" w:tplc="FB6E75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823465">
    <w:abstractNumId w:val="0"/>
  </w:num>
  <w:num w:numId="2" w16cid:durableId="210773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DC"/>
    <w:rsid w:val="000131D7"/>
    <w:rsid w:val="00013B4B"/>
    <w:rsid w:val="00013CF6"/>
    <w:rsid w:val="0001650C"/>
    <w:rsid w:val="00021EFC"/>
    <w:rsid w:val="00022562"/>
    <w:rsid w:val="000233F6"/>
    <w:rsid w:val="0002549C"/>
    <w:rsid w:val="00027B14"/>
    <w:rsid w:val="00027F9B"/>
    <w:rsid w:val="00031A34"/>
    <w:rsid w:val="000349A1"/>
    <w:rsid w:val="00036F70"/>
    <w:rsid w:val="000417E9"/>
    <w:rsid w:val="000518EA"/>
    <w:rsid w:val="000562EC"/>
    <w:rsid w:val="00061F0B"/>
    <w:rsid w:val="00063AED"/>
    <w:rsid w:val="0006492A"/>
    <w:rsid w:val="00067B33"/>
    <w:rsid w:val="00067F61"/>
    <w:rsid w:val="00072519"/>
    <w:rsid w:val="0007601F"/>
    <w:rsid w:val="00080867"/>
    <w:rsid w:val="00081CA9"/>
    <w:rsid w:val="00083C40"/>
    <w:rsid w:val="000A124E"/>
    <w:rsid w:val="000A1E82"/>
    <w:rsid w:val="000B30AE"/>
    <w:rsid w:val="000B6AFA"/>
    <w:rsid w:val="000C0E19"/>
    <w:rsid w:val="000C1D06"/>
    <w:rsid w:val="000C27CB"/>
    <w:rsid w:val="000D3F00"/>
    <w:rsid w:val="000D41ED"/>
    <w:rsid w:val="000E155A"/>
    <w:rsid w:val="000E15EF"/>
    <w:rsid w:val="000E36C0"/>
    <w:rsid w:val="000E42C2"/>
    <w:rsid w:val="000E4BE9"/>
    <w:rsid w:val="000E6A4C"/>
    <w:rsid w:val="000E6B41"/>
    <w:rsid w:val="000F2374"/>
    <w:rsid w:val="000F2D7A"/>
    <w:rsid w:val="000F35A8"/>
    <w:rsid w:val="000F6C35"/>
    <w:rsid w:val="000F7794"/>
    <w:rsid w:val="000F7E89"/>
    <w:rsid w:val="00101D52"/>
    <w:rsid w:val="00102909"/>
    <w:rsid w:val="00113D4D"/>
    <w:rsid w:val="0012705C"/>
    <w:rsid w:val="00127ED9"/>
    <w:rsid w:val="00134042"/>
    <w:rsid w:val="00143C77"/>
    <w:rsid w:val="00144A75"/>
    <w:rsid w:val="0014553A"/>
    <w:rsid w:val="001457E7"/>
    <w:rsid w:val="00152151"/>
    <w:rsid w:val="001524CE"/>
    <w:rsid w:val="001549B7"/>
    <w:rsid w:val="001552D2"/>
    <w:rsid w:val="00157144"/>
    <w:rsid w:val="00161DDA"/>
    <w:rsid w:val="001625DF"/>
    <w:rsid w:val="00167963"/>
    <w:rsid w:val="00171A50"/>
    <w:rsid w:val="00177905"/>
    <w:rsid w:val="0019160B"/>
    <w:rsid w:val="00195248"/>
    <w:rsid w:val="0019546C"/>
    <w:rsid w:val="001A099A"/>
    <w:rsid w:val="001A262E"/>
    <w:rsid w:val="001A40ED"/>
    <w:rsid w:val="001A7434"/>
    <w:rsid w:val="001A777D"/>
    <w:rsid w:val="001B01E9"/>
    <w:rsid w:val="001B48AF"/>
    <w:rsid w:val="001B5D20"/>
    <w:rsid w:val="001B5D8D"/>
    <w:rsid w:val="001B6A6D"/>
    <w:rsid w:val="001C211A"/>
    <w:rsid w:val="001C59E8"/>
    <w:rsid w:val="001D02CB"/>
    <w:rsid w:val="001D0640"/>
    <w:rsid w:val="001D0926"/>
    <w:rsid w:val="001D76D6"/>
    <w:rsid w:val="001E5C2E"/>
    <w:rsid w:val="001E7CE4"/>
    <w:rsid w:val="001F1DAF"/>
    <w:rsid w:val="001F31BD"/>
    <w:rsid w:val="001F5B32"/>
    <w:rsid w:val="00200A2C"/>
    <w:rsid w:val="002010D9"/>
    <w:rsid w:val="002058A3"/>
    <w:rsid w:val="0020757A"/>
    <w:rsid w:val="00210033"/>
    <w:rsid w:val="00216955"/>
    <w:rsid w:val="00216CBE"/>
    <w:rsid w:val="00221DF5"/>
    <w:rsid w:val="00233976"/>
    <w:rsid w:val="0023793A"/>
    <w:rsid w:val="0024056A"/>
    <w:rsid w:val="00241858"/>
    <w:rsid w:val="002447A5"/>
    <w:rsid w:val="002449BD"/>
    <w:rsid w:val="00246717"/>
    <w:rsid w:val="002477E6"/>
    <w:rsid w:val="00247911"/>
    <w:rsid w:val="00262725"/>
    <w:rsid w:val="00262B21"/>
    <w:rsid w:val="002654E4"/>
    <w:rsid w:val="00266284"/>
    <w:rsid w:val="00270922"/>
    <w:rsid w:val="00276634"/>
    <w:rsid w:val="002771D0"/>
    <w:rsid w:val="00281AC5"/>
    <w:rsid w:val="00286AC8"/>
    <w:rsid w:val="00286CB7"/>
    <w:rsid w:val="00291BA3"/>
    <w:rsid w:val="00292795"/>
    <w:rsid w:val="00295E52"/>
    <w:rsid w:val="002A28FF"/>
    <w:rsid w:val="002A3AE1"/>
    <w:rsid w:val="002B142B"/>
    <w:rsid w:val="002C2647"/>
    <w:rsid w:val="002C32D4"/>
    <w:rsid w:val="002C510E"/>
    <w:rsid w:val="002C528C"/>
    <w:rsid w:val="002C6B6F"/>
    <w:rsid w:val="002D2D1D"/>
    <w:rsid w:val="002D3FDA"/>
    <w:rsid w:val="002D69DF"/>
    <w:rsid w:val="002E3D5C"/>
    <w:rsid w:val="002E4258"/>
    <w:rsid w:val="002E5420"/>
    <w:rsid w:val="002E6830"/>
    <w:rsid w:val="00301E86"/>
    <w:rsid w:val="003051DF"/>
    <w:rsid w:val="00307888"/>
    <w:rsid w:val="00314360"/>
    <w:rsid w:val="00314B56"/>
    <w:rsid w:val="00315405"/>
    <w:rsid w:val="00315540"/>
    <w:rsid w:val="00316653"/>
    <w:rsid w:val="00323543"/>
    <w:rsid w:val="0032378C"/>
    <w:rsid w:val="00324EC9"/>
    <w:rsid w:val="00340711"/>
    <w:rsid w:val="00344657"/>
    <w:rsid w:val="0035031A"/>
    <w:rsid w:val="003532CD"/>
    <w:rsid w:val="00353FC1"/>
    <w:rsid w:val="00354E76"/>
    <w:rsid w:val="0035766A"/>
    <w:rsid w:val="00357918"/>
    <w:rsid w:val="003603B3"/>
    <w:rsid w:val="00360FBD"/>
    <w:rsid w:val="00361332"/>
    <w:rsid w:val="0036190B"/>
    <w:rsid w:val="00362E24"/>
    <w:rsid w:val="00363286"/>
    <w:rsid w:val="00366E90"/>
    <w:rsid w:val="00367094"/>
    <w:rsid w:val="00372A6E"/>
    <w:rsid w:val="00372CB3"/>
    <w:rsid w:val="00373407"/>
    <w:rsid w:val="00381BC8"/>
    <w:rsid w:val="003848D8"/>
    <w:rsid w:val="00387570"/>
    <w:rsid w:val="00390F05"/>
    <w:rsid w:val="00391413"/>
    <w:rsid w:val="0039154D"/>
    <w:rsid w:val="00394A1E"/>
    <w:rsid w:val="003A1F01"/>
    <w:rsid w:val="003A552B"/>
    <w:rsid w:val="003B0172"/>
    <w:rsid w:val="003B5DDE"/>
    <w:rsid w:val="003B6753"/>
    <w:rsid w:val="003B7F11"/>
    <w:rsid w:val="003C342B"/>
    <w:rsid w:val="003C350B"/>
    <w:rsid w:val="003C389F"/>
    <w:rsid w:val="003C55AC"/>
    <w:rsid w:val="003D7CE4"/>
    <w:rsid w:val="003E6CDC"/>
    <w:rsid w:val="003F296C"/>
    <w:rsid w:val="003F505E"/>
    <w:rsid w:val="004040F8"/>
    <w:rsid w:val="004068BF"/>
    <w:rsid w:val="00412428"/>
    <w:rsid w:val="00420F96"/>
    <w:rsid w:val="00422836"/>
    <w:rsid w:val="00424B0D"/>
    <w:rsid w:val="0042519A"/>
    <w:rsid w:val="00433EA1"/>
    <w:rsid w:val="00435D92"/>
    <w:rsid w:val="004372CC"/>
    <w:rsid w:val="004412AA"/>
    <w:rsid w:val="00444A98"/>
    <w:rsid w:val="004567D6"/>
    <w:rsid w:val="00457636"/>
    <w:rsid w:val="004670CC"/>
    <w:rsid w:val="004677AE"/>
    <w:rsid w:val="0047356E"/>
    <w:rsid w:val="00484712"/>
    <w:rsid w:val="00484FF0"/>
    <w:rsid w:val="00486C2D"/>
    <w:rsid w:val="00487634"/>
    <w:rsid w:val="00490BFE"/>
    <w:rsid w:val="00494DBC"/>
    <w:rsid w:val="00495EAF"/>
    <w:rsid w:val="0049638C"/>
    <w:rsid w:val="004B1509"/>
    <w:rsid w:val="004C122B"/>
    <w:rsid w:val="004C1C0B"/>
    <w:rsid w:val="004C2DCF"/>
    <w:rsid w:val="004D020D"/>
    <w:rsid w:val="004D3245"/>
    <w:rsid w:val="004D433B"/>
    <w:rsid w:val="004D6D1C"/>
    <w:rsid w:val="004E463E"/>
    <w:rsid w:val="004F3A88"/>
    <w:rsid w:val="004F4F08"/>
    <w:rsid w:val="005003C7"/>
    <w:rsid w:val="0050060D"/>
    <w:rsid w:val="0050125D"/>
    <w:rsid w:val="00501968"/>
    <w:rsid w:val="00505870"/>
    <w:rsid w:val="00505CF4"/>
    <w:rsid w:val="00505D37"/>
    <w:rsid w:val="00510384"/>
    <w:rsid w:val="0051199C"/>
    <w:rsid w:val="00511FA8"/>
    <w:rsid w:val="0051295D"/>
    <w:rsid w:val="00513BCC"/>
    <w:rsid w:val="00513BF5"/>
    <w:rsid w:val="00522781"/>
    <w:rsid w:val="00523F27"/>
    <w:rsid w:val="0052550D"/>
    <w:rsid w:val="00526C6A"/>
    <w:rsid w:val="00531EDE"/>
    <w:rsid w:val="00534B95"/>
    <w:rsid w:val="0054002E"/>
    <w:rsid w:val="00540369"/>
    <w:rsid w:val="0054122B"/>
    <w:rsid w:val="00541BDC"/>
    <w:rsid w:val="00547230"/>
    <w:rsid w:val="005476DD"/>
    <w:rsid w:val="00550183"/>
    <w:rsid w:val="005522B9"/>
    <w:rsid w:val="00555E5E"/>
    <w:rsid w:val="0055788F"/>
    <w:rsid w:val="005624CD"/>
    <w:rsid w:val="00562F82"/>
    <w:rsid w:val="00570507"/>
    <w:rsid w:val="00570A64"/>
    <w:rsid w:val="00576132"/>
    <w:rsid w:val="00580590"/>
    <w:rsid w:val="00590662"/>
    <w:rsid w:val="00592AC7"/>
    <w:rsid w:val="00593708"/>
    <w:rsid w:val="00594544"/>
    <w:rsid w:val="00594C77"/>
    <w:rsid w:val="00595F10"/>
    <w:rsid w:val="005A06E4"/>
    <w:rsid w:val="005A20BA"/>
    <w:rsid w:val="005A5E3D"/>
    <w:rsid w:val="005A79F1"/>
    <w:rsid w:val="005C1730"/>
    <w:rsid w:val="005C2513"/>
    <w:rsid w:val="005C2D21"/>
    <w:rsid w:val="005C56A8"/>
    <w:rsid w:val="005C7C4C"/>
    <w:rsid w:val="005D3942"/>
    <w:rsid w:val="005E2054"/>
    <w:rsid w:val="005F18EA"/>
    <w:rsid w:val="005F1B9A"/>
    <w:rsid w:val="005F3BCE"/>
    <w:rsid w:val="005F4F30"/>
    <w:rsid w:val="005F7BFB"/>
    <w:rsid w:val="00600BC3"/>
    <w:rsid w:val="00601464"/>
    <w:rsid w:val="0061517C"/>
    <w:rsid w:val="00617C28"/>
    <w:rsid w:val="00622C5F"/>
    <w:rsid w:val="006238BF"/>
    <w:rsid w:val="00626121"/>
    <w:rsid w:val="00636E85"/>
    <w:rsid w:val="006373FD"/>
    <w:rsid w:val="00637775"/>
    <w:rsid w:val="0064215B"/>
    <w:rsid w:val="00645B7E"/>
    <w:rsid w:val="00647AC2"/>
    <w:rsid w:val="00647C86"/>
    <w:rsid w:val="006510F9"/>
    <w:rsid w:val="00655D8E"/>
    <w:rsid w:val="006601A8"/>
    <w:rsid w:val="00660F53"/>
    <w:rsid w:val="00666F3E"/>
    <w:rsid w:val="006765C2"/>
    <w:rsid w:val="0067684A"/>
    <w:rsid w:val="00685DD5"/>
    <w:rsid w:val="006A0CEE"/>
    <w:rsid w:val="006B08FE"/>
    <w:rsid w:val="006B0E37"/>
    <w:rsid w:val="006B207D"/>
    <w:rsid w:val="006B27A2"/>
    <w:rsid w:val="006B3B12"/>
    <w:rsid w:val="006B41B1"/>
    <w:rsid w:val="006B6A2C"/>
    <w:rsid w:val="006C258C"/>
    <w:rsid w:val="006C7CAD"/>
    <w:rsid w:val="006E143A"/>
    <w:rsid w:val="006E1576"/>
    <w:rsid w:val="006E244E"/>
    <w:rsid w:val="006E273E"/>
    <w:rsid w:val="006E3AD5"/>
    <w:rsid w:val="006E4854"/>
    <w:rsid w:val="006E7085"/>
    <w:rsid w:val="006F231A"/>
    <w:rsid w:val="006F489E"/>
    <w:rsid w:val="006F4F33"/>
    <w:rsid w:val="006F5ADD"/>
    <w:rsid w:val="006F6701"/>
    <w:rsid w:val="00704700"/>
    <w:rsid w:val="00710F82"/>
    <w:rsid w:val="00711379"/>
    <w:rsid w:val="00712376"/>
    <w:rsid w:val="007126D0"/>
    <w:rsid w:val="007162D8"/>
    <w:rsid w:val="0072517B"/>
    <w:rsid w:val="00726CF8"/>
    <w:rsid w:val="007325AA"/>
    <w:rsid w:val="00734887"/>
    <w:rsid w:val="00735D0F"/>
    <w:rsid w:val="007364DC"/>
    <w:rsid w:val="00736FA9"/>
    <w:rsid w:val="00743EF5"/>
    <w:rsid w:val="00744C1E"/>
    <w:rsid w:val="00746D4D"/>
    <w:rsid w:val="00751621"/>
    <w:rsid w:val="00752710"/>
    <w:rsid w:val="00764C7B"/>
    <w:rsid w:val="00764D78"/>
    <w:rsid w:val="00770B2B"/>
    <w:rsid w:val="00770CC8"/>
    <w:rsid w:val="00774117"/>
    <w:rsid w:val="00781843"/>
    <w:rsid w:val="007862E7"/>
    <w:rsid w:val="00787620"/>
    <w:rsid w:val="007B217C"/>
    <w:rsid w:val="007B3A6E"/>
    <w:rsid w:val="007B5E3E"/>
    <w:rsid w:val="007B762E"/>
    <w:rsid w:val="007C049B"/>
    <w:rsid w:val="007C1371"/>
    <w:rsid w:val="007C24C9"/>
    <w:rsid w:val="007C291F"/>
    <w:rsid w:val="007D296F"/>
    <w:rsid w:val="007D31AE"/>
    <w:rsid w:val="007D38D0"/>
    <w:rsid w:val="007D3FCD"/>
    <w:rsid w:val="007E09CB"/>
    <w:rsid w:val="007E1E05"/>
    <w:rsid w:val="007E2F8A"/>
    <w:rsid w:val="007E5D48"/>
    <w:rsid w:val="007E5D98"/>
    <w:rsid w:val="007F03C4"/>
    <w:rsid w:val="007F108A"/>
    <w:rsid w:val="007F5020"/>
    <w:rsid w:val="0080129A"/>
    <w:rsid w:val="00802D68"/>
    <w:rsid w:val="008068DC"/>
    <w:rsid w:val="00807184"/>
    <w:rsid w:val="00807F8B"/>
    <w:rsid w:val="00812470"/>
    <w:rsid w:val="00820140"/>
    <w:rsid w:val="00823CE1"/>
    <w:rsid w:val="00825998"/>
    <w:rsid w:val="0082775A"/>
    <w:rsid w:val="00827B70"/>
    <w:rsid w:val="008308A4"/>
    <w:rsid w:val="00831622"/>
    <w:rsid w:val="008373DE"/>
    <w:rsid w:val="00840337"/>
    <w:rsid w:val="0084170B"/>
    <w:rsid w:val="0084769C"/>
    <w:rsid w:val="00850D5F"/>
    <w:rsid w:val="008532E0"/>
    <w:rsid w:val="008568FA"/>
    <w:rsid w:val="00857C30"/>
    <w:rsid w:val="00857FAD"/>
    <w:rsid w:val="0086051D"/>
    <w:rsid w:val="00872DB2"/>
    <w:rsid w:val="00873989"/>
    <w:rsid w:val="00880267"/>
    <w:rsid w:val="00880DF4"/>
    <w:rsid w:val="0088135B"/>
    <w:rsid w:val="00882877"/>
    <w:rsid w:val="008865AC"/>
    <w:rsid w:val="00890919"/>
    <w:rsid w:val="00892F31"/>
    <w:rsid w:val="00896E0E"/>
    <w:rsid w:val="008A2682"/>
    <w:rsid w:val="008A5A9F"/>
    <w:rsid w:val="008B2A95"/>
    <w:rsid w:val="008B2EA1"/>
    <w:rsid w:val="008B44FF"/>
    <w:rsid w:val="008B5894"/>
    <w:rsid w:val="008B6C54"/>
    <w:rsid w:val="008C0DE4"/>
    <w:rsid w:val="008C147C"/>
    <w:rsid w:val="008C3B29"/>
    <w:rsid w:val="008C5951"/>
    <w:rsid w:val="008C7F47"/>
    <w:rsid w:val="008D1B51"/>
    <w:rsid w:val="008D46D2"/>
    <w:rsid w:val="008E1ECD"/>
    <w:rsid w:val="008E354E"/>
    <w:rsid w:val="008E4181"/>
    <w:rsid w:val="008E58BF"/>
    <w:rsid w:val="008F1943"/>
    <w:rsid w:val="008F6499"/>
    <w:rsid w:val="008F7A18"/>
    <w:rsid w:val="0090405A"/>
    <w:rsid w:val="0091473B"/>
    <w:rsid w:val="00917B9B"/>
    <w:rsid w:val="00925148"/>
    <w:rsid w:val="00925390"/>
    <w:rsid w:val="0093180E"/>
    <w:rsid w:val="00937DEA"/>
    <w:rsid w:val="0094239E"/>
    <w:rsid w:val="0094268E"/>
    <w:rsid w:val="00943999"/>
    <w:rsid w:val="00944E0B"/>
    <w:rsid w:val="009523D9"/>
    <w:rsid w:val="009535B9"/>
    <w:rsid w:val="00956237"/>
    <w:rsid w:val="00963B2E"/>
    <w:rsid w:val="00965979"/>
    <w:rsid w:val="00971934"/>
    <w:rsid w:val="00972A56"/>
    <w:rsid w:val="00972B57"/>
    <w:rsid w:val="00975364"/>
    <w:rsid w:val="00980288"/>
    <w:rsid w:val="00982AC4"/>
    <w:rsid w:val="009832EE"/>
    <w:rsid w:val="00983FE7"/>
    <w:rsid w:val="009871AF"/>
    <w:rsid w:val="00990217"/>
    <w:rsid w:val="00992EC1"/>
    <w:rsid w:val="009930B8"/>
    <w:rsid w:val="009A1729"/>
    <w:rsid w:val="009A1B29"/>
    <w:rsid w:val="009A3461"/>
    <w:rsid w:val="009A42E4"/>
    <w:rsid w:val="009B0690"/>
    <w:rsid w:val="009B2A25"/>
    <w:rsid w:val="009B4F1F"/>
    <w:rsid w:val="009B556C"/>
    <w:rsid w:val="009B5810"/>
    <w:rsid w:val="009C258F"/>
    <w:rsid w:val="009C3787"/>
    <w:rsid w:val="009C3E5E"/>
    <w:rsid w:val="009C49A5"/>
    <w:rsid w:val="009D3A7F"/>
    <w:rsid w:val="009D5A63"/>
    <w:rsid w:val="009D6078"/>
    <w:rsid w:val="009D7DC0"/>
    <w:rsid w:val="009E0316"/>
    <w:rsid w:val="009E2E73"/>
    <w:rsid w:val="009E33C6"/>
    <w:rsid w:val="009E4361"/>
    <w:rsid w:val="009E602B"/>
    <w:rsid w:val="009E7F83"/>
    <w:rsid w:val="009F19E6"/>
    <w:rsid w:val="009F3B18"/>
    <w:rsid w:val="009F4941"/>
    <w:rsid w:val="00A02AA1"/>
    <w:rsid w:val="00A02DAD"/>
    <w:rsid w:val="00A048D2"/>
    <w:rsid w:val="00A05107"/>
    <w:rsid w:val="00A0713C"/>
    <w:rsid w:val="00A07A61"/>
    <w:rsid w:val="00A10A2F"/>
    <w:rsid w:val="00A11D56"/>
    <w:rsid w:val="00A15A58"/>
    <w:rsid w:val="00A16865"/>
    <w:rsid w:val="00A16CA5"/>
    <w:rsid w:val="00A16F24"/>
    <w:rsid w:val="00A20114"/>
    <w:rsid w:val="00A24E34"/>
    <w:rsid w:val="00A271FB"/>
    <w:rsid w:val="00A327A6"/>
    <w:rsid w:val="00A32A6A"/>
    <w:rsid w:val="00A41B77"/>
    <w:rsid w:val="00A41D1B"/>
    <w:rsid w:val="00A420CC"/>
    <w:rsid w:val="00A51401"/>
    <w:rsid w:val="00A53202"/>
    <w:rsid w:val="00A54C6E"/>
    <w:rsid w:val="00A566E5"/>
    <w:rsid w:val="00A56D67"/>
    <w:rsid w:val="00A57467"/>
    <w:rsid w:val="00A62BAC"/>
    <w:rsid w:val="00A65E60"/>
    <w:rsid w:val="00A72F0F"/>
    <w:rsid w:val="00A73C6E"/>
    <w:rsid w:val="00A748E7"/>
    <w:rsid w:val="00A775F1"/>
    <w:rsid w:val="00A83744"/>
    <w:rsid w:val="00A83D9B"/>
    <w:rsid w:val="00A8568E"/>
    <w:rsid w:val="00A86898"/>
    <w:rsid w:val="00A87490"/>
    <w:rsid w:val="00A9275A"/>
    <w:rsid w:val="00A937C4"/>
    <w:rsid w:val="00A97C5B"/>
    <w:rsid w:val="00AA02F8"/>
    <w:rsid w:val="00AA1CC9"/>
    <w:rsid w:val="00AA25CC"/>
    <w:rsid w:val="00AB0DC3"/>
    <w:rsid w:val="00AB25D8"/>
    <w:rsid w:val="00AB3F3D"/>
    <w:rsid w:val="00AC062B"/>
    <w:rsid w:val="00AC1F28"/>
    <w:rsid w:val="00AC39D6"/>
    <w:rsid w:val="00AC6461"/>
    <w:rsid w:val="00AD4DD5"/>
    <w:rsid w:val="00AD51E4"/>
    <w:rsid w:val="00AE0632"/>
    <w:rsid w:val="00AE2378"/>
    <w:rsid w:val="00AE50C7"/>
    <w:rsid w:val="00AE5817"/>
    <w:rsid w:val="00AE5843"/>
    <w:rsid w:val="00AE7FDD"/>
    <w:rsid w:val="00AF0751"/>
    <w:rsid w:val="00AF297C"/>
    <w:rsid w:val="00AF3308"/>
    <w:rsid w:val="00AF4651"/>
    <w:rsid w:val="00B016BD"/>
    <w:rsid w:val="00B10D30"/>
    <w:rsid w:val="00B11C3D"/>
    <w:rsid w:val="00B14F91"/>
    <w:rsid w:val="00B14FAB"/>
    <w:rsid w:val="00B15A4A"/>
    <w:rsid w:val="00B15FBB"/>
    <w:rsid w:val="00B2276C"/>
    <w:rsid w:val="00B2352F"/>
    <w:rsid w:val="00B25887"/>
    <w:rsid w:val="00B36E7E"/>
    <w:rsid w:val="00B41CF5"/>
    <w:rsid w:val="00B43F35"/>
    <w:rsid w:val="00B50A17"/>
    <w:rsid w:val="00B552A0"/>
    <w:rsid w:val="00B5782C"/>
    <w:rsid w:val="00B57E73"/>
    <w:rsid w:val="00B62122"/>
    <w:rsid w:val="00B65C80"/>
    <w:rsid w:val="00B6624D"/>
    <w:rsid w:val="00B66C1E"/>
    <w:rsid w:val="00B67AAA"/>
    <w:rsid w:val="00B7216B"/>
    <w:rsid w:val="00B732EB"/>
    <w:rsid w:val="00B767E8"/>
    <w:rsid w:val="00B77A49"/>
    <w:rsid w:val="00B822B6"/>
    <w:rsid w:val="00B90E9F"/>
    <w:rsid w:val="00B90F3B"/>
    <w:rsid w:val="00B94B1D"/>
    <w:rsid w:val="00B96169"/>
    <w:rsid w:val="00B966CE"/>
    <w:rsid w:val="00B97091"/>
    <w:rsid w:val="00B972EE"/>
    <w:rsid w:val="00BA1350"/>
    <w:rsid w:val="00BA3878"/>
    <w:rsid w:val="00BA3E2B"/>
    <w:rsid w:val="00BA5D31"/>
    <w:rsid w:val="00BB2888"/>
    <w:rsid w:val="00BB6ADF"/>
    <w:rsid w:val="00BB7F26"/>
    <w:rsid w:val="00BC2E37"/>
    <w:rsid w:val="00BC6AFC"/>
    <w:rsid w:val="00BD2EA4"/>
    <w:rsid w:val="00BF1EFC"/>
    <w:rsid w:val="00BF34C1"/>
    <w:rsid w:val="00C01F20"/>
    <w:rsid w:val="00C02273"/>
    <w:rsid w:val="00C04220"/>
    <w:rsid w:val="00C07ED1"/>
    <w:rsid w:val="00C10169"/>
    <w:rsid w:val="00C14245"/>
    <w:rsid w:val="00C16691"/>
    <w:rsid w:val="00C2454B"/>
    <w:rsid w:val="00C2505D"/>
    <w:rsid w:val="00C25C50"/>
    <w:rsid w:val="00C33A49"/>
    <w:rsid w:val="00C33F06"/>
    <w:rsid w:val="00C340CC"/>
    <w:rsid w:val="00C37E75"/>
    <w:rsid w:val="00C41617"/>
    <w:rsid w:val="00C42588"/>
    <w:rsid w:val="00C46463"/>
    <w:rsid w:val="00C50760"/>
    <w:rsid w:val="00C5209C"/>
    <w:rsid w:val="00C539EA"/>
    <w:rsid w:val="00C572EE"/>
    <w:rsid w:val="00C601A7"/>
    <w:rsid w:val="00C6074D"/>
    <w:rsid w:val="00C60784"/>
    <w:rsid w:val="00C60E30"/>
    <w:rsid w:val="00C61821"/>
    <w:rsid w:val="00C61B58"/>
    <w:rsid w:val="00C70E0D"/>
    <w:rsid w:val="00C7594F"/>
    <w:rsid w:val="00C83585"/>
    <w:rsid w:val="00C83696"/>
    <w:rsid w:val="00C84A86"/>
    <w:rsid w:val="00C8737F"/>
    <w:rsid w:val="00C8740A"/>
    <w:rsid w:val="00C90CAD"/>
    <w:rsid w:val="00C916E4"/>
    <w:rsid w:val="00C92C82"/>
    <w:rsid w:val="00C94666"/>
    <w:rsid w:val="00C95884"/>
    <w:rsid w:val="00C964EF"/>
    <w:rsid w:val="00C968FE"/>
    <w:rsid w:val="00C96BBF"/>
    <w:rsid w:val="00CA087A"/>
    <w:rsid w:val="00CA1D3D"/>
    <w:rsid w:val="00CB2ACC"/>
    <w:rsid w:val="00CB3324"/>
    <w:rsid w:val="00CC094B"/>
    <w:rsid w:val="00CC103D"/>
    <w:rsid w:val="00CC26E0"/>
    <w:rsid w:val="00CD1133"/>
    <w:rsid w:val="00CD3DEF"/>
    <w:rsid w:val="00CD5B13"/>
    <w:rsid w:val="00CD72CA"/>
    <w:rsid w:val="00CE0F11"/>
    <w:rsid w:val="00CE27BC"/>
    <w:rsid w:val="00CE42A4"/>
    <w:rsid w:val="00CE4F24"/>
    <w:rsid w:val="00CE5E2D"/>
    <w:rsid w:val="00CE7814"/>
    <w:rsid w:val="00CF4246"/>
    <w:rsid w:val="00CF7FDD"/>
    <w:rsid w:val="00D00DC2"/>
    <w:rsid w:val="00D05D62"/>
    <w:rsid w:val="00D076BD"/>
    <w:rsid w:val="00D10B4A"/>
    <w:rsid w:val="00D10BCC"/>
    <w:rsid w:val="00D11913"/>
    <w:rsid w:val="00D11A13"/>
    <w:rsid w:val="00D13B3B"/>
    <w:rsid w:val="00D161BA"/>
    <w:rsid w:val="00D213AC"/>
    <w:rsid w:val="00D21838"/>
    <w:rsid w:val="00D279AA"/>
    <w:rsid w:val="00D323F1"/>
    <w:rsid w:val="00D37766"/>
    <w:rsid w:val="00D429AA"/>
    <w:rsid w:val="00D43C33"/>
    <w:rsid w:val="00D43F2D"/>
    <w:rsid w:val="00D44551"/>
    <w:rsid w:val="00D453F2"/>
    <w:rsid w:val="00D45650"/>
    <w:rsid w:val="00D52788"/>
    <w:rsid w:val="00D530BC"/>
    <w:rsid w:val="00D60040"/>
    <w:rsid w:val="00D61A5D"/>
    <w:rsid w:val="00D61AED"/>
    <w:rsid w:val="00D63D1A"/>
    <w:rsid w:val="00D713DB"/>
    <w:rsid w:val="00D77E25"/>
    <w:rsid w:val="00D80A91"/>
    <w:rsid w:val="00D826FC"/>
    <w:rsid w:val="00D854E5"/>
    <w:rsid w:val="00D861A0"/>
    <w:rsid w:val="00D90B83"/>
    <w:rsid w:val="00D917F3"/>
    <w:rsid w:val="00D91EB7"/>
    <w:rsid w:val="00D92B0C"/>
    <w:rsid w:val="00DA0EF1"/>
    <w:rsid w:val="00DA3134"/>
    <w:rsid w:val="00DA3FF5"/>
    <w:rsid w:val="00DA752B"/>
    <w:rsid w:val="00DB651F"/>
    <w:rsid w:val="00DC0571"/>
    <w:rsid w:val="00DC25B6"/>
    <w:rsid w:val="00DC460F"/>
    <w:rsid w:val="00DC55BE"/>
    <w:rsid w:val="00DC7797"/>
    <w:rsid w:val="00DD08EA"/>
    <w:rsid w:val="00DD2A73"/>
    <w:rsid w:val="00DD4D8E"/>
    <w:rsid w:val="00DD7EF7"/>
    <w:rsid w:val="00DE2101"/>
    <w:rsid w:val="00DE2800"/>
    <w:rsid w:val="00DE373D"/>
    <w:rsid w:val="00DE49A9"/>
    <w:rsid w:val="00DF3092"/>
    <w:rsid w:val="00DF33D5"/>
    <w:rsid w:val="00DF3E28"/>
    <w:rsid w:val="00DF6F23"/>
    <w:rsid w:val="00E02B63"/>
    <w:rsid w:val="00E051F0"/>
    <w:rsid w:val="00E05A03"/>
    <w:rsid w:val="00E11A38"/>
    <w:rsid w:val="00E12419"/>
    <w:rsid w:val="00E23073"/>
    <w:rsid w:val="00E26D01"/>
    <w:rsid w:val="00E333DE"/>
    <w:rsid w:val="00E35D1B"/>
    <w:rsid w:val="00E3746B"/>
    <w:rsid w:val="00E4713A"/>
    <w:rsid w:val="00E523F4"/>
    <w:rsid w:val="00E52C54"/>
    <w:rsid w:val="00E569F4"/>
    <w:rsid w:val="00E56F69"/>
    <w:rsid w:val="00E60D33"/>
    <w:rsid w:val="00E61108"/>
    <w:rsid w:val="00E62586"/>
    <w:rsid w:val="00E63801"/>
    <w:rsid w:val="00E65EFD"/>
    <w:rsid w:val="00E7147C"/>
    <w:rsid w:val="00E71AD0"/>
    <w:rsid w:val="00E72520"/>
    <w:rsid w:val="00E72D5B"/>
    <w:rsid w:val="00E74408"/>
    <w:rsid w:val="00E75E96"/>
    <w:rsid w:val="00E76B50"/>
    <w:rsid w:val="00E77980"/>
    <w:rsid w:val="00E77AB8"/>
    <w:rsid w:val="00E77C04"/>
    <w:rsid w:val="00E800D6"/>
    <w:rsid w:val="00E8122B"/>
    <w:rsid w:val="00E83579"/>
    <w:rsid w:val="00E84361"/>
    <w:rsid w:val="00E8509D"/>
    <w:rsid w:val="00E85441"/>
    <w:rsid w:val="00E868F3"/>
    <w:rsid w:val="00E87941"/>
    <w:rsid w:val="00E9454D"/>
    <w:rsid w:val="00E95F97"/>
    <w:rsid w:val="00EA090B"/>
    <w:rsid w:val="00EA17FD"/>
    <w:rsid w:val="00EA2B37"/>
    <w:rsid w:val="00EB3162"/>
    <w:rsid w:val="00EB49BD"/>
    <w:rsid w:val="00EB72CD"/>
    <w:rsid w:val="00EC4E92"/>
    <w:rsid w:val="00ED061F"/>
    <w:rsid w:val="00ED23D8"/>
    <w:rsid w:val="00ED2932"/>
    <w:rsid w:val="00ED6BDC"/>
    <w:rsid w:val="00ED7134"/>
    <w:rsid w:val="00EE257D"/>
    <w:rsid w:val="00EE3774"/>
    <w:rsid w:val="00EE4BFE"/>
    <w:rsid w:val="00EE68AB"/>
    <w:rsid w:val="00EF2F7A"/>
    <w:rsid w:val="00EF3693"/>
    <w:rsid w:val="00F06926"/>
    <w:rsid w:val="00F0778F"/>
    <w:rsid w:val="00F109BA"/>
    <w:rsid w:val="00F11A9A"/>
    <w:rsid w:val="00F126EE"/>
    <w:rsid w:val="00F1364D"/>
    <w:rsid w:val="00F13874"/>
    <w:rsid w:val="00F1439A"/>
    <w:rsid w:val="00F14627"/>
    <w:rsid w:val="00F15D00"/>
    <w:rsid w:val="00F16667"/>
    <w:rsid w:val="00F20BD1"/>
    <w:rsid w:val="00F22B2A"/>
    <w:rsid w:val="00F23556"/>
    <w:rsid w:val="00F24367"/>
    <w:rsid w:val="00F26151"/>
    <w:rsid w:val="00F26B94"/>
    <w:rsid w:val="00F27EE6"/>
    <w:rsid w:val="00F3220C"/>
    <w:rsid w:val="00F3244E"/>
    <w:rsid w:val="00F3279E"/>
    <w:rsid w:val="00F43013"/>
    <w:rsid w:val="00F438EE"/>
    <w:rsid w:val="00F43B79"/>
    <w:rsid w:val="00F44F50"/>
    <w:rsid w:val="00F460E9"/>
    <w:rsid w:val="00F5136F"/>
    <w:rsid w:val="00F56258"/>
    <w:rsid w:val="00F67D2C"/>
    <w:rsid w:val="00F67EC1"/>
    <w:rsid w:val="00F724AD"/>
    <w:rsid w:val="00F725BC"/>
    <w:rsid w:val="00F7533A"/>
    <w:rsid w:val="00F755DF"/>
    <w:rsid w:val="00F76265"/>
    <w:rsid w:val="00F76766"/>
    <w:rsid w:val="00F83ABA"/>
    <w:rsid w:val="00F84B6A"/>
    <w:rsid w:val="00F911F9"/>
    <w:rsid w:val="00FA1277"/>
    <w:rsid w:val="00FA1692"/>
    <w:rsid w:val="00FA1E34"/>
    <w:rsid w:val="00FA2516"/>
    <w:rsid w:val="00FA3682"/>
    <w:rsid w:val="00FA3C3C"/>
    <w:rsid w:val="00FB1ED9"/>
    <w:rsid w:val="00FB4031"/>
    <w:rsid w:val="00FB4370"/>
    <w:rsid w:val="00FB50AB"/>
    <w:rsid w:val="00FB5C3C"/>
    <w:rsid w:val="00FC016A"/>
    <w:rsid w:val="00FC5A4E"/>
    <w:rsid w:val="00FD13ED"/>
    <w:rsid w:val="00FD31D0"/>
    <w:rsid w:val="00FD3AD7"/>
    <w:rsid w:val="00FD3D47"/>
    <w:rsid w:val="00FE0D23"/>
    <w:rsid w:val="00FE3BD3"/>
    <w:rsid w:val="00FE5FC8"/>
    <w:rsid w:val="00FE7FD3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7EF9"/>
  <w15:docId w15:val="{513EF624-C238-4559-9FDB-500E9F8B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3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7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460E9"/>
  </w:style>
  <w:style w:type="paragraph" w:styleId="Podnoje">
    <w:name w:val="footer"/>
    <w:basedOn w:val="Normal"/>
    <w:link w:val="Podno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460E9"/>
  </w:style>
  <w:style w:type="table" w:styleId="Reetkatablice">
    <w:name w:val="Table Grid"/>
    <w:basedOn w:val="Obinatablica"/>
    <w:uiPriority w:val="39"/>
    <w:rsid w:val="0036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3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90050-1661-40C3-AA30-4B18C344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11</Pages>
  <Words>4286</Words>
  <Characters>24434</Characters>
  <Application>Microsoft Office Word</Application>
  <DocSecurity>0</DocSecurity>
  <Lines>203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 Đurica</cp:lastModifiedBy>
  <cp:revision>54</cp:revision>
  <cp:lastPrinted>2025-03-17T09:18:00Z</cp:lastPrinted>
  <dcterms:created xsi:type="dcterms:W3CDTF">2025-03-14T07:09:00Z</dcterms:created>
  <dcterms:modified xsi:type="dcterms:W3CDTF">2025-03-17T11:02:00Z</dcterms:modified>
</cp:coreProperties>
</file>