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7.0 -->
  <w:body>
    <w:p w:rsidR="007836A3" w:rsidRPr="002D01E4" w:rsidP="007836A3" w14:paraId="4691FA3B" w14:textId="34B1CD98">
      <w:pPr>
        <w:rPr>
          <w:bCs/>
          <w:color w:val="000000"/>
          <w:sz w:val="22"/>
          <w:szCs w:val="22"/>
        </w:rPr>
      </w:pPr>
      <w:r w:rsidRPr="002D01E4">
        <w:rPr>
          <w:bCs/>
          <w:color w:val="000000"/>
          <w:sz w:val="22"/>
          <w:szCs w:val="22"/>
        </w:rPr>
        <w:t xml:space="preserve">Osnovna </w:t>
      </w:r>
      <w:r w:rsidRPr="002D01E4" w:rsidR="00B36BB4">
        <w:rPr>
          <w:bCs/>
          <w:color w:val="000000"/>
          <w:sz w:val="22"/>
          <w:szCs w:val="22"/>
        </w:rPr>
        <w:t xml:space="preserve">škola „Antun </w:t>
      </w:r>
      <w:r w:rsidRPr="002D01E4" w:rsidR="00B36BB4">
        <w:rPr>
          <w:bCs/>
          <w:color w:val="000000"/>
          <w:sz w:val="22"/>
          <w:szCs w:val="22"/>
        </w:rPr>
        <w:t>Nemčić</w:t>
      </w:r>
      <w:r w:rsidRPr="002D01E4" w:rsidR="00B36BB4">
        <w:rPr>
          <w:bCs/>
          <w:color w:val="000000"/>
          <w:sz w:val="22"/>
          <w:szCs w:val="22"/>
        </w:rPr>
        <w:t xml:space="preserve"> </w:t>
      </w:r>
      <w:r w:rsidRPr="002D01E4" w:rsidR="00B36BB4">
        <w:rPr>
          <w:bCs/>
          <w:color w:val="000000"/>
          <w:sz w:val="22"/>
          <w:szCs w:val="22"/>
        </w:rPr>
        <w:t>Gostovinski</w:t>
      </w:r>
      <w:r w:rsidRPr="002D01E4" w:rsidR="00B36BB4">
        <w:rPr>
          <w:bCs/>
          <w:color w:val="000000"/>
          <w:sz w:val="22"/>
          <w:szCs w:val="22"/>
        </w:rPr>
        <w:t>“</w:t>
      </w:r>
      <w:r w:rsidR="004B77B7">
        <w:rPr>
          <w:bCs/>
          <w:color w:val="000000"/>
          <w:sz w:val="22"/>
          <w:szCs w:val="22"/>
        </w:rPr>
        <w:t xml:space="preserve"> </w:t>
      </w:r>
    </w:p>
    <w:p w:rsidR="007836A3" w:rsidRPr="002D01E4" w:rsidP="007836A3" w14:paraId="6939940E" w14:textId="77777777">
      <w:pPr>
        <w:rPr>
          <w:bCs/>
          <w:color w:val="000000"/>
          <w:sz w:val="22"/>
          <w:szCs w:val="22"/>
        </w:rPr>
      </w:pPr>
      <w:r w:rsidRPr="002D01E4">
        <w:rPr>
          <w:bCs/>
          <w:color w:val="000000"/>
          <w:sz w:val="22"/>
          <w:szCs w:val="22"/>
        </w:rPr>
        <w:t xml:space="preserve">Školska 5, </w:t>
      </w:r>
      <w:r w:rsidR="004B77B7">
        <w:rPr>
          <w:bCs/>
          <w:color w:val="000000"/>
          <w:sz w:val="22"/>
          <w:szCs w:val="22"/>
        </w:rPr>
        <w:t xml:space="preserve">48 000 </w:t>
      </w:r>
      <w:r w:rsidRPr="002D01E4">
        <w:rPr>
          <w:bCs/>
          <w:color w:val="000000"/>
          <w:sz w:val="22"/>
          <w:szCs w:val="22"/>
        </w:rPr>
        <w:t>Koprivnica</w:t>
      </w:r>
    </w:p>
    <w:p w:rsidR="007836A3" w:rsidRPr="002D01E4" w:rsidP="007836A3" w14:paraId="60F1C921" w14:textId="77777777">
      <w:pPr>
        <w:rPr>
          <w:bCs/>
          <w:color w:val="000000"/>
          <w:sz w:val="22"/>
          <w:szCs w:val="22"/>
        </w:rPr>
      </w:pPr>
      <w:r w:rsidRPr="002D01E4">
        <w:rPr>
          <w:bCs/>
          <w:color w:val="000000"/>
          <w:sz w:val="22"/>
          <w:szCs w:val="22"/>
        </w:rPr>
        <w:t>MB: 01784722</w:t>
      </w:r>
    </w:p>
    <w:p w:rsidR="00895387" w:rsidRPr="002D01E4" w:rsidP="007836A3" w14:paraId="36BDF458" w14:textId="77777777">
      <w:pPr>
        <w:rPr>
          <w:bCs/>
          <w:color w:val="000000"/>
          <w:sz w:val="22"/>
          <w:szCs w:val="22"/>
        </w:rPr>
      </w:pPr>
      <w:r w:rsidRPr="002D01E4">
        <w:rPr>
          <w:bCs/>
          <w:color w:val="000000"/>
          <w:sz w:val="22"/>
          <w:szCs w:val="22"/>
        </w:rPr>
        <w:t>OIB: 34572748706</w:t>
      </w:r>
    </w:p>
    <w:p w:rsidR="007836A3" w:rsidRPr="002D01E4" w:rsidP="007836A3" w14:paraId="3053A963" w14:textId="77777777">
      <w:pPr>
        <w:rPr>
          <w:bCs/>
          <w:color w:val="000000"/>
          <w:sz w:val="22"/>
          <w:szCs w:val="22"/>
        </w:rPr>
      </w:pPr>
      <w:r w:rsidRPr="002D01E4">
        <w:rPr>
          <w:bCs/>
          <w:color w:val="000000"/>
          <w:sz w:val="22"/>
          <w:szCs w:val="22"/>
        </w:rPr>
        <w:t>Š</w:t>
      </w:r>
      <w:r w:rsidRPr="002D01E4">
        <w:rPr>
          <w:bCs/>
          <w:color w:val="000000"/>
          <w:sz w:val="22"/>
          <w:szCs w:val="22"/>
        </w:rPr>
        <w:t>ifra ustanove: 06-037-001</w:t>
      </w:r>
    </w:p>
    <w:p w:rsidR="007836A3" w:rsidRPr="002D01E4" w:rsidP="007836A3" w14:paraId="14961781" w14:textId="77777777">
      <w:pPr>
        <w:rPr>
          <w:bCs/>
          <w:color w:val="000000"/>
          <w:sz w:val="22"/>
          <w:szCs w:val="22"/>
        </w:rPr>
      </w:pPr>
      <w:r w:rsidRPr="002D01E4">
        <w:rPr>
          <w:bCs/>
          <w:color w:val="000000"/>
          <w:sz w:val="22"/>
          <w:szCs w:val="22"/>
        </w:rPr>
        <w:t>Šifra djelatnosti: 8520</w:t>
      </w:r>
    </w:p>
    <w:p w:rsidR="00F945EB" w:rsidRPr="00DB5C99" w:rsidP="007836A3" w14:paraId="5D106FDA" w14:textId="300B2475">
      <w:pPr>
        <w:rPr>
          <w:bCs/>
          <w:color w:val="000000"/>
          <w:sz w:val="22"/>
          <w:szCs w:val="22"/>
        </w:rPr>
      </w:pPr>
      <w:r w:rsidRPr="00DB5C99">
        <w:rPr>
          <w:bCs/>
          <w:color w:val="000000"/>
          <w:sz w:val="22"/>
          <w:szCs w:val="22"/>
        </w:rPr>
        <w:t xml:space="preserve">KLASA: </w:t>
      </w:r>
      <w:r w:rsidRPr="00DB5C99" w:rsidR="005806BC">
        <w:rPr>
          <w:bCs/>
          <w:color w:val="000000"/>
          <w:sz w:val="22"/>
          <w:szCs w:val="22"/>
        </w:rPr>
        <w:t xml:space="preserve"> 400-01/2</w:t>
      </w:r>
      <w:r w:rsidRPr="00DB5C99" w:rsidR="00DB5C99">
        <w:rPr>
          <w:bCs/>
          <w:color w:val="000000"/>
          <w:sz w:val="22"/>
          <w:szCs w:val="22"/>
        </w:rPr>
        <w:t>4</w:t>
      </w:r>
      <w:r w:rsidRPr="00DB5C99" w:rsidR="005806BC">
        <w:rPr>
          <w:bCs/>
          <w:color w:val="000000"/>
          <w:sz w:val="22"/>
          <w:szCs w:val="22"/>
        </w:rPr>
        <w:t>-01/</w:t>
      </w:r>
      <w:r w:rsidRPr="00DB5C99" w:rsidR="00DB5C99">
        <w:rPr>
          <w:bCs/>
          <w:color w:val="000000"/>
          <w:sz w:val="22"/>
          <w:szCs w:val="22"/>
        </w:rPr>
        <w:t>4</w:t>
      </w:r>
    </w:p>
    <w:p w:rsidR="00F945EB" w:rsidRPr="004B77B7" w:rsidP="007836A3" w14:paraId="5A9FDCAE" w14:textId="4140167A">
      <w:pPr>
        <w:rPr>
          <w:bCs/>
          <w:color w:val="000000"/>
          <w:sz w:val="22"/>
          <w:szCs w:val="22"/>
        </w:rPr>
      </w:pPr>
      <w:r w:rsidRPr="00DB5C99">
        <w:rPr>
          <w:bCs/>
          <w:color w:val="000000"/>
          <w:sz w:val="22"/>
          <w:szCs w:val="22"/>
        </w:rPr>
        <w:t xml:space="preserve">URBROJ: </w:t>
      </w:r>
      <w:r w:rsidRPr="00DB5C99" w:rsidR="005806BC">
        <w:rPr>
          <w:bCs/>
          <w:color w:val="000000"/>
          <w:sz w:val="22"/>
          <w:szCs w:val="22"/>
        </w:rPr>
        <w:t>2137-29-2</w:t>
      </w:r>
      <w:r w:rsidRPr="00DB5C99" w:rsidR="00943F91">
        <w:rPr>
          <w:bCs/>
          <w:color w:val="000000"/>
          <w:sz w:val="22"/>
          <w:szCs w:val="22"/>
        </w:rPr>
        <w:t>4</w:t>
      </w:r>
      <w:r w:rsidRPr="00DB5C99" w:rsidR="005806BC">
        <w:rPr>
          <w:bCs/>
          <w:color w:val="000000"/>
          <w:sz w:val="22"/>
          <w:szCs w:val="22"/>
        </w:rPr>
        <w:t>-</w:t>
      </w:r>
      <w:r w:rsidRPr="00DB5C99" w:rsidR="00DB5C99">
        <w:rPr>
          <w:bCs/>
          <w:color w:val="000000"/>
          <w:sz w:val="22"/>
          <w:szCs w:val="22"/>
        </w:rPr>
        <w:t>3</w:t>
      </w:r>
    </w:p>
    <w:p w:rsidR="00AF5764" w:rsidRPr="002D01E4" w:rsidP="002D429D" w14:paraId="41E1DAEC" w14:textId="461CA785">
      <w:pPr>
        <w:rPr>
          <w:bCs/>
          <w:color w:val="000000"/>
          <w:sz w:val="22"/>
          <w:szCs w:val="22"/>
        </w:rPr>
      </w:pPr>
      <w:r w:rsidRPr="004B77B7">
        <w:rPr>
          <w:bCs/>
          <w:color w:val="000000"/>
          <w:sz w:val="22"/>
          <w:szCs w:val="22"/>
        </w:rPr>
        <w:t xml:space="preserve">U Koprivnici, </w:t>
      </w:r>
      <w:r w:rsidR="00AD3279">
        <w:rPr>
          <w:bCs/>
          <w:color w:val="000000"/>
          <w:sz w:val="22"/>
          <w:szCs w:val="22"/>
        </w:rPr>
        <w:t>2</w:t>
      </w:r>
      <w:r w:rsidR="00A908F7">
        <w:rPr>
          <w:bCs/>
          <w:color w:val="000000"/>
          <w:sz w:val="22"/>
          <w:szCs w:val="22"/>
        </w:rPr>
        <w:t>1</w:t>
      </w:r>
      <w:r w:rsidRPr="004B77B7">
        <w:rPr>
          <w:bCs/>
          <w:color w:val="000000"/>
          <w:sz w:val="22"/>
          <w:szCs w:val="22"/>
        </w:rPr>
        <w:t>.</w:t>
      </w:r>
      <w:r w:rsidR="00A908F7">
        <w:rPr>
          <w:bCs/>
          <w:color w:val="000000"/>
          <w:sz w:val="22"/>
          <w:szCs w:val="22"/>
        </w:rPr>
        <w:t>11</w:t>
      </w:r>
      <w:r w:rsidRPr="004B77B7" w:rsidR="00DF45FF">
        <w:rPr>
          <w:bCs/>
          <w:color w:val="000000"/>
          <w:sz w:val="22"/>
          <w:szCs w:val="22"/>
        </w:rPr>
        <w:t>.</w:t>
      </w:r>
      <w:r w:rsidRPr="004B77B7" w:rsidR="006B588C">
        <w:rPr>
          <w:bCs/>
          <w:color w:val="000000"/>
          <w:sz w:val="22"/>
          <w:szCs w:val="22"/>
        </w:rPr>
        <w:t>202</w:t>
      </w:r>
      <w:r w:rsidRPr="004B77B7" w:rsidR="00943F91">
        <w:rPr>
          <w:bCs/>
          <w:color w:val="000000"/>
          <w:sz w:val="22"/>
          <w:szCs w:val="22"/>
        </w:rPr>
        <w:t>4</w:t>
      </w:r>
      <w:r w:rsidRPr="004B77B7">
        <w:rPr>
          <w:bCs/>
          <w:color w:val="000000"/>
          <w:sz w:val="22"/>
          <w:szCs w:val="22"/>
        </w:rPr>
        <w:t>.</w:t>
      </w:r>
    </w:p>
    <w:p w:rsidR="000C3D67" w:rsidP="00DB5C99" w14:paraId="2428FE30" w14:textId="77777777">
      <w:pPr>
        <w:rPr>
          <w:b/>
          <w:bCs/>
          <w:color w:val="000000"/>
          <w:sz w:val="22"/>
          <w:szCs w:val="22"/>
        </w:rPr>
      </w:pPr>
    </w:p>
    <w:p w:rsidR="002D01E4" w:rsidRPr="002D01E4" w:rsidP="00C92ED6" w14:paraId="655375EC" w14:textId="77777777">
      <w:pPr>
        <w:jc w:val="center"/>
        <w:rPr>
          <w:b/>
          <w:bCs/>
          <w:color w:val="000000"/>
          <w:sz w:val="22"/>
          <w:szCs w:val="22"/>
        </w:rPr>
      </w:pPr>
    </w:p>
    <w:p w:rsidR="00F70329" w:rsidRPr="00AE0D8D" w:rsidP="00C92ED6" w14:paraId="4DDFC589" w14:textId="77777777">
      <w:pPr>
        <w:jc w:val="center"/>
        <w:rPr>
          <w:b/>
          <w:bCs/>
          <w:color w:val="000000"/>
          <w:sz w:val="22"/>
          <w:szCs w:val="22"/>
        </w:rPr>
      </w:pPr>
      <w:r w:rsidRPr="002D01E4">
        <w:rPr>
          <w:b/>
          <w:bCs/>
          <w:color w:val="000000"/>
          <w:sz w:val="22"/>
          <w:szCs w:val="22"/>
        </w:rPr>
        <w:t xml:space="preserve"> </w:t>
      </w:r>
      <w:r w:rsidRPr="00AE0D8D">
        <w:rPr>
          <w:b/>
          <w:bCs/>
          <w:color w:val="000000"/>
          <w:sz w:val="22"/>
          <w:szCs w:val="22"/>
        </w:rPr>
        <w:t>OBRAZLOŽENJE</w:t>
      </w:r>
      <w:r w:rsidRPr="00AE0D8D" w:rsidR="00C75F2D">
        <w:rPr>
          <w:b/>
          <w:bCs/>
          <w:color w:val="000000"/>
          <w:sz w:val="22"/>
          <w:szCs w:val="22"/>
        </w:rPr>
        <w:t xml:space="preserve"> </w:t>
      </w:r>
      <w:r w:rsidRPr="00AE0D8D" w:rsidR="00985A68">
        <w:rPr>
          <w:b/>
          <w:bCs/>
          <w:color w:val="000000"/>
          <w:sz w:val="22"/>
          <w:szCs w:val="22"/>
        </w:rPr>
        <w:t>PRIJEDLOGA</w:t>
      </w:r>
    </w:p>
    <w:p w:rsidR="0034190E" w:rsidRPr="00AE0D8D" w:rsidP="00777E38" w14:paraId="1CA9FAB4" w14:textId="54536930">
      <w:pPr>
        <w:jc w:val="center"/>
        <w:rPr>
          <w:b/>
          <w:bCs/>
          <w:color w:val="000000"/>
          <w:sz w:val="22"/>
          <w:szCs w:val="22"/>
        </w:rPr>
      </w:pPr>
      <w:r>
        <w:rPr>
          <w:b/>
          <w:bCs/>
          <w:color w:val="000000"/>
          <w:sz w:val="22"/>
          <w:szCs w:val="22"/>
        </w:rPr>
        <w:t>I</w:t>
      </w:r>
      <w:r w:rsidRPr="00AE0D8D" w:rsidR="00897F59">
        <w:rPr>
          <w:b/>
          <w:bCs/>
          <w:color w:val="000000"/>
          <w:sz w:val="22"/>
          <w:szCs w:val="22"/>
        </w:rPr>
        <w:t>I</w:t>
      </w:r>
      <w:r w:rsidRPr="00AE0D8D" w:rsidR="000C2FDE">
        <w:rPr>
          <w:b/>
          <w:bCs/>
          <w:color w:val="000000"/>
          <w:sz w:val="22"/>
          <w:szCs w:val="22"/>
        </w:rPr>
        <w:t xml:space="preserve">. IZMJENA I DOPUNA </w:t>
      </w:r>
      <w:r w:rsidRPr="00AE0D8D" w:rsidR="00C75F2D">
        <w:rPr>
          <w:b/>
          <w:bCs/>
          <w:color w:val="000000"/>
          <w:sz w:val="22"/>
          <w:szCs w:val="22"/>
        </w:rPr>
        <w:t>FINANCIJSKOG PLANA ZA 20</w:t>
      </w:r>
      <w:r w:rsidRPr="00AE0D8D" w:rsidR="004A0DA6">
        <w:rPr>
          <w:b/>
          <w:bCs/>
          <w:color w:val="000000"/>
          <w:sz w:val="22"/>
          <w:szCs w:val="22"/>
        </w:rPr>
        <w:t>2</w:t>
      </w:r>
      <w:r w:rsidRPr="00AE0D8D" w:rsidR="00943F91">
        <w:rPr>
          <w:b/>
          <w:bCs/>
          <w:color w:val="000000"/>
          <w:sz w:val="22"/>
          <w:szCs w:val="22"/>
        </w:rPr>
        <w:t>4</w:t>
      </w:r>
      <w:r w:rsidRPr="00AE0D8D" w:rsidR="00C75F2D">
        <w:rPr>
          <w:b/>
          <w:bCs/>
          <w:color w:val="000000"/>
          <w:sz w:val="22"/>
          <w:szCs w:val="22"/>
        </w:rPr>
        <w:t>. GODINU</w:t>
      </w:r>
    </w:p>
    <w:p w:rsidR="00AF5764" w:rsidP="002A0FEF" w14:paraId="40038E60" w14:textId="77777777">
      <w:pPr>
        <w:jc w:val="both"/>
        <w:rPr>
          <w:sz w:val="22"/>
          <w:szCs w:val="22"/>
        </w:rPr>
      </w:pPr>
    </w:p>
    <w:p w:rsidR="000C3D67" w:rsidRPr="00AE0D8D" w:rsidP="002A0FEF" w14:paraId="53AC333B" w14:textId="77777777">
      <w:pPr>
        <w:jc w:val="both"/>
        <w:rPr>
          <w:sz w:val="22"/>
          <w:szCs w:val="22"/>
        </w:rPr>
      </w:pPr>
    </w:p>
    <w:p w:rsidR="002D01E4" w:rsidRPr="00AE0D8D" w:rsidP="007836A3" w14:paraId="6379E18C" w14:textId="77777777">
      <w:pPr>
        <w:jc w:val="both"/>
        <w:rPr>
          <w:b/>
          <w:sz w:val="22"/>
          <w:szCs w:val="22"/>
        </w:rPr>
      </w:pPr>
    </w:p>
    <w:p w:rsidR="007836A3" w:rsidRPr="00AE0D8D" w:rsidP="007836A3" w14:paraId="55CEAE8B" w14:textId="77777777">
      <w:pPr>
        <w:jc w:val="both"/>
        <w:rPr>
          <w:b/>
          <w:sz w:val="22"/>
          <w:szCs w:val="22"/>
        </w:rPr>
      </w:pPr>
      <w:r w:rsidRPr="00AE0D8D">
        <w:rPr>
          <w:b/>
          <w:sz w:val="22"/>
          <w:szCs w:val="22"/>
        </w:rPr>
        <w:t>1. Sažetak djelokruga rada Škole</w:t>
      </w:r>
    </w:p>
    <w:p w:rsidR="007836A3" w:rsidP="007836A3" w14:paraId="750AFFE8" w14:textId="77777777">
      <w:pPr>
        <w:jc w:val="both"/>
        <w:rPr>
          <w:b/>
          <w:sz w:val="22"/>
          <w:szCs w:val="22"/>
        </w:rPr>
      </w:pPr>
    </w:p>
    <w:p w:rsidR="00A908F7" w:rsidRPr="00AE0D8D" w:rsidP="007836A3" w14:paraId="238E831B" w14:textId="77777777">
      <w:pPr>
        <w:jc w:val="both"/>
        <w:rPr>
          <w:b/>
          <w:sz w:val="22"/>
          <w:szCs w:val="22"/>
        </w:rPr>
      </w:pPr>
    </w:p>
    <w:p w:rsidR="00A908F7" w:rsidRPr="000C3D67" w:rsidP="00A908F7" w14:paraId="48E0C7E1" w14:textId="77777777">
      <w:pPr>
        <w:spacing w:before="120" w:after="120"/>
        <w:jc w:val="both"/>
        <w:rPr>
          <w:sz w:val="22"/>
          <w:szCs w:val="22"/>
        </w:rPr>
      </w:pPr>
      <w:r w:rsidRPr="000C3D67">
        <w:rPr>
          <w:sz w:val="22"/>
          <w:szCs w:val="22"/>
        </w:rPr>
        <w:t xml:space="preserve">Škola je osnovnoškolska javna ustanova sukladno odredbama Zakona o ustanovama. Prava i dužnosti Osnivača Škole obavlja Grad Koprivnica na temelju Odluke Ministarstva o prijenosu osnivačkih prava na Grad Koprivnicu (KLASA: 602-02/01-01/1, URBROJ: 532/1-01-01) od 5. studenoga 2001. godine. </w:t>
      </w:r>
    </w:p>
    <w:p w:rsidR="00A908F7" w:rsidRPr="000C3D67" w:rsidP="00A908F7" w14:paraId="7260D6CE" w14:textId="77777777">
      <w:pPr>
        <w:spacing w:before="120" w:after="120"/>
        <w:jc w:val="both"/>
        <w:rPr>
          <w:sz w:val="22"/>
          <w:szCs w:val="22"/>
        </w:rPr>
      </w:pPr>
      <w:r w:rsidRPr="000C3D67">
        <w:rPr>
          <w:sz w:val="22"/>
          <w:szCs w:val="22"/>
        </w:rPr>
        <w:t>Škola obavlja djelatnost osnovnog odgoja i obrazovanja sukladno Zakonu o odgoju i obrazovanju u osnovnoj i srednjoj školi i Državnom pedagoškom standardu osnovnoškolskog sustava odgoja i obrazovanja.</w:t>
      </w:r>
    </w:p>
    <w:p w:rsidR="00A908F7" w:rsidRPr="000C3D67" w:rsidP="00A908F7" w14:paraId="081D9566" w14:textId="77777777">
      <w:pPr>
        <w:spacing w:before="120" w:after="120"/>
        <w:jc w:val="both"/>
        <w:rPr>
          <w:sz w:val="22"/>
          <w:szCs w:val="22"/>
        </w:rPr>
      </w:pPr>
      <w:r w:rsidRPr="000C3D67">
        <w:rPr>
          <w:sz w:val="22"/>
          <w:szCs w:val="22"/>
        </w:rPr>
        <w:t>Škola radi na temelju Statuta Škole te Školskog kurikuluma i Godišnjeg plana i programa rada (Školski Kurikulum i Godišnji plan i program rada škole se donose početkom svake školske godine), a zasnovani su na Nacionalnom kurikulumu i nastavnim planovima i programima rada.</w:t>
      </w:r>
    </w:p>
    <w:p w:rsidR="00A908F7" w:rsidRPr="000C3D67" w:rsidP="00A908F7" w14:paraId="71F92791" w14:textId="77777777">
      <w:pPr>
        <w:spacing w:before="120" w:after="120"/>
        <w:jc w:val="both"/>
        <w:rPr>
          <w:sz w:val="22"/>
          <w:szCs w:val="22"/>
        </w:rPr>
      </w:pPr>
      <w:r w:rsidRPr="000C3D67">
        <w:rPr>
          <w:sz w:val="22"/>
          <w:szCs w:val="22"/>
        </w:rPr>
        <w:t xml:space="preserve">Škola ima dvije područne škole Reku i </w:t>
      </w:r>
      <w:r w:rsidRPr="000C3D67">
        <w:rPr>
          <w:sz w:val="22"/>
          <w:szCs w:val="22"/>
        </w:rPr>
        <w:t>Jagnjedovec</w:t>
      </w:r>
      <w:r w:rsidRPr="000C3D67">
        <w:rPr>
          <w:sz w:val="22"/>
          <w:szCs w:val="22"/>
        </w:rPr>
        <w:t xml:space="preserve">. U matičnoj školi i područnim školama Reka i </w:t>
      </w:r>
      <w:r w:rsidRPr="000C3D67">
        <w:rPr>
          <w:sz w:val="22"/>
          <w:szCs w:val="22"/>
        </w:rPr>
        <w:t>Jagnjedovec</w:t>
      </w:r>
      <w:r w:rsidRPr="000C3D67">
        <w:rPr>
          <w:sz w:val="22"/>
          <w:szCs w:val="22"/>
        </w:rPr>
        <w:t xml:space="preserve"> nastava se izvodi tijekom pet radnih dana tjedno u dvije smjene. U matičnoj školi viši razredi (5. – 8.) polaze nastavu u jednoj smjeni, dok se niži razredi (1. – 4.) rotiraju u dvije smjene. U područnoj školi </w:t>
      </w:r>
      <w:r w:rsidRPr="000C3D67">
        <w:rPr>
          <w:sz w:val="22"/>
          <w:szCs w:val="22"/>
        </w:rPr>
        <w:t>Jagnjedovec</w:t>
      </w:r>
      <w:r w:rsidRPr="000C3D67">
        <w:rPr>
          <w:sz w:val="22"/>
          <w:szCs w:val="22"/>
        </w:rPr>
        <w:t xml:space="preserve"> je </w:t>
      </w:r>
      <w:r w:rsidRPr="000C3D67">
        <w:rPr>
          <w:sz w:val="22"/>
          <w:szCs w:val="22"/>
        </w:rPr>
        <w:t>dvorazredna</w:t>
      </w:r>
      <w:r w:rsidRPr="000C3D67">
        <w:rPr>
          <w:sz w:val="22"/>
          <w:szCs w:val="22"/>
        </w:rPr>
        <w:t xml:space="preserve"> kombinacija (1./3 razred i 2./4. razred). Organizacijski se provodi u obliku redovne nastave, izborne nastave, dopunske nastave, dodatne nastave te izvannastavnih aktivnosti. U matičnoj školi organiziran je Program produženog boravka za učenike od 1. – 4. razreda, produženi boravak organiziran je u četiri grupe.</w:t>
      </w:r>
    </w:p>
    <w:p w:rsidR="00A908F7" w:rsidRPr="000C3D67" w:rsidP="00A908F7" w14:paraId="7E6FEABF" w14:textId="77777777">
      <w:pPr>
        <w:spacing w:before="120" w:after="120"/>
        <w:jc w:val="both"/>
        <w:rPr>
          <w:sz w:val="22"/>
          <w:szCs w:val="22"/>
        </w:rPr>
      </w:pPr>
      <w:r w:rsidRPr="000C3D67">
        <w:rPr>
          <w:sz w:val="22"/>
          <w:szCs w:val="22"/>
        </w:rPr>
        <w:t xml:space="preserve">Prema mjestu izvođenja postoji i </w:t>
      </w:r>
      <w:r w:rsidRPr="000C3D67">
        <w:rPr>
          <w:sz w:val="22"/>
          <w:szCs w:val="22"/>
        </w:rPr>
        <w:t>izvanučionička</w:t>
      </w:r>
      <w:r w:rsidRPr="000C3D67">
        <w:rPr>
          <w:sz w:val="22"/>
          <w:szCs w:val="22"/>
        </w:rPr>
        <w:t xml:space="preserve"> nastava koja podrazumijeva ostvarivanje programskih sadržaja izvan školske zgrade: terenska nastava, izleti, škola u prirodi i ekskurzije. </w:t>
      </w:r>
      <w:r w:rsidRPr="000C3D67">
        <w:rPr>
          <w:sz w:val="22"/>
          <w:szCs w:val="22"/>
        </w:rPr>
        <w:t>Izvanučionička</w:t>
      </w:r>
      <w:r w:rsidRPr="000C3D67">
        <w:rPr>
          <w:sz w:val="22"/>
          <w:szCs w:val="22"/>
        </w:rPr>
        <w:t xml:space="preserve"> nastava se realizira i provodi sukladno odredbama Pravilnika o izvođenju izleta, ekskurzija i drugih </w:t>
      </w:r>
      <w:r w:rsidRPr="000C3D67">
        <w:rPr>
          <w:sz w:val="22"/>
          <w:szCs w:val="22"/>
        </w:rPr>
        <w:t>odgojnoobrazovnih</w:t>
      </w:r>
      <w:r w:rsidRPr="000C3D67">
        <w:rPr>
          <w:sz w:val="22"/>
          <w:szCs w:val="22"/>
        </w:rPr>
        <w:t xml:space="preserve"> aktivnosti izvan škole.</w:t>
      </w:r>
    </w:p>
    <w:p w:rsidR="00A908F7" w:rsidRPr="000C3D67" w:rsidP="00A908F7" w14:paraId="268D9201" w14:textId="77777777">
      <w:pPr>
        <w:spacing w:before="120" w:after="120"/>
        <w:jc w:val="both"/>
        <w:rPr>
          <w:sz w:val="22"/>
          <w:szCs w:val="22"/>
        </w:rPr>
      </w:pPr>
      <w:r w:rsidRPr="000C3D67">
        <w:rPr>
          <w:sz w:val="22"/>
          <w:szCs w:val="22"/>
        </w:rPr>
        <w:t>Nastava se za učenike organizira prema uzrastu po razredima, a neposredno izvodi  u razrednom odjelu i obrazovnoj skupini, prema utvrđenom rasporedu nastavnih sati. Sadržajno je nastava podijeljena u nastavne predmete.</w:t>
      </w:r>
    </w:p>
    <w:p w:rsidR="00A908F7" w:rsidRPr="000C3D67" w:rsidP="00A908F7" w14:paraId="20270A81" w14:textId="77777777">
      <w:pPr>
        <w:spacing w:before="120" w:after="120"/>
        <w:jc w:val="both"/>
        <w:rPr>
          <w:sz w:val="22"/>
          <w:szCs w:val="22"/>
        </w:rPr>
      </w:pPr>
      <w:r w:rsidRPr="000C3D67">
        <w:rPr>
          <w:sz w:val="22"/>
          <w:szCs w:val="22"/>
        </w:rPr>
        <w:t>Pored obveznih odgojno – obrazovnih programa, u Školi se provode specifični programi i projekti. Neki programi i projekti provode se na europskoj, neki na nacionalnoj razini, neki na županijskoj ili gradskoj, a postoje programi i projekti koje Škola sama osmišljava i realizira u okviru svog rada.</w:t>
      </w:r>
    </w:p>
    <w:p w:rsidR="00A908F7" w:rsidRPr="008212D0" w:rsidP="00A908F7" w14:paraId="14CABE0C" w14:textId="77777777">
      <w:pPr>
        <w:spacing w:before="120" w:after="120"/>
        <w:jc w:val="both"/>
        <w:rPr>
          <w:sz w:val="22"/>
          <w:szCs w:val="22"/>
        </w:rPr>
      </w:pPr>
      <w:r w:rsidRPr="000C3D67">
        <w:rPr>
          <w:sz w:val="22"/>
          <w:szCs w:val="22"/>
        </w:rPr>
        <w:t xml:space="preserve">U školskoj 2024./2025. godini ustrojeno je 35 razrednih odjela koje pohađa 696 učenika (633 učenika u matičnoj školi, 45 učenika u PŠ Reka i 18 učenika u PŠ </w:t>
      </w:r>
      <w:r w:rsidRPr="000C3D67">
        <w:rPr>
          <w:sz w:val="22"/>
          <w:szCs w:val="22"/>
        </w:rPr>
        <w:t>Jagnjedovec</w:t>
      </w:r>
      <w:r w:rsidRPr="000C3D67">
        <w:rPr>
          <w:sz w:val="22"/>
          <w:szCs w:val="22"/>
        </w:rPr>
        <w:t>), zaposleno je ukupno 87 radnika, u sklopu projekta ODJEK VII. – Odrastanje u jednakosti zaposleno je 8 pomoćnika u nastavi.</w:t>
      </w:r>
      <w:r w:rsidRPr="008212D0">
        <w:rPr>
          <w:sz w:val="22"/>
          <w:szCs w:val="22"/>
        </w:rPr>
        <w:t xml:space="preserve"> </w:t>
      </w:r>
    </w:p>
    <w:p w:rsidR="00A908F7" w:rsidP="00943F91" w14:paraId="0D74F306" w14:textId="77777777">
      <w:pPr>
        <w:spacing w:before="120" w:after="120"/>
        <w:jc w:val="both"/>
        <w:rPr>
          <w:sz w:val="22"/>
          <w:szCs w:val="22"/>
        </w:rPr>
      </w:pPr>
    </w:p>
    <w:p w:rsidR="00DB5C99" w:rsidP="00943F91" w14:paraId="28AB39E4" w14:textId="77777777">
      <w:pPr>
        <w:spacing w:before="120" w:after="120"/>
        <w:jc w:val="both"/>
        <w:rPr>
          <w:sz w:val="22"/>
          <w:szCs w:val="22"/>
        </w:rPr>
      </w:pPr>
    </w:p>
    <w:p w:rsidR="00DB5C99" w:rsidP="00943F91" w14:paraId="50CB4FA9" w14:textId="77777777">
      <w:pPr>
        <w:spacing w:before="120" w:after="120"/>
        <w:jc w:val="both"/>
        <w:rPr>
          <w:rFonts w:eastAsia="Calibri"/>
        </w:rPr>
      </w:pPr>
    </w:p>
    <w:p w:rsidR="00086297" w:rsidRPr="00AE0D8D" w:rsidP="00086297" w14:paraId="58BF6A7D" w14:textId="77777777">
      <w:pPr>
        <w:jc w:val="both"/>
        <w:rPr>
          <w:b/>
          <w:sz w:val="22"/>
          <w:szCs w:val="22"/>
        </w:rPr>
      </w:pPr>
      <w:r w:rsidRPr="00AE0D8D">
        <w:rPr>
          <w:b/>
          <w:bCs/>
          <w:sz w:val="22"/>
          <w:szCs w:val="22"/>
        </w:rPr>
        <w:t>2</w:t>
      </w:r>
      <w:r w:rsidRPr="00AE0D8D" w:rsidR="00BF156C">
        <w:rPr>
          <w:b/>
          <w:bCs/>
          <w:sz w:val="22"/>
          <w:szCs w:val="22"/>
        </w:rPr>
        <w:t>.</w:t>
      </w:r>
      <w:r w:rsidRPr="00AE0D8D" w:rsidR="000C2FDE">
        <w:rPr>
          <w:b/>
          <w:bCs/>
          <w:sz w:val="22"/>
          <w:szCs w:val="22"/>
        </w:rPr>
        <w:t xml:space="preserve"> </w:t>
      </w:r>
      <w:r w:rsidRPr="00AE0D8D">
        <w:rPr>
          <w:b/>
          <w:sz w:val="22"/>
          <w:szCs w:val="22"/>
        </w:rPr>
        <w:t>OBRAZLOŽENJE PROGRAMA (AKTIVNOSTI I PROJEKATA)</w:t>
      </w:r>
    </w:p>
    <w:p w:rsidR="00533385" w:rsidRPr="00AE0D8D" w:rsidP="00950E55" w14:paraId="42651D9E" w14:textId="77777777">
      <w:pPr>
        <w:jc w:val="both"/>
        <w:rPr>
          <w:b/>
          <w:sz w:val="22"/>
          <w:szCs w:val="22"/>
        </w:rPr>
      </w:pPr>
    </w:p>
    <w:p w:rsidR="00950E55" w:rsidRPr="000C3D67" w:rsidP="00950E55" w14:paraId="3C2E18EE" w14:textId="77777777">
      <w:pPr>
        <w:jc w:val="both"/>
        <w:rPr>
          <w:b/>
          <w:sz w:val="22"/>
          <w:szCs w:val="22"/>
        </w:rPr>
      </w:pPr>
      <w:r w:rsidRPr="000C3D67">
        <w:rPr>
          <w:b/>
          <w:sz w:val="22"/>
          <w:szCs w:val="22"/>
        </w:rPr>
        <w:t>RASHODI</w:t>
      </w:r>
    </w:p>
    <w:p w:rsidR="00950E55" w:rsidRPr="000C3D67" w:rsidP="00950E55" w14:paraId="4F7F36D4" w14:textId="77777777">
      <w:pPr>
        <w:jc w:val="both"/>
        <w:rPr>
          <w:b/>
          <w:sz w:val="22"/>
          <w:szCs w:val="22"/>
        </w:rPr>
      </w:pPr>
    </w:p>
    <w:p w:rsidR="00950E55" w:rsidRPr="000C3D67" w:rsidP="00950E55" w14:paraId="5E675115" w14:textId="2AEA829F">
      <w:pPr>
        <w:jc w:val="both"/>
        <w:rPr>
          <w:sz w:val="22"/>
          <w:szCs w:val="22"/>
        </w:rPr>
      </w:pPr>
      <w:r w:rsidRPr="000C3D67">
        <w:rPr>
          <w:sz w:val="22"/>
          <w:szCs w:val="22"/>
        </w:rPr>
        <w:t xml:space="preserve">U </w:t>
      </w:r>
      <w:r w:rsidRPr="000C3D67" w:rsidR="00575018">
        <w:rPr>
          <w:sz w:val="22"/>
          <w:szCs w:val="22"/>
        </w:rPr>
        <w:t xml:space="preserve">prijedlogu </w:t>
      </w:r>
      <w:r w:rsidRPr="000C3D67" w:rsidR="006B735E">
        <w:rPr>
          <w:sz w:val="22"/>
          <w:szCs w:val="22"/>
        </w:rPr>
        <w:t>I</w:t>
      </w:r>
      <w:r w:rsidRPr="000C3D67">
        <w:rPr>
          <w:sz w:val="22"/>
          <w:szCs w:val="22"/>
        </w:rPr>
        <w:t xml:space="preserve">I. Izmjena i dopuna Financijskog plana Osnovne škole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predlaže</w:t>
      </w:r>
      <w:r w:rsidRPr="000C3D67" w:rsidR="00605E5B">
        <w:rPr>
          <w:sz w:val="22"/>
          <w:szCs w:val="22"/>
        </w:rPr>
        <w:t xml:space="preserve"> se </w:t>
      </w:r>
      <w:r w:rsidRPr="000C3D67" w:rsidR="00170125">
        <w:rPr>
          <w:sz w:val="22"/>
          <w:szCs w:val="22"/>
        </w:rPr>
        <w:t xml:space="preserve">povećanje </w:t>
      </w:r>
      <w:r w:rsidRPr="000C3D67" w:rsidR="00605E5B">
        <w:rPr>
          <w:sz w:val="22"/>
          <w:szCs w:val="22"/>
        </w:rPr>
        <w:t>ukup</w:t>
      </w:r>
      <w:r w:rsidRPr="000C3D67" w:rsidR="00533385">
        <w:rPr>
          <w:sz w:val="22"/>
          <w:szCs w:val="22"/>
        </w:rPr>
        <w:t xml:space="preserve">nih </w:t>
      </w:r>
      <w:r w:rsidRPr="000C3D67">
        <w:rPr>
          <w:sz w:val="22"/>
          <w:szCs w:val="22"/>
        </w:rPr>
        <w:t xml:space="preserve">rashoda za </w:t>
      </w:r>
      <w:r w:rsidRPr="000C3D67" w:rsidR="006B735E">
        <w:rPr>
          <w:sz w:val="22"/>
          <w:szCs w:val="22"/>
        </w:rPr>
        <w:t>108.292,00</w:t>
      </w:r>
      <w:r w:rsidRPr="000C3D67" w:rsidR="00897F59">
        <w:rPr>
          <w:sz w:val="22"/>
          <w:szCs w:val="22"/>
        </w:rPr>
        <w:t xml:space="preserve"> </w:t>
      </w:r>
      <w:r w:rsidRPr="000C3D67" w:rsidR="00170125">
        <w:rPr>
          <w:sz w:val="22"/>
          <w:szCs w:val="22"/>
        </w:rPr>
        <w:t>eura</w:t>
      </w:r>
      <w:r w:rsidRPr="000C3D67">
        <w:rPr>
          <w:sz w:val="22"/>
          <w:szCs w:val="22"/>
        </w:rPr>
        <w:t xml:space="preserve"> te novi plan iznosi </w:t>
      </w:r>
      <w:r w:rsidRPr="000C3D67" w:rsidR="00170125">
        <w:rPr>
          <w:sz w:val="22"/>
          <w:szCs w:val="22"/>
        </w:rPr>
        <w:t>2.</w:t>
      </w:r>
      <w:r w:rsidRPr="000C3D67" w:rsidR="006B735E">
        <w:rPr>
          <w:sz w:val="22"/>
          <w:szCs w:val="22"/>
        </w:rPr>
        <w:t>976.834</w:t>
      </w:r>
      <w:r w:rsidRPr="000C3D67" w:rsidR="00170125">
        <w:rPr>
          <w:sz w:val="22"/>
          <w:szCs w:val="22"/>
        </w:rPr>
        <w:t>,00</w:t>
      </w:r>
      <w:r w:rsidRPr="000C3D67">
        <w:rPr>
          <w:sz w:val="22"/>
          <w:szCs w:val="22"/>
        </w:rPr>
        <w:t xml:space="preserve"> </w:t>
      </w:r>
      <w:r w:rsidRPr="000C3D67" w:rsidR="00170125">
        <w:rPr>
          <w:sz w:val="22"/>
          <w:szCs w:val="22"/>
        </w:rPr>
        <w:t>eura</w:t>
      </w:r>
      <w:r w:rsidRPr="000C3D67" w:rsidR="00533385">
        <w:rPr>
          <w:sz w:val="22"/>
          <w:szCs w:val="22"/>
        </w:rPr>
        <w:t xml:space="preserve">. Predlaže se povećanje rashoda poslovanja u iznosu od </w:t>
      </w:r>
      <w:r w:rsidRPr="000C3D67" w:rsidR="006B735E">
        <w:rPr>
          <w:sz w:val="22"/>
          <w:szCs w:val="22"/>
        </w:rPr>
        <w:t>75.408,00</w:t>
      </w:r>
      <w:r w:rsidRPr="000C3D67" w:rsidR="00170125">
        <w:rPr>
          <w:sz w:val="22"/>
          <w:szCs w:val="22"/>
        </w:rPr>
        <w:t xml:space="preserve"> eura t</w:t>
      </w:r>
      <w:r w:rsidRPr="000C3D67" w:rsidR="00533385">
        <w:rPr>
          <w:sz w:val="22"/>
          <w:szCs w:val="22"/>
        </w:rPr>
        <w:t xml:space="preserve">e </w:t>
      </w:r>
      <w:r w:rsidRPr="000C3D67" w:rsidR="00170125">
        <w:rPr>
          <w:sz w:val="22"/>
          <w:szCs w:val="22"/>
        </w:rPr>
        <w:t xml:space="preserve">povećanje </w:t>
      </w:r>
      <w:r w:rsidRPr="000C3D67" w:rsidR="00533385">
        <w:rPr>
          <w:sz w:val="22"/>
          <w:szCs w:val="22"/>
        </w:rPr>
        <w:t xml:space="preserve">rashoda za nabavu nefinancijske imovine u iznosu od </w:t>
      </w:r>
      <w:r w:rsidRPr="000C3D67" w:rsidR="006B735E">
        <w:rPr>
          <w:sz w:val="22"/>
          <w:szCs w:val="22"/>
        </w:rPr>
        <w:t>32.884</w:t>
      </w:r>
      <w:r w:rsidRPr="000C3D67" w:rsidR="00A37F2D">
        <w:rPr>
          <w:sz w:val="22"/>
          <w:szCs w:val="22"/>
        </w:rPr>
        <w:t>,00</w:t>
      </w:r>
      <w:r w:rsidRPr="000C3D67" w:rsidR="00C45088">
        <w:rPr>
          <w:sz w:val="22"/>
          <w:szCs w:val="22"/>
        </w:rPr>
        <w:t xml:space="preserve"> eura</w:t>
      </w:r>
      <w:r w:rsidRPr="000C3D67" w:rsidR="00A37F2D">
        <w:rPr>
          <w:sz w:val="22"/>
          <w:szCs w:val="22"/>
        </w:rPr>
        <w:t xml:space="preserve">. Povećanje rashoda poslovanja odnosi se najvećim dijelom na povećanje rashoda za </w:t>
      </w:r>
      <w:r w:rsidRPr="000C3D67" w:rsidR="006B735E">
        <w:rPr>
          <w:sz w:val="22"/>
          <w:szCs w:val="22"/>
        </w:rPr>
        <w:t xml:space="preserve">usluge tekućeg i investicijskog održavanja (zamjena parketa u sportskoj dvorani) te </w:t>
      </w:r>
      <w:r w:rsidRPr="000C3D67" w:rsidR="00A37F2D">
        <w:rPr>
          <w:sz w:val="22"/>
          <w:szCs w:val="22"/>
        </w:rPr>
        <w:t xml:space="preserve">plaće zaposlenika s obzirom da je počevši od plaće za </w:t>
      </w:r>
      <w:r w:rsidRPr="000C3D67" w:rsidR="006B735E">
        <w:rPr>
          <w:sz w:val="22"/>
          <w:szCs w:val="22"/>
        </w:rPr>
        <w:t xml:space="preserve">rujan </w:t>
      </w:r>
      <w:r w:rsidRPr="000C3D67" w:rsidR="00A37F2D">
        <w:rPr>
          <w:sz w:val="22"/>
          <w:szCs w:val="22"/>
        </w:rPr>
        <w:t xml:space="preserve">došlo do povećanja plaća </w:t>
      </w:r>
      <w:r w:rsidRPr="000C3D67" w:rsidR="006B735E">
        <w:rPr>
          <w:sz w:val="22"/>
          <w:szCs w:val="22"/>
        </w:rPr>
        <w:t>pomoćnika u nastavi te je krajem listopada zaposlena četvrta učiteljica u produženom boravku.</w:t>
      </w:r>
      <w:r w:rsidRPr="000C3D67" w:rsidR="00A37F2D">
        <w:rPr>
          <w:sz w:val="22"/>
          <w:szCs w:val="22"/>
        </w:rPr>
        <w:t xml:space="preserve"> Povećanje rashoda za nabavu nefinancijske imovine odnosi se </w:t>
      </w:r>
      <w:r w:rsidRPr="000C3D67" w:rsidR="006B735E">
        <w:rPr>
          <w:sz w:val="22"/>
          <w:szCs w:val="22"/>
        </w:rPr>
        <w:t xml:space="preserve">najvećim dijelom na rashode za klimatizacijski sustav škole. Promjene predloženih iznosa rashoda odnose se na </w:t>
      </w:r>
      <w:r w:rsidRPr="000C3D67">
        <w:rPr>
          <w:sz w:val="22"/>
          <w:szCs w:val="22"/>
        </w:rPr>
        <w:t>slijedeće aktivnosti:</w:t>
      </w:r>
    </w:p>
    <w:p w:rsidR="00950E55" w:rsidRPr="000C3D67" w:rsidP="00950E55" w14:paraId="3C9E8C50" w14:textId="77777777">
      <w:pPr>
        <w:jc w:val="both"/>
        <w:rPr>
          <w:sz w:val="22"/>
          <w:szCs w:val="22"/>
        </w:rPr>
      </w:pPr>
    </w:p>
    <w:p w:rsidR="00B36BB4" w:rsidRPr="000C3D67" w:rsidP="007556C1" w14:paraId="2979B24E" w14:textId="77777777">
      <w:pPr>
        <w:rPr>
          <w:b/>
          <w:bCs/>
          <w:color w:val="000000"/>
          <w:sz w:val="22"/>
          <w:szCs w:val="22"/>
          <w:u w:val="single"/>
        </w:rPr>
      </w:pPr>
    </w:p>
    <w:p w:rsidR="00D84560" w:rsidRPr="000C3D67" w:rsidP="00D84560" w14:paraId="3CBA1AA0" w14:textId="77777777">
      <w:pPr>
        <w:rPr>
          <w:rFonts w:eastAsia="Calibri"/>
          <w:b/>
          <w:bCs/>
          <w:color w:val="000000"/>
          <w:sz w:val="22"/>
          <w:szCs w:val="22"/>
        </w:rPr>
      </w:pPr>
      <w:r w:rsidRPr="000C3D67">
        <w:rPr>
          <w:rFonts w:eastAsia="Calibri"/>
          <w:b/>
          <w:bCs/>
          <w:color w:val="000000"/>
          <w:sz w:val="22"/>
          <w:szCs w:val="22"/>
        </w:rPr>
        <w:t>AKTIVNOST: A 300201 Decentralizirane funkcije osnovnog školstva</w:t>
      </w:r>
    </w:p>
    <w:p w:rsidR="00D84560" w:rsidRPr="000C3D67" w:rsidP="00D84560" w14:paraId="4A9C401F" w14:textId="77777777">
      <w:pPr>
        <w:rPr>
          <w:rFonts w:eastAsia="Calibri"/>
          <w:b/>
          <w:bCs/>
          <w:color w:val="000000"/>
          <w:sz w:val="22"/>
          <w:szCs w:val="22"/>
        </w:rPr>
      </w:pPr>
      <w:r w:rsidRPr="000C3D67">
        <w:rPr>
          <w:rFonts w:eastAsia="Calibri"/>
          <w:b/>
          <w:bCs/>
          <w:color w:val="000000"/>
          <w:sz w:val="22"/>
          <w:szCs w:val="22"/>
        </w:rPr>
        <w:t xml:space="preserve"> </w:t>
      </w:r>
    </w:p>
    <w:p w:rsidR="00D84560" w:rsidRPr="000C3D67" w:rsidP="00D84560" w14:paraId="6754B07D" w14:textId="77777777">
      <w:pPr>
        <w:jc w:val="both"/>
        <w:rPr>
          <w:rFonts w:eastAsia="Calibri"/>
          <w:bCs/>
          <w:color w:val="000000"/>
          <w:sz w:val="22"/>
          <w:szCs w:val="22"/>
        </w:rPr>
      </w:pPr>
      <w:r w:rsidRPr="000C3D67">
        <w:rPr>
          <w:rFonts w:eastAsia="Calibri"/>
          <w:bCs/>
          <w:color w:val="000000"/>
          <w:sz w:val="22"/>
          <w:szCs w:val="22"/>
        </w:rPr>
        <w:t xml:space="preserve">Iz sredstava  za  decentralizirane  funkcije osigurava se financiranje minimalnog financijskog standarda javnih potreba u odgoju i osnovnom obrazovanju i to: materijalni i financijski rashodi, rashodi za  materijal, dijelove i usluge tekućeg i investicijskog održavanja,  za nabavu proizvedene dugotrajne imovine i dodatna ulaganja u nefinancijsku imovinu. </w:t>
      </w:r>
    </w:p>
    <w:p w:rsidR="00AF6EE3" w:rsidRPr="000C3D67" w:rsidP="00D84560" w14:paraId="3362C27C" w14:textId="6FC223EC">
      <w:pPr>
        <w:jc w:val="both"/>
        <w:rPr>
          <w:rFonts w:eastAsia="Calibri"/>
          <w:sz w:val="22"/>
          <w:szCs w:val="22"/>
        </w:rPr>
      </w:pPr>
      <w:r w:rsidRPr="000C3D67">
        <w:rPr>
          <w:rFonts w:eastAsia="Calibri"/>
          <w:sz w:val="22"/>
          <w:szCs w:val="22"/>
        </w:rPr>
        <w:t>Predlaže se iznos od 2</w:t>
      </w:r>
      <w:r w:rsidRPr="000C3D67">
        <w:rPr>
          <w:rFonts w:eastAsia="Calibri"/>
          <w:sz w:val="22"/>
          <w:szCs w:val="22"/>
        </w:rPr>
        <w:t>76.567,00</w:t>
      </w:r>
      <w:r w:rsidRPr="000C3D67">
        <w:rPr>
          <w:rFonts w:eastAsia="Calibri"/>
          <w:sz w:val="22"/>
          <w:szCs w:val="22"/>
        </w:rPr>
        <w:t xml:space="preserve"> eura za podmirenje svih planiranih potreba koje se financiraju iz decentraliziranih funkcija osnovnog školstva.</w:t>
      </w:r>
      <w:r w:rsidRPr="000C3D67" w:rsidR="001A1E6D">
        <w:rPr>
          <w:rFonts w:eastAsia="Calibri"/>
          <w:sz w:val="22"/>
          <w:szCs w:val="22"/>
        </w:rPr>
        <w:t xml:space="preserve"> </w:t>
      </w:r>
      <w:r w:rsidRPr="000C3D67">
        <w:rPr>
          <w:rFonts w:eastAsia="Calibri"/>
          <w:sz w:val="22"/>
          <w:szCs w:val="22"/>
        </w:rPr>
        <w:t>Ukupn</w:t>
      </w:r>
      <w:r w:rsidRPr="000C3D67" w:rsidR="001A1E6D">
        <w:rPr>
          <w:rFonts w:eastAsia="Calibri"/>
          <w:sz w:val="22"/>
          <w:szCs w:val="22"/>
        </w:rPr>
        <w:t>i</w:t>
      </w:r>
      <w:r w:rsidRPr="000C3D67">
        <w:rPr>
          <w:rFonts w:eastAsia="Calibri"/>
          <w:sz w:val="22"/>
          <w:szCs w:val="22"/>
        </w:rPr>
        <w:t xml:space="preserve"> rashod</w:t>
      </w:r>
      <w:r w:rsidRPr="000C3D67" w:rsidR="001A1E6D">
        <w:rPr>
          <w:rFonts w:eastAsia="Calibri"/>
          <w:sz w:val="22"/>
          <w:szCs w:val="22"/>
        </w:rPr>
        <w:t>i</w:t>
      </w:r>
      <w:r w:rsidRPr="000C3D67">
        <w:rPr>
          <w:rFonts w:eastAsia="Calibri"/>
          <w:sz w:val="22"/>
          <w:szCs w:val="22"/>
        </w:rPr>
        <w:t xml:space="preserve"> podijeljeni su na rashode poslovanja </w:t>
      </w:r>
      <w:r w:rsidRPr="000C3D67">
        <w:rPr>
          <w:rFonts w:eastAsia="Calibri"/>
          <w:sz w:val="22"/>
          <w:szCs w:val="22"/>
        </w:rPr>
        <w:t xml:space="preserve"> koji iznose </w:t>
      </w:r>
      <w:r w:rsidRPr="000C3D67">
        <w:rPr>
          <w:rFonts w:eastAsia="Calibri"/>
          <w:sz w:val="22"/>
          <w:szCs w:val="22"/>
        </w:rPr>
        <w:t>2</w:t>
      </w:r>
      <w:r w:rsidRPr="000C3D67">
        <w:rPr>
          <w:rFonts w:eastAsia="Calibri"/>
          <w:sz w:val="22"/>
          <w:szCs w:val="22"/>
        </w:rPr>
        <w:t>29.692,00</w:t>
      </w:r>
      <w:r w:rsidRPr="000C3D67">
        <w:rPr>
          <w:rFonts w:eastAsia="Calibri"/>
          <w:sz w:val="22"/>
          <w:szCs w:val="22"/>
        </w:rPr>
        <w:t xml:space="preserve"> eura</w:t>
      </w:r>
      <w:r w:rsidRPr="000C3D67">
        <w:rPr>
          <w:rFonts w:eastAsia="Calibri"/>
          <w:sz w:val="22"/>
          <w:szCs w:val="22"/>
        </w:rPr>
        <w:t xml:space="preserve"> (smanjeni su za 54.000,00 eura zbog manjih troškova prijevoza učenika) </w:t>
      </w:r>
      <w:r w:rsidRPr="000C3D67">
        <w:rPr>
          <w:rFonts w:eastAsia="Calibri"/>
          <w:sz w:val="22"/>
          <w:szCs w:val="22"/>
        </w:rPr>
        <w:t xml:space="preserve">te na rashode za nabavu nefinancijske imovine </w:t>
      </w:r>
      <w:r w:rsidRPr="000C3D67">
        <w:rPr>
          <w:rFonts w:eastAsia="Calibri"/>
          <w:sz w:val="22"/>
          <w:szCs w:val="22"/>
        </w:rPr>
        <w:t>koji iznose 46.875,00</w:t>
      </w:r>
      <w:r w:rsidRPr="000C3D67">
        <w:rPr>
          <w:rFonts w:eastAsia="Calibri"/>
          <w:sz w:val="22"/>
          <w:szCs w:val="22"/>
        </w:rPr>
        <w:t xml:space="preserve"> eura</w:t>
      </w:r>
      <w:r w:rsidRPr="000C3D67">
        <w:rPr>
          <w:rFonts w:eastAsia="Calibri"/>
          <w:sz w:val="22"/>
          <w:szCs w:val="22"/>
        </w:rPr>
        <w:t xml:space="preserve"> (povećani su za 31.875,00 zbog ulaganja u klimatizacijski sustav škole)</w:t>
      </w:r>
      <w:r w:rsidRPr="000C3D67" w:rsidR="001A1E6D">
        <w:rPr>
          <w:rFonts w:eastAsia="Calibri"/>
          <w:sz w:val="22"/>
          <w:szCs w:val="22"/>
        </w:rPr>
        <w:t>.</w:t>
      </w:r>
      <w:r w:rsidRPr="000C3D67">
        <w:rPr>
          <w:rFonts w:eastAsia="Calibri"/>
          <w:sz w:val="22"/>
          <w:szCs w:val="22"/>
        </w:rPr>
        <w:t xml:space="preserve"> Time su u</w:t>
      </w:r>
      <w:r w:rsidRPr="000C3D67" w:rsidR="001A1E6D">
        <w:rPr>
          <w:rFonts w:eastAsia="Calibri"/>
          <w:sz w:val="22"/>
          <w:szCs w:val="22"/>
        </w:rPr>
        <w:t xml:space="preserve">kupni rashodi za ovu aktivnost </w:t>
      </w:r>
      <w:r w:rsidRPr="000C3D67">
        <w:rPr>
          <w:rFonts w:eastAsia="Calibri"/>
          <w:sz w:val="22"/>
          <w:szCs w:val="22"/>
        </w:rPr>
        <w:t>smanjeni  za 22.125,00 eura. P</w:t>
      </w:r>
      <w:r w:rsidRPr="000C3D67" w:rsidR="001A1E6D">
        <w:rPr>
          <w:rFonts w:eastAsia="Calibri"/>
          <w:sz w:val="22"/>
          <w:szCs w:val="22"/>
        </w:rPr>
        <w:t>redlaž</w:t>
      </w:r>
      <w:r w:rsidRPr="000C3D67">
        <w:rPr>
          <w:rFonts w:eastAsia="Calibri"/>
          <w:sz w:val="22"/>
          <w:szCs w:val="22"/>
        </w:rPr>
        <w:t xml:space="preserve">u se </w:t>
      </w:r>
      <w:r w:rsidRPr="000C3D67" w:rsidR="001A1E6D">
        <w:rPr>
          <w:rFonts w:eastAsia="Calibri"/>
          <w:sz w:val="22"/>
          <w:szCs w:val="22"/>
        </w:rPr>
        <w:t>promjene iznosa po</w:t>
      </w:r>
      <w:r w:rsidRPr="000C3D67">
        <w:rPr>
          <w:rFonts w:eastAsia="Calibri"/>
          <w:sz w:val="22"/>
          <w:szCs w:val="22"/>
        </w:rPr>
        <w:t xml:space="preserve"> pojedinim kategorijama rashoda kako slijedi.</w:t>
      </w:r>
    </w:p>
    <w:p w:rsidR="007D09E9" w:rsidRPr="000C3D67" w:rsidP="007D09E9" w14:paraId="293DA1F2" w14:textId="711DA476">
      <w:pPr>
        <w:pStyle w:val="ListParagraph1"/>
        <w:ind w:left="0"/>
        <w:jc w:val="both"/>
        <w:rPr>
          <w:sz w:val="22"/>
          <w:szCs w:val="22"/>
        </w:rPr>
      </w:pPr>
      <w:r w:rsidRPr="000C3D67">
        <w:rPr>
          <w:sz w:val="22"/>
          <w:szCs w:val="22"/>
        </w:rPr>
        <w:t>Naknade troškova zaposlenima planirane su u iznosu od 11.100,00 eura</w:t>
      </w:r>
      <w:r w:rsidR="00B0373C">
        <w:rPr>
          <w:sz w:val="22"/>
          <w:szCs w:val="22"/>
        </w:rPr>
        <w:t xml:space="preserve">, </w:t>
      </w:r>
      <w:r w:rsidRPr="000C3D67">
        <w:rPr>
          <w:sz w:val="22"/>
          <w:szCs w:val="22"/>
        </w:rPr>
        <w:t xml:space="preserve">a predlaže se povećanje troškova za ukupno 150,00 eura.  Učitelji i zaposlenici Škole kontinuirano se stručno usavršavaju kako bi mogli održati jednaku razinu profesionalnosti u svom radu. Iako su troškovi stručnog usavršavanja i ostalih naknada troškova zaposlenima (korištenje privatnog automobila u službene svrhe) niži od planiranih, dolazi do povećanja troškova službenih putovanja (dnevnice i </w:t>
      </w:r>
      <w:r w:rsidRPr="000C3D67" w:rsidR="001F148D">
        <w:rPr>
          <w:sz w:val="22"/>
          <w:szCs w:val="22"/>
        </w:rPr>
        <w:t xml:space="preserve">smještaj). Do povećanja tih rashoda </w:t>
      </w:r>
      <w:r w:rsidRPr="000C3D67">
        <w:rPr>
          <w:sz w:val="22"/>
          <w:szCs w:val="22"/>
        </w:rPr>
        <w:t xml:space="preserve">dolazi također i zato jer su realizirana i brojna stručna putovanja vezana uz natjecanja i ekskurzije učenika. </w:t>
      </w:r>
    </w:p>
    <w:p w:rsidR="0039137F" w:rsidRPr="000C3D67" w:rsidP="00D84560" w14:paraId="35C7B881" w14:textId="1D8905B9">
      <w:pPr>
        <w:jc w:val="both"/>
        <w:rPr>
          <w:rFonts w:eastAsia="Calibri"/>
          <w:sz w:val="22"/>
          <w:szCs w:val="22"/>
        </w:rPr>
      </w:pPr>
      <w:r w:rsidRPr="000C3D67">
        <w:rPr>
          <w:rFonts w:eastAsia="Calibri"/>
          <w:sz w:val="22"/>
          <w:szCs w:val="22"/>
        </w:rPr>
        <w:t>Ukupno planirani rashodi za materijal i energiju iznos</w:t>
      </w:r>
      <w:r w:rsidRPr="000C3D67">
        <w:rPr>
          <w:rFonts w:eastAsia="Calibri"/>
          <w:sz w:val="22"/>
          <w:szCs w:val="22"/>
        </w:rPr>
        <w:t>e</w:t>
      </w:r>
      <w:r w:rsidRPr="000C3D67">
        <w:rPr>
          <w:rFonts w:eastAsia="Calibri"/>
          <w:sz w:val="22"/>
          <w:szCs w:val="22"/>
        </w:rPr>
        <w:t xml:space="preserve"> 83.700,00 eura</w:t>
      </w:r>
      <w:r w:rsidR="00B0373C">
        <w:rPr>
          <w:rFonts w:eastAsia="Calibri"/>
          <w:sz w:val="22"/>
          <w:szCs w:val="22"/>
        </w:rPr>
        <w:t xml:space="preserve">, </w:t>
      </w:r>
      <w:r w:rsidRPr="000C3D67">
        <w:rPr>
          <w:rFonts w:eastAsia="Calibri"/>
          <w:sz w:val="22"/>
          <w:szCs w:val="22"/>
        </w:rPr>
        <w:t xml:space="preserve">a predlaže se ukupno smanjenje rashoda za 6.630,00 eura. Do smanjenja navedenih rashoda dolazi najvećim dijelom zbog </w:t>
      </w:r>
      <w:r w:rsidRPr="000C3D67" w:rsidR="00956F6D">
        <w:rPr>
          <w:rFonts w:eastAsia="Calibri"/>
          <w:sz w:val="22"/>
          <w:szCs w:val="22"/>
        </w:rPr>
        <w:t>smanjenja rashoda za energiju. Do ušteda troškova energije dolazi velikim dijelom zbog proizvodnje električne energije putem fotonaponskih ćelija na krovištu škole</w:t>
      </w:r>
      <w:r w:rsidRPr="000C3D67">
        <w:rPr>
          <w:rFonts w:eastAsia="Calibri"/>
          <w:sz w:val="22"/>
          <w:szCs w:val="22"/>
        </w:rPr>
        <w:t xml:space="preserve"> te zbog regulacije cijene plina nakon što je 1.6.2024. potpisan novi ugovor za opskrbu plinom</w:t>
      </w:r>
      <w:r w:rsidRPr="000C3D67" w:rsidR="00956F6D">
        <w:rPr>
          <w:rFonts w:eastAsia="Calibri"/>
          <w:sz w:val="22"/>
          <w:szCs w:val="22"/>
        </w:rPr>
        <w:t>. Dio tih sredstva će se prerasporediti za povećanje rashoda za sitni inventar u iznosu od 1.000,00 eura (nabav</w:t>
      </w:r>
      <w:r w:rsidRPr="000C3D67">
        <w:rPr>
          <w:rFonts w:eastAsia="Calibri"/>
          <w:sz w:val="22"/>
          <w:szCs w:val="22"/>
        </w:rPr>
        <w:t>a</w:t>
      </w:r>
      <w:r w:rsidRPr="000C3D67" w:rsidR="00956F6D">
        <w:rPr>
          <w:rFonts w:eastAsia="Calibri"/>
          <w:sz w:val="22"/>
          <w:szCs w:val="22"/>
        </w:rPr>
        <w:t xml:space="preserve"> </w:t>
      </w:r>
      <w:r w:rsidRPr="000C3D67">
        <w:rPr>
          <w:rFonts w:eastAsia="Calibri"/>
          <w:sz w:val="22"/>
          <w:szCs w:val="22"/>
        </w:rPr>
        <w:t xml:space="preserve">pomagala </w:t>
      </w:r>
      <w:r w:rsidRPr="000C3D67" w:rsidR="00956F6D">
        <w:rPr>
          <w:rFonts w:eastAsia="Calibri"/>
          <w:sz w:val="22"/>
          <w:szCs w:val="22"/>
        </w:rPr>
        <w:t xml:space="preserve">za nastavu), za nabavu službene, radne i zaštitne odjeće u iznosu od </w:t>
      </w:r>
      <w:r w:rsidRPr="000C3D67">
        <w:rPr>
          <w:rFonts w:eastAsia="Calibri"/>
          <w:sz w:val="22"/>
          <w:szCs w:val="22"/>
        </w:rPr>
        <w:t>37</w:t>
      </w:r>
      <w:r w:rsidRPr="000C3D67" w:rsidR="00956F6D">
        <w:rPr>
          <w:rFonts w:eastAsia="Calibri"/>
          <w:sz w:val="22"/>
          <w:szCs w:val="22"/>
        </w:rPr>
        <w:t>0,00 eura (zbog kadrovskih promjena</w:t>
      </w:r>
      <w:r w:rsidRPr="000C3D67">
        <w:rPr>
          <w:rFonts w:eastAsia="Calibri"/>
          <w:sz w:val="22"/>
          <w:szCs w:val="22"/>
        </w:rPr>
        <w:t>), nabavu uredskog materijala i ostalih materijalnih rashoda u iznosu od 5.000,00 eura. Najveći razlog povećanja planiranih rashoda za materijal i ostale materijalne rashode je povećanje tržišnih cijena istog.</w:t>
      </w:r>
    </w:p>
    <w:p w:rsidR="008023D2" w:rsidRPr="000C3D67" w:rsidP="00D84560" w14:paraId="1F38219C" w14:textId="0D88CFB9">
      <w:pPr>
        <w:jc w:val="both"/>
        <w:rPr>
          <w:rFonts w:eastAsia="Calibri"/>
          <w:sz w:val="22"/>
          <w:szCs w:val="22"/>
        </w:rPr>
      </w:pPr>
      <w:r w:rsidRPr="000C3D67">
        <w:rPr>
          <w:rFonts w:eastAsia="Calibri"/>
          <w:sz w:val="22"/>
          <w:szCs w:val="22"/>
        </w:rPr>
        <w:t>Ukupno planirani rashodi za usluge iznose 184.012,00 eura</w:t>
      </w:r>
      <w:r w:rsidR="00B0373C">
        <w:rPr>
          <w:rFonts w:eastAsia="Calibri"/>
          <w:sz w:val="22"/>
          <w:szCs w:val="22"/>
        </w:rPr>
        <w:t>,</w:t>
      </w:r>
      <w:r w:rsidRPr="000C3D67">
        <w:rPr>
          <w:rFonts w:eastAsia="Calibri"/>
          <w:sz w:val="22"/>
          <w:szCs w:val="22"/>
        </w:rPr>
        <w:t xml:space="preserve"> a predlaže se ukupno smanjenje rashoda za 47.300,00 eura. </w:t>
      </w:r>
      <w:r w:rsidRPr="000C3D67" w:rsidR="004F64F6">
        <w:rPr>
          <w:rFonts w:eastAsia="Calibri"/>
          <w:sz w:val="22"/>
          <w:szCs w:val="22"/>
        </w:rPr>
        <w:t>Zbo</w:t>
      </w:r>
      <w:r w:rsidRPr="000C3D67" w:rsidR="00860DAD">
        <w:rPr>
          <w:rFonts w:eastAsia="Calibri"/>
          <w:sz w:val="22"/>
          <w:szCs w:val="22"/>
        </w:rPr>
        <w:t xml:space="preserve">g manjih troškova od očekivanih te s obzirom da je potpisan novi ugovor za prijevoz učenika od 28.08.2024., </w:t>
      </w:r>
      <w:r w:rsidRPr="000C3D67" w:rsidR="004F64F6">
        <w:rPr>
          <w:rFonts w:eastAsia="Calibri"/>
          <w:sz w:val="22"/>
          <w:szCs w:val="22"/>
        </w:rPr>
        <w:t xml:space="preserve">predlaže se smanjenje planiranih rashoda za prijevoz učenika za </w:t>
      </w:r>
      <w:r w:rsidRPr="000C3D67" w:rsidR="00860DAD">
        <w:rPr>
          <w:rFonts w:eastAsia="Calibri"/>
          <w:sz w:val="22"/>
          <w:szCs w:val="22"/>
        </w:rPr>
        <w:t>54</w:t>
      </w:r>
      <w:r w:rsidRPr="000C3D67" w:rsidR="004F64F6">
        <w:rPr>
          <w:rFonts w:eastAsia="Calibri"/>
          <w:sz w:val="22"/>
          <w:szCs w:val="22"/>
        </w:rPr>
        <w:t>.000,00 eura</w:t>
      </w:r>
      <w:r w:rsidRPr="000C3D67" w:rsidR="00860DAD">
        <w:rPr>
          <w:rFonts w:eastAsia="Calibri"/>
          <w:sz w:val="22"/>
          <w:szCs w:val="22"/>
        </w:rPr>
        <w:t xml:space="preserve">. </w:t>
      </w:r>
      <w:r w:rsidRPr="000C3D67" w:rsidR="00015F2D">
        <w:rPr>
          <w:rFonts w:eastAsia="Calibri"/>
          <w:sz w:val="22"/>
          <w:szCs w:val="22"/>
        </w:rPr>
        <w:t>Predlaže se povećanje rashoda za usluge tekućeg i investicijskog održavanja u iznosu od 5.435,00 eura zbog povećanih rashoda za obvezna i zakonom propisana</w:t>
      </w:r>
      <w:r w:rsidRPr="000C3D67" w:rsidR="00124D8B">
        <w:rPr>
          <w:rFonts w:eastAsia="Calibri"/>
          <w:sz w:val="22"/>
          <w:szCs w:val="22"/>
        </w:rPr>
        <w:t xml:space="preserve"> periodična </w:t>
      </w:r>
      <w:r w:rsidRPr="000C3D67" w:rsidR="00015F2D">
        <w:rPr>
          <w:rFonts w:eastAsia="Calibri"/>
          <w:sz w:val="22"/>
          <w:szCs w:val="22"/>
        </w:rPr>
        <w:t>ispitivanja instalacija</w:t>
      </w:r>
      <w:r w:rsidRPr="000C3D67" w:rsidR="00124D8B">
        <w:rPr>
          <w:rFonts w:eastAsia="Calibri"/>
          <w:sz w:val="22"/>
          <w:szCs w:val="22"/>
        </w:rPr>
        <w:t xml:space="preserve">. Do povećanih troškova ovih usluga dolazi i zato jer su zbog nabave nove opreme i uređaja za školsku kuhinju bila potrebna i nova ispitivanja električnih i plinskih instalacija u podrumu škole. Predlaže se i povećanje ostalih usluga u iznosu od 1.800,00 eura zbog rashoda za obnovu energetskih  certifikata za područne škole Reka i </w:t>
      </w:r>
      <w:r w:rsidRPr="000C3D67" w:rsidR="00124D8B">
        <w:rPr>
          <w:rFonts w:eastAsia="Calibri"/>
          <w:sz w:val="22"/>
          <w:szCs w:val="22"/>
        </w:rPr>
        <w:t>Jagnjedovec</w:t>
      </w:r>
      <w:r w:rsidRPr="000C3D67" w:rsidR="00124D8B">
        <w:rPr>
          <w:rFonts w:eastAsia="Calibri"/>
          <w:sz w:val="22"/>
          <w:szCs w:val="22"/>
        </w:rPr>
        <w:t xml:space="preserve"> te zbog većih troškova za grafičke usluge (kopiranje materijala za nastavu).</w:t>
      </w:r>
      <w:r w:rsidRPr="000C3D67" w:rsidR="00015F2D">
        <w:rPr>
          <w:rFonts w:eastAsia="Calibri"/>
          <w:sz w:val="22"/>
          <w:szCs w:val="22"/>
        </w:rPr>
        <w:t xml:space="preserve"> </w:t>
      </w:r>
      <w:r w:rsidRPr="000C3D67" w:rsidR="004F64F6">
        <w:rPr>
          <w:rFonts w:eastAsia="Calibri"/>
          <w:sz w:val="22"/>
          <w:szCs w:val="22"/>
        </w:rPr>
        <w:t xml:space="preserve"> </w:t>
      </w:r>
    </w:p>
    <w:p w:rsidR="008023D2" w:rsidRPr="00AE0D8D" w:rsidP="00D84560" w14:paraId="476E2F92" w14:textId="66BAF570">
      <w:pPr>
        <w:jc w:val="both"/>
        <w:rPr>
          <w:rFonts w:eastAsia="Calibri"/>
          <w:sz w:val="22"/>
          <w:szCs w:val="22"/>
        </w:rPr>
      </w:pPr>
      <w:r w:rsidRPr="000C3D67">
        <w:rPr>
          <w:rFonts w:eastAsia="Calibri"/>
          <w:sz w:val="22"/>
          <w:szCs w:val="22"/>
        </w:rPr>
        <w:t>Planirana sredstva za ulaganja u nefinancijsku imovinu Škole iznose 15.000,00 eura</w:t>
      </w:r>
      <w:r w:rsidRPr="000C3D67" w:rsidR="00124D8B">
        <w:rPr>
          <w:rFonts w:eastAsia="Calibri"/>
          <w:sz w:val="22"/>
          <w:szCs w:val="22"/>
        </w:rPr>
        <w:t>. S obzirom da su školi dodijeljena dodatna sredstva u iznosu od 31.875,00 eura</w:t>
      </w:r>
      <w:r w:rsidRPr="000C3D67" w:rsidR="00A26793">
        <w:rPr>
          <w:rFonts w:eastAsia="Calibri"/>
          <w:sz w:val="22"/>
          <w:szCs w:val="22"/>
        </w:rPr>
        <w:t>,</w:t>
      </w:r>
      <w:r w:rsidRPr="000C3D67" w:rsidR="00124D8B">
        <w:rPr>
          <w:rFonts w:eastAsia="Calibri"/>
          <w:sz w:val="22"/>
          <w:szCs w:val="22"/>
        </w:rPr>
        <w:t xml:space="preserve"> ukupni iznos planiranih sredstava za nabavu nefinancijske imovine iznosi </w:t>
      </w:r>
      <w:r w:rsidRPr="000C3D67" w:rsidR="008977DF">
        <w:rPr>
          <w:rFonts w:eastAsia="Calibri"/>
          <w:sz w:val="22"/>
          <w:szCs w:val="22"/>
        </w:rPr>
        <w:t>46.875,00 eura te se predlaže slijedeća raspodjela tog iznosa.</w:t>
      </w:r>
      <w:r w:rsidRPr="000C3D67" w:rsidR="00124D8B">
        <w:rPr>
          <w:rFonts w:eastAsia="Calibri"/>
          <w:sz w:val="22"/>
          <w:szCs w:val="22"/>
        </w:rPr>
        <w:t xml:space="preserve"> </w:t>
      </w:r>
      <w:r w:rsidRPr="000C3D67" w:rsidR="00A26793">
        <w:rPr>
          <w:rFonts w:eastAsia="Calibri"/>
          <w:sz w:val="22"/>
          <w:szCs w:val="22"/>
        </w:rPr>
        <w:t xml:space="preserve">Za projektnu dokumentaciju za izradu klimatizacijskog sustava škole planiran je iznos od 2.350,00 eura na </w:t>
      </w:r>
      <w:r w:rsidRPr="000C3D67" w:rsidR="00A26793">
        <w:rPr>
          <w:rFonts w:eastAsia="Calibri"/>
          <w:sz w:val="22"/>
          <w:szCs w:val="22"/>
        </w:rPr>
        <w:t>kontu 45. S obzirom na već spomenuta dodatna sredstva za klimatizacijski sustav zajedno sa projektnom dokumentacijom planira se ukupni iznos od 30.403,75 eura</w:t>
      </w:r>
      <w:r w:rsidRPr="000C3D67" w:rsidR="00566DBF">
        <w:rPr>
          <w:rFonts w:eastAsia="Calibri"/>
          <w:sz w:val="22"/>
          <w:szCs w:val="22"/>
        </w:rPr>
        <w:t xml:space="preserve"> što će biti dovoljno za klimatizaciju prizemlja i prvog kata zgrade.</w:t>
      </w:r>
      <w:r w:rsidRPr="000C3D67" w:rsidR="00A26793">
        <w:rPr>
          <w:rFonts w:eastAsia="Calibri"/>
          <w:sz w:val="22"/>
          <w:szCs w:val="22"/>
        </w:rPr>
        <w:t xml:space="preserve"> </w:t>
      </w:r>
      <w:r w:rsidRPr="000C3D67" w:rsidR="00566DBF">
        <w:rPr>
          <w:rFonts w:eastAsia="Calibri"/>
          <w:sz w:val="22"/>
          <w:szCs w:val="22"/>
        </w:rPr>
        <w:t>Do povećanja rashoda doći će na</w:t>
      </w:r>
      <w:r w:rsidRPr="000C3D67" w:rsidR="00A26793">
        <w:rPr>
          <w:rFonts w:eastAsia="Calibri"/>
          <w:sz w:val="22"/>
          <w:szCs w:val="22"/>
        </w:rPr>
        <w:t xml:space="preserve"> kontu 4223. Za nabavu </w:t>
      </w:r>
      <w:r w:rsidRPr="000C3D67" w:rsidR="00566DBF">
        <w:rPr>
          <w:rFonts w:eastAsia="Calibri"/>
          <w:sz w:val="22"/>
          <w:szCs w:val="22"/>
        </w:rPr>
        <w:t xml:space="preserve">uredske i </w:t>
      </w:r>
      <w:r w:rsidRPr="000C3D67" w:rsidR="00A26793">
        <w:rPr>
          <w:rFonts w:eastAsia="Calibri"/>
          <w:sz w:val="22"/>
          <w:szCs w:val="22"/>
        </w:rPr>
        <w:t>informatičke opreme i in</w:t>
      </w:r>
      <w:r w:rsidRPr="000C3D67" w:rsidR="00566DBF">
        <w:rPr>
          <w:rFonts w:eastAsia="Calibri"/>
          <w:sz w:val="22"/>
          <w:szCs w:val="22"/>
        </w:rPr>
        <w:t>t</w:t>
      </w:r>
      <w:r w:rsidRPr="000C3D67" w:rsidR="00A26793">
        <w:rPr>
          <w:rFonts w:eastAsia="Calibri"/>
          <w:sz w:val="22"/>
          <w:szCs w:val="22"/>
        </w:rPr>
        <w:t>eraktivnih ekrana planirano je 8</w:t>
      </w:r>
      <w:r w:rsidRPr="000C3D67" w:rsidR="00124D8B">
        <w:rPr>
          <w:rFonts w:eastAsia="Calibri"/>
          <w:sz w:val="22"/>
          <w:szCs w:val="22"/>
        </w:rPr>
        <w:t>.425,00</w:t>
      </w:r>
      <w:r w:rsidRPr="000C3D67">
        <w:rPr>
          <w:rFonts w:eastAsia="Calibri"/>
          <w:sz w:val="22"/>
          <w:szCs w:val="22"/>
        </w:rPr>
        <w:t xml:space="preserve"> eura</w:t>
      </w:r>
      <w:r w:rsidRPr="000C3D67" w:rsidR="00A26793">
        <w:rPr>
          <w:rFonts w:eastAsia="Calibri"/>
          <w:sz w:val="22"/>
          <w:szCs w:val="22"/>
        </w:rPr>
        <w:t xml:space="preserve">. Predlaže se povećanje </w:t>
      </w:r>
      <w:r w:rsidRPr="000C3D67" w:rsidR="00566DBF">
        <w:rPr>
          <w:rFonts w:eastAsia="Calibri"/>
          <w:sz w:val="22"/>
          <w:szCs w:val="22"/>
        </w:rPr>
        <w:t xml:space="preserve">rashoda za </w:t>
      </w:r>
      <w:r w:rsidRPr="000C3D67" w:rsidR="00A26793">
        <w:rPr>
          <w:rFonts w:eastAsia="Calibri"/>
          <w:sz w:val="22"/>
          <w:szCs w:val="22"/>
        </w:rPr>
        <w:t xml:space="preserve">nabavu navedene opreme na </w:t>
      </w:r>
      <w:r w:rsidRPr="000C3D67" w:rsidR="00566DBF">
        <w:rPr>
          <w:rFonts w:eastAsia="Calibri"/>
          <w:sz w:val="22"/>
          <w:szCs w:val="22"/>
        </w:rPr>
        <w:t xml:space="preserve">ukupno </w:t>
      </w:r>
      <w:r w:rsidRPr="000C3D67" w:rsidR="00A26793">
        <w:rPr>
          <w:rFonts w:eastAsia="Calibri"/>
          <w:sz w:val="22"/>
          <w:szCs w:val="22"/>
        </w:rPr>
        <w:t xml:space="preserve">10.564,00 eura zbog dodatne nabave </w:t>
      </w:r>
      <w:r w:rsidRPr="000C3D67" w:rsidR="00566DBF">
        <w:rPr>
          <w:rFonts w:eastAsia="Calibri"/>
          <w:sz w:val="22"/>
          <w:szCs w:val="22"/>
        </w:rPr>
        <w:t>uredskog namještaja (uredske stolice) i opreme za nastavu (školska ploča). Zbog neplanirane</w:t>
      </w:r>
      <w:r w:rsidR="00942327">
        <w:rPr>
          <w:rFonts w:eastAsia="Calibri"/>
          <w:sz w:val="22"/>
          <w:szCs w:val="22"/>
        </w:rPr>
        <w:t>,</w:t>
      </w:r>
      <w:r w:rsidRPr="000C3D67" w:rsidR="009A68EB">
        <w:rPr>
          <w:rFonts w:eastAsia="Calibri"/>
          <w:sz w:val="22"/>
          <w:szCs w:val="22"/>
        </w:rPr>
        <w:t xml:space="preserve"> a </w:t>
      </w:r>
      <w:r w:rsidRPr="000C3D67" w:rsidR="00566DBF">
        <w:rPr>
          <w:rFonts w:eastAsia="Calibri"/>
          <w:sz w:val="22"/>
          <w:szCs w:val="22"/>
        </w:rPr>
        <w:t xml:space="preserve">neophodne nabave </w:t>
      </w:r>
      <w:r w:rsidRPr="000C3D67" w:rsidR="009A68EB">
        <w:rPr>
          <w:rFonts w:eastAsia="Calibri"/>
          <w:sz w:val="22"/>
          <w:szCs w:val="22"/>
        </w:rPr>
        <w:t>novog kontejnera za otpad, p</w:t>
      </w:r>
      <w:r w:rsidRPr="000C3D67" w:rsidR="00566DBF">
        <w:rPr>
          <w:rFonts w:eastAsia="Calibri"/>
          <w:sz w:val="22"/>
          <w:szCs w:val="22"/>
        </w:rPr>
        <w:t xml:space="preserve">redlaže se povećanje rashoda za nabavu uređaja i opreme </w:t>
      </w:r>
      <w:r w:rsidRPr="000C3D67" w:rsidR="00A26793">
        <w:rPr>
          <w:rFonts w:eastAsia="Calibri"/>
          <w:sz w:val="22"/>
          <w:szCs w:val="22"/>
        </w:rPr>
        <w:t xml:space="preserve">za </w:t>
      </w:r>
      <w:r w:rsidRPr="000C3D67" w:rsidR="00566DBF">
        <w:rPr>
          <w:rFonts w:eastAsia="Calibri"/>
          <w:sz w:val="22"/>
          <w:szCs w:val="22"/>
        </w:rPr>
        <w:t xml:space="preserve">ostalu namjenu </w:t>
      </w:r>
      <w:r w:rsidRPr="000C3D67" w:rsidR="009A68EB">
        <w:rPr>
          <w:rFonts w:eastAsia="Calibri"/>
          <w:sz w:val="22"/>
          <w:szCs w:val="22"/>
        </w:rPr>
        <w:t xml:space="preserve">u iznosu od </w:t>
      </w:r>
      <w:r w:rsidRPr="000C3D67" w:rsidR="00566DBF">
        <w:rPr>
          <w:rFonts w:eastAsia="Calibri"/>
          <w:sz w:val="22"/>
          <w:szCs w:val="22"/>
        </w:rPr>
        <w:t>1.624,00 eura</w:t>
      </w:r>
      <w:r w:rsidRPr="000C3D67" w:rsidR="009A68EB">
        <w:rPr>
          <w:rFonts w:eastAsia="Calibri"/>
          <w:sz w:val="22"/>
          <w:szCs w:val="22"/>
        </w:rPr>
        <w:t>.</w:t>
      </w:r>
      <w:r w:rsidRPr="000C3D67" w:rsidR="00566DBF">
        <w:rPr>
          <w:rFonts w:eastAsia="Calibri"/>
          <w:sz w:val="22"/>
          <w:szCs w:val="22"/>
        </w:rPr>
        <w:t xml:space="preserve"> </w:t>
      </w:r>
      <w:r w:rsidRPr="000C3D67">
        <w:rPr>
          <w:rFonts w:eastAsia="Calibri"/>
          <w:sz w:val="22"/>
          <w:szCs w:val="22"/>
        </w:rPr>
        <w:t xml:space="preserve"> </w:t>
      </w:r>
      <w:r w:rsidRPr="000C3D67" w:rsidR="009A68EB">
        <w:rPr>
          <w:rFonts w:eastAsia="Calibri"/>
          <w:sz w:val="22"/>
          <w:szCs w:val="22"/>
        </w:rPr>
        <w:t xml:space="preserve">Za ostatak od 58,00 eura predlaže se povećanje rashoda za nabavu knjiga </w:t>
      </w:r>
      <w:r w:rsidRPr="000C3D67">
        <w:rPr>
          <w:rFonts w:eastAsia="Calibri"/>
          <w:sz w:val="22"/>
          <w:szCs w:val="22"/>
        </w:rPr>
        <w:t>za školsku knjižnicu.</w:t>
      </w:r>
      <w:r w:rsidRPr="00AE0D8D">
        <w:rPr>
          <w:rFonts w:eastAsia="Calibri"/>
          <w:sz w:val="22"/>
          <w:szCs w:val="22"/>
        </w:rPr>
        <w:t xml:space="preserve"> </w:t>
      </w:r>
    </w:p>
    <w:p w:rsidR="005C4D58" w:rsidP="00D84560" w14:paraId="725BB10F" w14:textId="77777777">
      <w:pPr>
        <w:jc w:val="both"/>
        <w:rPr>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7749156A"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5E1273AA"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04EC288A"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72DBD932"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772853AA"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611E8E60"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6C48EF2F" w14:textId="77777777">
            <w:pPr>
              <w:rPr>
                <w:b/>
                <w:sz w:val="22"/>
                <w:szCs w:val="22"/>
              </w:rPr>
            </w:pPr>
            <w:r w:rsidRPr="00A64B0F">
              <w:rPr>
                <w:b/>
                <w:sz w:val="22"/>
                <w:szCs w:val="22"/>
              </w:rPr>
              <w:t>Ciljana vrijednost</w:t>
            </w:r>
          </w:p>
          <w:p w:rsidR="00A64B0F" w:rsidRPr="00A64B0F" w:rsidP="00A64B0F" w14:paraId="450CD702"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18A14829" w14:textId="77777777">
            <w:pPr>
              <w:rPr>
                <w:b/>
                <w:sz w:val="22"/>
                <w:szCs w:val="22"/>
              </w:rPr>
            </w:pPr>
            <w:r w:rsidRPr="00A64B0F">
              <w:rPr>
                <w:b/>
                <w:sz w:val="22"/>
                <w:szCs w:val="22"/>
              </w:rPr>
              <w:t>Ciljana vrijednost</w:t>
            </w:r>
          </w:p>
          <w:p w:rsidR="00A64B0F" w:rsidRPr="00A64B0F" w:rsidP="00A64B0F" w14:paraId="7E5A1DF7"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623C7B19" w14:textId="77777777">
            <w:pPr>
              <w:rPr>
                <w:b/>
                <w:sz w:val="22"/>
                <w:szCs w:val="22"/>
              </w:rPr>
            </w:pPr>
            <w:r w:rsidRPr="00A64B0F">
              <w:rPr>
                <w:b/>
                <w:sz w:val="22"/>
                <w:szCs w:val="22"/>
              </w:rPr>
              <w:t>Ciljana vrijednost</w:t>
            </w:r>
          </w:p>
          <w:p w:rsidR="00A64B0F" w:rsidRPr="00A64B0F" w:rsidP="00A64B0F" w14:paraId="454B5D5A" w14:textId="77777777">
            <w:pPr>
              <w:rPr>
                <w:b/>
                <w:sz w:val="22"/>
                <w:szCs w:val="22"/>
              </w:rPr>
            </w:pPr>
            <w:r w:rsidRPr="00A64B0F">
              <w:rPr>
                <w:b/>
                <w:sz w:val="22"/>
                <w:szCs w:val="22"/>
              </w:rPr>
              <w:t>(2026.)</w:t>
            </w:r>
          </w:p>
        </w:tc>
      </w:tr>
      <w:tr w14:paraId="16385546" w14:textId="77777777" w:rsidTr="001F148D">
        <w:tblPrEx>
          <w:tblW w:w="11112" w:type="dxa"/>
          <w:tblLayout w:type="fixed"/>
          <w:tblLook w:val="01E0"/>
        </w:tblPrEx>
        <w:trPr>
          <w:trHeight w:val="513"/>
        </w:trPr>
        <w:tc>
          <w:tcPr>
            <w:tcW w:w="1951" w:type="dxa"/>
          </w:tcPr>
          <w:p w:rsidR="00A64B0F" w:rsidRPr="00A64B0F" w:rsidP="00A64B0F" w14:paraId="49C78DE6" w14:textId="77777777">
            <w:pPr>
              <w:rPr>
                <w:sz w:val="22"/>
                <w:szCs w:val="22"/>
                <w:lang w:val="pl-PL"/>
              </w:rPr>
            </w:pPr>
            <w:r w:rsidRPr="00A64B0F">
              <w:rPr>
                <w:sz w:val="22"/>
                <w:szCs w:val="22"/>
                <w:lang w:val="pl-PL"/>
              </w:rPr>
              <w:t>Povećanje broja učitelja koji se stručno  usavršavaju</w:t>
            </w:r>
          </w:p>
        </w:tc>
        <w:tc>
          <w:tcPr>
            <w:tcW w:w="2385" w:type="dxa"/>
          </w:tcPr>
          <w:p w:rsidR="00A64B0F" w:rsidRPr="00A64B0F" w:rsidP="00A64B0F" w14:paraId="079B9D48" w14:textId="77777777">
            <w:pPr>
              <w:jc w:val="both"/>
              <w:rPr>
                <w:rFonts w:eastAsia="Calibri"/>
                <w:sz w:val="22"/>
                <w:szCs w:val="22"/>
              </w:rPr>
            </w:pPr>
            <w:r w:rsidRPr="00A64B0F">
              <w:rPr>
                <w:rFonts w:eastAsia="Calibri"/>
                <w:sz w:val="22"/>
                <w:szCs w:val="22"/>
              </w:rPr>
              <w:t>Prioritet Škole je kvalitetno obrazovanje i odgoj učenika što ostvarujemo stalnim</w:t>
            </w:r>
          </w:p>
          <w:p w:rsidR="00A64B0F" w:rsidRPr="00A64B0F" w:rsidP="00A64B0F" w14:paraId="77ED75C5" w14:textId="77777777">
            <w:pPr>
              <w:rPr>
                <w:sz w:val="22"/>
                <w:szCs w:val="22"/>
                <w:lang w:val="pl-PL"/>
              </w:rPr>
            </w:pPr>
            <w:r w:rsidRPr="00A64B0F">
              <w:rPr>
                <w:rFonts w:eastAsia="Calibri"/>
                <w:sz w:val="22"/>
                <w:szCs w:val="22"/>
              </w:rPr>
              <w:t xml:space="preserve"> usavršavanjem nastavnika (seminari, stručni skupovi), praćenjem metodičkih, informatičkih i drugih trendova u odgoju i obrazovanju</w:t>
            </w:r>
          </w:p>
        </w:tc>
        <w:tc>
          <w:tcPr>
            <w:tcW w:w="999" w:type="dxa"/>
            <w:vAlign w:val="center"/>
          </w:tcPr>
          <w:p w:rsidR="00A64B0F" w:rsidRPr="00A64B0F" w:rsidP="00A64B0F" w14:paraId="6BCC039F" w14:textId="77777777">
            <w:pPr>
              <w:rPr>
                <w:sz w:val="22"/>
                <w:szCs w:val="22"/>
              </w:rPr>
            </w:pPr>
            <w:r w:rsidRPr="00A64B0F">
              <w:rPr>
                <w:sz w:val="22"/>
                <w:szCs w:val="22"/>
              </w:rPr>
              <w:t>postotak</w:t>
            </w:r>
          </w:p>
        </w:tc>
        <w:tc>
          <w:tcPr>
            <w:tcW w:w="1170" w:type="dxa"/>
            <w:vAlign w:val="center"/>
          </w:tcPr>
          <w:p w:rsidR="00A64B0F" w:rsidRPr="00A64B0F" w:rsidP="00A64B0F" w14:paraId="0CB3CAC0" w14:textId="77777777">
            <w:pPr>
              <w:rPr>
                <w:sz w:val="22"/>
                <w:szCs w:val="22"/>
              </w:rPr>
            </w:pPr>
            <w:r w:rsidRPr="00A64B0F">
              <w:rPr>
                <w:sz w:val="22"/>
                <w:szCs w:val="22"/>
              </w:rPr>
              <w:t>75%</w:t>
            </w:r>
          </w:p>
        </w:tc>
        <w:tc>
          <w:tcPr>
            <w:tcW w:w="1097" w:type="dxa"/>
            <w:vAlign w:val="center"/>
          </w:tcPr>
          <w:p w:rsidR="00A64B0F" w:rsidRPr="00A64B0F" w:rsidP="00A64B0F" w14:paraId="6875CF16" w14:textId="77777777">
            <w:pPr>
              <w:rPr>
                <w:sz w:val="22"/>
                <w:szCs w:val="22"/>
              </w:rPr>
            </w:pPr>
            <w:r w:rsidRPr="00A64B0F">
              <w:rPr>
                <w:sz w:val="22"/>
                <w:szCs w:val="22"/>
              </w:rPr>
              <w:t>škola</w:t>
            </w:r>
          </w:p>
        </w:tc>
        <w:tc>
          <w:tcPr>
            <w:tcW w:w="1170" w:type="dxa"/>
            <w:vAlign w:val="center"/>
          </w:tcPr>
          <w:p w:rsidR="00A64B0F" w:rsidRPr="00A64B0F" w:rsidP="00A64B0F" w14:paraId="0A9666B2" w14:textId="77777777">
            <w:pPr>
              <w:rPr>
                <w:sz w:val="22"/>
                <w:szCs w:val="22"/>
              </w:rPr>
            </w:pPr>
            <w:r w:rsidRPr="00A64B0F">
              <w:rPr>
                <w:sz w:val="22"/>
                <w:szCs w:val="22"/>
              </w:rPr>
              <w:t>80%</w:t>
            </w:r>
          </w:p>
        </w:tc>
        <w:tc>
          <w:tcPr>
            <w:tcW w:w="1170" w:type="dxa"/>
            <w:vAlign w:val="center"/>
          </w:tcPr>
          <w:p w:rsidR="00A64B0F" w:rsidRPr="00A64B0F" w:rsidP="00A64B0F" w14:paraId="46EE7D20" w14:textId="77777777">
            <w:pPr>
              <w:rPr>
                <w:sz w:val="22"/>
                <w:szCs w:val="22"/>
              </w:rPr>
            </w:pPr>
            <w:r w:rsidRPr="00A64B0F">
              <w:rPr>
                <w:sz w:val="22"/>
                <w:szCs w:val="22"/>
              </w:rPr>
              <w:t>80%</w:t>
            </w:r>
          </w:p>
        </w:tc>
        <w:tc>
          <w:tcPr>
            <w:tcW w:w="1170" w:type="dxa"/>
            <w:vAlign w:val="center"/>
          </w:tcPr>
          <w:p w:rsidR="00A64B0F" w:rsidRPr="00A64B0F" w:rsidP="00A64B0F" w14:paraId="464312E2" w14:textId="77777777">
            <w:pPr>
              <w:rPr>
                <w:sz w:val="22"/>
                <w:szCs w:val="22"/>
              </w:rPr>
            </w:pPr>
            <w:r w:rsidRPr="00A64B0F">
              <w:rPr>
                <w:sz w:val="22"/>
                <w:szCs w:val="22"/>
              </w:rPr>
              <w:t>85%</w:t>
            </w:r>
          </w:p>
        </w:tc>
      </w:tr>
    </w:tbl>
    <w:p w:rsidR="00A64B0F" w:rsidRPr="00D84560" w:rsidP="00D84560" w14:paraId="0A2C2ADC" w14:textId="77777777">
      <w:pPr>
        <w:jc w:val="both"/>
        <w:rPr>
          <w:rFonts w:eastAsia="Calibri"/>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1440CD83"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5B74F7E3"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3156A19F"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638328A7"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39BB6AFB"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6603F0A1"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40333B56" w14:textId="77777777">
            <w:pPr>
              <w:rPr>
                <w:b/>
                <w:sz w:val="22"/>
                <w:szCs w:val="22"/>
              </w:rPr>
            </w:pPr>
            <w:r w:rsidRPr="00A64B0F">
              <w:rPr>
                <w:b/>
                <w:sz w:val="22"/>
                <w:szCs w:val="22"/>
              </w:rPr>
              <w:t>Ciljana vrijednost</w:t>
            </w:r>
          </w:p>
          <w:p w:rsidR="00A64B0F" w:rsidRPr="00A64B0F" w:rsidP="00A64B0F" w14:paraId="08782CD6"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055CB203" w14:textId="77777777">
            <w:pPr>
              <w:rPr>
                <w:b/>
                <w:sz w:val="22"/>
                <w:szCs w:val="22"/>
              </w:rPr>
            </w:pPr>
            <w:r w:rsidRPr="00A64B0F">
              <w:rPr>
                <w:b/>
                <w:sz w:val="22"/>
                <w:szCs w:val="22"/>
              </w:rPr>
              <w:t>Ciljana vrijednost</w:t>
            </w:r>
          </w:p>
          <w:p w:rsidR="00A64B0F" w:rsidRPr="00A64B0F" w:rsidP="00A64B0F" w14:paraId="5025CD45"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5540A209" w14:textId="77777777">
            <w:pPr>
              <w:rPr>
                <w:b/>
                <w:sz w:val="22"/>
                <w:szCs w:val="22"/>
              </w:rPr>
            </w:pPr>
            <w:r w:rsidRPr="00A64B0F">
              <w:rPr>
                <w:b/>
                <w:sz w:val="22"/>
                <w:szCs w:val="22"/>
              </w:rPr>
              <w:t>Ciljana vrijednost</w:t>
            </w:r>
          </w:p>
          <w:p w:rsidR="00A64B0F" w:rsidRPr="00A64B0F" w:rsidP="00A64B0F" w14:paraId="2B952889" w14:textId="77777777">
            <w:pPr>
              <w:rPr>
                <w:b/>
                <w:sz w:val="22"/>
                <w:szCs w:val="22"/>
              </w:rPr>
            </w:pPr>
            <w:r w:rsidRPr="00A64B0F">
              <w:rPr>
                <w:b/>
                <w:sz w:val="22"/>
                <w:szCs w:val="22"/>
              </w:rPr>
              <w:t>(2026.)</w:t>
            </w:r>
          </w:p>
        </w:tc>
      </w:tr>
      <w:tr w14:paraId="58E5D194" w14:textId="77777777" w:rsidTr="001F148D">
        <w:tblPrEx>
          <w:tblW w:w="11112" w:type="dxa"/>
          <w:tblLayout w:type="fixed"/>
          <w:tblLook w:val="01E0"/>
        </w:tblPrEx>
        <w:trPr>
          <w:trHeight w:val="513"/>
        </w:trPr>
        <w:tc>
          <w:tcPr>
            <w:tcW w:w="1951" w:type="dxa"/>
          </w:tcPr>
          <w:p w:rsidR="00A64B0F" w:rsidRPr="00A64B0F" w:rsidP="00A64B0F" w14:paraId="1518E7D8" w14:textId="77777777">
            <w:pPr>
              <w:rPr>
                <w:sz w:val="22"/>
                <w:szCs w:val="22"/>
                <w:lang w:val="pl-PL"/>
              </w:rPr>
            </w:pPr>
          </w:p>
          <w:p w:rsidR="00A64B0F" w:rsidRPr="00A64B0F" w:rsidP="00A64B0F" w14:paraId="7783075B" w14:textId="77777777">
            <w:pPr>
              <w:rPr>
                <w:sz w:val="22"/>
                <w:szCs w:val="22"/>
                <w:lang w:val="pl-PL"/>
              </w:rPr>
            </w:pPr>
            <w:r w:rsidRPr="00A64B0F">
              <w:rPr>
                <w:sz w:val="22"/>
                <w:szCs w:val="22"/>
                <w:lang w:val="pl-PL"/>
              </w:rPr>
              <w:t>Ulaganje u investicijsko  i tekuće održavanje  objekata  i opreme</w:t>
            </w:r>
          </w:p>
        </w:tc>
        <w:tc>
          <w:tcPr>
            <w:tcW w:w="2385" w:type="dxa"/>
          </w:tcPr>
          <w:p w:rsidR="00A64B0F" w:rsidRPr="00A64B0F" w:rsidP="00A64B0F" w14:paraId="78BE2F9B" w14:textId="77777777">
            <w:pPr>
              <w:rPr>
                <w:sz w:val="22"/>
                <w:szCs w:val="22"/>
                <w:lang w:val="pl-PL"/>
              </w:rPr>
            </w:pPr>
            <w:r w:rsidRPr="00A64B0F">
              <w:rPr>
                <w:sz w:val="22"/>
                <w:szCs w:val="22"/>
                <w:lang w:val="pl-PL"/>
              </w:rPr>
              <w:t>Radi kvalitetnog održavanja nastavnog procesa, sigurnosti učenika i zaposlenika  i redovitog rada škole nužno je ulaganje u održavanje  objekata i opreme</w:t>
            </w:r>
          </w:p>
        </w:tc>
        <w:tc>
          <w:tcPr>
            <w:tcW w:w="999" w:type="dxa"/>
            <w:vAlign w:val="center"/>
          </w:tcPr>
          <w:p w:rsidR="00A64B0F" w:rsidRPr="00A64B0F" w:rsidP="00A64B0F" w14:paraId="33354FC3" w14:textId="77777777">
            <w:pPr>
              <w:rPr>
                <w:sz w:val="22"/>
                <w:szCs w:val="22"/>
              </w:rPr>
            </w:pPr>
            <w:r w:rsidRPr="00A64B0F">
              <w:rPr>
                <w:sz w:val="22"/>
                <w:szCs w:val="22"/>
              </w:rPr>
              <w:t>euro</w:t>
            </w:r>
          </w:p>
        </w:tc>
        <w:tc>
          <w:tcPr>
            <w:tcW w:w="1170" w:type="dxa"/>
            <w:vAlign w:val="center"/>
          </w:tcPr>
          <w:p w:rsidR="00A64B0F" w:rsidRPr="00A64B0F" w:rsidP="00A64B0F" w14:paraId="1F41A876" w14:textId="77777777">
            <w:pPr>
              <w:rPr>
                <w:sz w:val="22"/>
                <w:szCs w:val="22"/>
              </w:rPr>
            </w:pPr>
            <w:r w:rsidRPr="00A64B0F">
              <w:rPr>
                <w:sz w:val="22"/>
                <w:szCs w:val="22"/>
              </w:rPr>
              <w:t>7.312,00</w:t>
            </w:r>
          </w:p>
        </w:tc>
        <w:tc>
          <w:tcPr>
            <w:tcW w:w="1097" w:type="dxa"/>
            <w:vAlign w:val="center"/>
          </w:tcPr>
          <w:p w:rsidR="00A64B0F" w:rsidRPr="00A64B0F" w:rsidP="00A64B0F" w14:paraId="34E86852" w14:textId="77777777">
            <w:pPr>
              <w:rPr>
                <w:sz w:val="22"/>
                <w:szCs w:val="22"/>
              </w:rPr>
            </w:pPr>
            <w:r w:rsidRPr="00A64B0F">
              <w:rPr>
                <w:sz w:val="22"/>
                <w:szCs w:val="22"/>
              </w:rPr>
              <w:t>škola</w:t>
            </w:r>
          </w:p>
        </w:tc>
        <w:tc>
          <w:tcPr>
            <w:tcW w:w="1170" w:type="dxa"/>
            <w:vAlign w:val="center"/>
          </w:tcPr>
          <w:p w:rsidR="00A64B0F" w:rsidRPr="00A64B0F" w:rsidP="00A64B0F" w14:paraId="52F6E722" w14:textId="77777777">
            <w:pPr>
              <w:rPr>
                <w:sz w:val="22"/>
                <w:szCs w:val="22"/>
              </w:rPr>
            </w:pPr>
            <w:r w:rsidRPr="00A64B0F">
              <w:rPr>
                <w:sz w:val="22"/>
                <w:szCs w:val="22"/>
              </w:rPr>
              <w:t>8.000,00</w:t>
            </w:r>
          </w:p>
        </w:tc>
        <w:tc>
          <w:tcPr>
            <w:tcW w:w="1170" w:type="dxa"/>
            <w:vAlign w:val="center"/>
          </w:tcPr>
          <w:p w:rsidR="00A64B0F" w:rsidRPr="00A64B0F" w:rsidP="00A64B0F" w14:paraId="650DD8EB" w14:textId="77777777">
            <w:pPr>
              <w:rPr>
                <w:sz w:val="22"/>
                <w:szCs w:val="22"/>
              </w:rPr>
            </w:pPr>
            <w:r w:rsidRPr="00A64B0F">
              <w:rPr>
                <w:sz w:val="22"/>
                <w:szCs w:val="22"/>
              </w:rPr>
              <w:t>8.500,00</w:t>
            </w:r>
          </w:p>
        </w:tc>
        <w:tc>
          <w:tcPr>
            <w:tcW w:w="1170" w:type="dxa"/>
            <w:vAlign w:val="center"/>
          </w:tcPr>
          <w:p w:rsidR="00A64B0F" w:rsidRPr="00A64B0F" w:rsidP="00A64B0F" w14:paraId="5F4799D8" w14:textId="77777777">
            <w:pPr>
              <w:rPr>
                <w:sz w:val="22"/>
                <w:szCs w:val="22"/>
              </w:rPr>
            </w:pPr>
            <w:r w:rsidRPr="00A64B0F">
              <w:rPr>
                <w:sz w:val="22"/>
                <w:szCs w:val="22"/>
              </w:rPr>
              <w:t>8.500,00</w:t>
            </w:r>
          </w:p>
        </w:tc>
      </w:tr>
      <w:tr w14:paraId="6C6BDD98" w14:textId="77777777" w:rsidTr="001F148D">
        <w:tblPrEx>
          <w:tblW w:w="11112" w:type="dxa"/>
          <w:tblLayout w:type="fixed"/>
          <w:tblLook w:val="01E0"/>
        </w:tblPrEx>
        <w:trPr>
          <w:trHeight w:val="470"/>
        </w:trPr>
        <w:tc>
          <w:tcPr>
            <w:tcW w:w="1951" w:type="dxa"/>
            <w:shd w:val="clear" w:color="auto" w:fill="99CCFF"/>
            <w:vAlign w:val="center"/>
          </w:tcPr>
          <w:p w:rsidR="00A64B0F" w:rsidRPr="00A64B0F" w:rsidP="00A64B0F" w14:paraId="03A5FA01"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1174A6AC"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432AD1B3"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5CBBA93A"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2657F0CF"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16BE0DC4" w14:textId="77777777">
            <w:pPr>
              <w:rPr>
                <w:b/>
                <w:sz w:val="22"/>
                <w:szCs w:val="22"/>
              </w:rPr>
            </w:pPr>
            <w:r w:rsidRPr="00A64B0F">
              <w:rPr>
                <w:b/>
                <w:sz w:val="22"/>
                <w:szCs w:val="22"/>
              </w:rPr>
              <w:t>Ciljana vrijednost</w:t>
            </w:r>
          </w:p>
          <w:p w:rsidR="00A64B0F" w:rsidRPr="00A64B0F" w:rsidP="00A64B0F" w14:paraId="1422E682"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19F1B596" w14:textId="77777777">
            <w:pPr>
              <w:rPr>
                <w:b/>
                <w:sz w:val="22"/>
                <w:szCs w:val="22"/>
              </w:rPr>
            </w:pPr>
            <w:r w:rsidRPr="00A64B0F">
              <w:rPr>
                <w:b/>
                <w:sz w:val="22"/>
                <w:szCs w:val="22"/>
              </w:rPr>
              <w:t>Ciljana vrijednost</w:t>
            </w:r>
          </w:p>
          <w:p w:rsidR="00A64B0F" w:rsidRPr="00A64B0F" w:rsidP="00A64B0F" w14:paraId="68D00359"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0F1D4E98" w14:textId="77777777">
            <w:pPr>
              <w:rPr>
                <w:b/>
                <w:sz w:val="22"/>
                <w:szCs w:val="22"/>
              </w:rPr>
            </w:pPr>
            <w:r w:rsidRPr="00A64B0F">
              <w:rPr>
                <w:b/>
                <w:sz w:val="22"/>
                <w:szCs w:val="22"/>
              </w:rPr>
              <w:t>Ciljana vrijednost</w:t>
            </w:r>
          </w:p>
          <w:p w:rsidR="00A64B0F" w:rsidRPr="00A64B0F" w:rsidP="00A64B0F" w14:paraId="725CC7DA" w14:textId="77777777">
            <w:pPr>
              <w:rPr>
                <w:b/>
                <w:sz w:val="22"/>
                <w:szCs w:val="22"/>
              </w:rPr>
            </w:pPr>
            <w:r w:rsidRPr="00A64B0F">
              <w:rPr>
                <w:b/>
                <w:sz w:val="22"/>
                <w:szCs w:val="22"/>
              </w:rPr>
              <w:t>(2026.)</w:t>
            </w:r>
          </w:p>
        </w:tc>
      </w:tr>
      <w:tr w14:paraId="7759C417" w14:textId="77777777" w:rsidTr="001F148D">
        <w:tblPrEx>
          <w:tblW w:w="11112" w:type="dxa"/>
          <w:tblLayout w:type="fixed"/>
          <w:tblLook w:val="01E0"/>
        </w:tblPrEx>
        <w:trPr>
          <w:trHeight w:val="513"/>
        </w:trPr>
        <w:tc>
          <w:tcPr>
            <w:tcW w:w="1951" w:type="dxa"/>
          </w:tcPr>
          <w:p w:rsidR="00A64B0F" w:rsidRPr="00A64B0F" w:rsidP="00A64B0F" w14:paraId="0121038A" w14:textId="77777777">
            <w:pPr>
              <w:rPr>
                <w:sz w:val="22"/>
                <w:szCs w:val="22"/>
                <w:lang w:val="pl-PL"/>
              </w:rPr>
            </w:pPr>
          </w:p>
          <w:p w:rsidR="00A64B0F" w:rsidRPr="00A64B0F" w:rsidP="00A64B0F" w14:paraId="6A916739" w14:textId="77777777">
            <w:pPr>
              <w:rPr>
                <w:sz w:val="22"/>
                <w:szCs w:val="22"/>
                <w:lang w:val="pl-PL"/>
              </w:rPr>
            </w:pPr>
            <w:r w:rsidRPr="00A64B0F">
              <w:rPr>
                <w:sz w:val="22"/>
                <w:szCs w:val="22"/>
                <w:lang w:val="pl-PL"/>
              </w:rPr>
              <w:t>Smanjenje rashoda za energiju</w:t>
            </w:r>
          </w:p>
        </w:tc>
        <w:tc>
          <w:tcPr>
            <w:tcW w:w="2385" w:type="dxa"/>
          </w:tcPr>
          <w:p w:rsidR="00A64B0F" w:rsidRPr="00A64B0F" w:rsidP="00A64B0F" w14:paraId="6731E859" w14:textId="77777777">
            <w:pPr>
              <w:rPr>
                <w:sz w:val="22"/>
                <w:szCs w:val="22"/>
                <w:lang w:val="pl-PL"/>
              </w:rPr>
            </w:pPr>
            <w:r w:rsidRPr="00A64B0F">
              <w:rPr>
                <w:sz w:val="22"/>
                <w:szCs w:val="22"/>
                <w:lang w:val="pl-PL"/>
              </w:rPr>
              <w:t xml:space="preserve">Cilj je smanjiti rashode za energiju  radi uvođenja obnovljivih izvora energije u matičnoj školi i područnim školama Reka i jagnjedovec </w:t>
            </w:r>
          </w:p>
        </w:tc>
        <w:tc>
          <w:tcPr>
            <w:tcW w:w="999" w:type="dxa"/>
            <w:vAlign w:val="center"/>
          </w:tcPr>
          <w:p w:rsidR="00A64B0F" w:rsidRPr="00A64B0F" w:rsidP="00A64B0F" w14:paraId="00AB8031" w14:textId="77777777">
            <w:pPr>
              <w:rPr>
                <w:sz w:val="22"/>
                <w:szCs w:val="22"/>
              </w:rPr>
            </w:pPr>
            <w:r w:rsidRPr="00A64B0F">
              <w:rPr>
                <w:sz w:val="22"/>
                <w:szCs w:val="22"/>
              </w:rPr>
              <w:t>postotak</w:t>
            </w:r>
          </w:p>
        </w:tc>
        <w:tc>
          <w:tcPr>
            <w:tcW w:w="1170" w:type="dxa"/>
            <w:vAlign w:val="center"/>
          </w:tcPr>
          <w:p w:rsidR="00A64B0F" w:rsidRPr="00A64B0F" w:rsidP="00A64B0F" w14:paraId="4E6193D1" w14:textId="77777777">
            <w:pPr>
              <w:rPr>
                <w:sz w:val="22"/>
                <w:szCs w:val="22"/>
              </w:rPr>
            </w:pPr>
            <w:r w:rsidRPr="00A64B0F">
              <w:rPr>
                <w:sz w:val="22"/>
                <w:szCs w:val="22"/>
              </w:rPr>
              <w:t>100%</w:t>
            </w:r>
          </w:p>
        </w:tc>
        <w:tc>
          <w:tcPr>
            <w:tcW w:w="1097" w:type="dxa"/>
            <w:vAlign w:val="center"/>
          </w:tcPr>
          <w:p w:rsidR="00A64B0F" w:rsidRPr="00A64B0F" w:rsidP="00A64B0F" w14:paraId="1070A5BA" w14:textId="77777777">
            <w:pPr>
              <w:rPr>
                <w:sz w:val="22"/>
                <w:szCs w:val="22"/>
              </w:rPr>
            </w:pPr>
            <w:r w:rsidRPr="00A64B0F">
              <w:rPr>
                <w:sz w:val="22"/>
                <w:szCs w:val="22"/>
              </w:rPr>
              <w:t>škola</w:t>
            </w:r>
          </w:p>
        </w:tc>
        <w:tc>
          <w:tcPr>
            <w:tcW w:w="1170" w:type="dxa"/>
            <w:vAlign w:val="center"/>
          </w:tcPr>
          <w:p w:rsidR="00A64B0F" w:rsidRPr="00A64B0F" w:rsidP="00A64B0F" w14:paraId="4C92859E" w14:textId="77777777">
            <w:pPr>
              <w:rPr>
                <w:sz w:val="22"/>
                <w:szCs w:val="22"/>
              </w:rPr>
            </w:pPr>
            <w:r w:rsidRPr="00A64B0F">
              <w:rPr>
                <w:sz w:val="22"/>
                <w:szCs w:val="22"/>
              </w:rPr>
              <w:t>85%</w:t>
            </w:r>
          </w:p>
        </w:tc>
        <w:tc>
          <w:tcPr>
            <w:tcW w:w="1170" w:type="dxa"/>
            <w:vAlign w:val="center"/>
          </w:tcPr>
          <w:p w:rsidR="00A64B0F" w:rsidRPr="00A64B0F" w:rsidP="00A64B0F" w14:paraId="2C1CEF51" w14:textId="77777777">
            <w:pPr>
              <w:rPr>
                <w:sz w:val="22"/>
                <w:szCs w:val="22"/>
              </w:rPr>
            </w:pPr>
            <w:r w:rsidRPr="00A64B0F">
              <w:rPr>
                <w:sz w:val="22"/>
                <w:szCs w:val="22"/>
              </w:rPr>
              <w:t>80%</w:t>
            </w:r>
          </w:p>
        </w:tc>
        <w:tc>
          <w:tcPr>
            <w:tcW w:w="1170" w:type="dxa"/>
            <w:vAlign w:val="center"/>
          </w:tcPr>
          <w:p w:rsidR="00A64B0F" w:rsidRPr="00A64B0F" w:rsidP="00A64B0F" w14:paraId="6D15C5FF" w14:textId="77777777">
            <w:pPr>
              <w:rPr>
                <w:sz w:val="22"/>
                <w:szCs w:val="22"/>
              </w:rPr>
            </w:pPr>
            <w:r w:rsidRPr="00A64B0F">
              <w:rPr>
                <w:sz w:val="22"/>
                <w:szCs w:val="22"/>
              </w:rPr>
              <w:t>75%</w:t>
            </w:r>
          </w:p>
        </w:tc>
      </w:tr>
    </w:tbl>
    <w:p w:rsidR="00A64B0F" w:rsidP="00D84560" w14:paraId="16876119" w14:textId="77777777">
      <w:pPr>
        <w:rPr>
          <w:rFonts w:eastAsia="Calibri"/>
          <w:b/>
          <w:bCs/>
          <w:sz w:val="22"/>
          <w:szCs w:val="22"/>
        </w:rPr>
      </w:pPr>
    </w:p>
    <w:p w:rsidR="00D84560" w:rsidRPr="00AE0D8D" w:rsidP="00D84560" w14:paraId="62A4BA6C" w14:textId="77777777">
      <w:pPr>
        <w:rPr>
          <w:rFonts w:eastAsia="Calibri"/>
          <w:b/>
          <w:bCs/>
          <w:sz w:val="22"/>
          <w:szCs w:val="22"/>
        </w:rPr>
      </w:pPr>
      <w:r w:rsidRPr="00AE0D8D">
        <w:rPr>
          <w:rFonts w:eastAsia="Calibri"/>
          <w:b/>
          <w:bCs/>
          <w:sz w:val="22"/>
          <w:szCs w:val="22"/>
        </w:rPr>
        <w:t>AKTIVNOST: A300305 Slobodne aktivnosti i školska natjecanja</w:t>
      </w:r>
    </w:p>
    <w:p w:rsidR="00D84560" w:rsidRPr="00AE0D8D" w:rsidP="00D84560" w14:paraId="64909FDE" w14:textId="77777777">
      <w:pPr>
        <w:ind w:left="720"/>
        <w:jc w:val="both"/>
        <w:rPr>
          <w:rFonts w:eastAsia="Calibri"/>
          <w:b/>
          <w:bCs/>
          <w:sz w:val="22"/>
          <w:szCs w:val="22"/>
        </w:rPr>
      </w:pPr>
    </w:p>
    <w:p w:rsidR="00D84560" w:rsidP="00D84560" w14:paraId="1B51F14D" w14:textId="2D66AC25">
      <w:pPr>
        <w:jc w:val="both"/>
        <w:rPr>
          <w:rFonts w:eastAsia="Calibri"/>
          <w:sz w:val="22"/>
          <w:szCs w:val="22"/>
        </w:rPr>
      </w:pPr>
      <w:r w:rsidRPr="000C3D67">
        <w:rPr>
          <w:rFonts w:eastAsia="Calibri"/>
          <w:bCs/>
          <w:sz w:val="22"/>
          <w:szCs w:val="22"/>
        </w:rPr>
        <w:t>Za pro</w:t>
      </w:r>
      <w:r w:rsidRPr="000C3D67" w:rsidR="00EB20DA">
        <w:rPr>
          <w:rFonts w:eastAsia="Calibri"/>
          <w:bCs/>
          <w:sz w:val="22"/>
          <w:szCs w:val="22"/>
        </w:rPr>
        <w:t xml:space="preserve">vedbu cjelokupnog programa planiran je </w:t>
      </w:r>
      <w:r w:rsidRPr="000C3D67">
        <w:rPr>
          <w:rFonts w:eastAsia="Calibri"/>
          <w:bCs/>
          <w:sz w:val="22"/>
          <w:szCs w:val="22"/>
        </w:rPr>
        <w:t>iznos od 1</w:t>
      </w:r>
      <w:r w:rsidRPr="000C3D67" w:rsidR="009A68EB">
        <w:rPr>
          <w:rFonts w:eastAsia="Calibri"/>
          <w:bCs/>
          <w:sz w:val="22"/>
          <w:szCs w:val="22"/>
        </w:rPr>
        <w:t>2</w:t>
      </w:r>
      <w:r w:rsidRPr="000C3D67">
        <w:rPr>
          <w:rFonts w:eastAsia="Calibri"/>
          <w:bCs/>
          <w:sz w:val="22"/>
          <w:szCs w:val="22"/>
        </w:rPr>
        <w:t>.</w:t>
      </w:r>
      <w:r w:rsidRPr="000C3D67" w:rsidR="009A68EB">
        <w:rPr>
          <w:rFonts w:eastAsia="Calibri"/>
          <w:bCs/>
          <w:sz w:val="22"/>
          <w:szCs w:val="22"/>
        </w:rPr>
        <w:t>5</w:t>
      </w:r>
      <w:r w:rsidRPr="000C3D67">
        <w:rPr>
          <w:rFonts w:eastAsia="Calibri"/>
          <w:bCs/>
          <w:sz w:val="22"/>
          <w:szCs w:val="22"/>
        </w:rPr>
        <w:t xml:space="preserve">00,00 eura. Škola provodi programe izvan nastavnih aktivnosti koje sufinancira Grad Koprivnica. Programi se sufinanciraju na bazi jednog (za pojedine grupe dva)  sata tjedno za sveukupno 27 tjedana u školskoj godini. </w:t>
      </w:r>
      <w:r w:rsidRPr="000C3D67">
        <w:rPr>
          <w:rFonts w:eastAsia="Calibri"/>
          <w:sz w:val="22"/>
          <w:szCs w:val="22"/>
        </w:rPr>
        <w:t xml:space="preserve">Putem navedene aktivnosti osigurala su se sredstva za provođenje slobodnih aktivnosti koje vode učitelji naše Škole, a tjedno je planirano održavanje ukupno 24 sata slobodnih aktivnosti  odnosno 20 grupa slobodnih aktivnosti.  Za  </w:t>
      </w:r>
      <w:r w:rsidRPr="000C3D67">
        <w:rPr>
          <w:rFonts w:eastAsia="Calibri"/>
          <w:sz w:val="22"/>
          <w:szCs w:val="22"/>
        </w:rPr>
        <w:t>plaće i doprinose na plaće planirano je 8.500,00 eura.</w:t>
      </w:r>
      <w:r w:rsidRPr="000C3D67" w:rsidR="00EB20DA">
        <w:rPr>
          <w:rFonts w:eastAsia="Calibri"/>
          <w:sz w:val="22"/>
          <w:szCs w:val="22"/>
        </w:rPr>
        <w:t xml:space="preserve"> S obzirom da </w:t>
      </w:r>
      <w:r w:rsidRPr="000C3D67" w:rsidR="009A68EB">
        <w:rPr>
          <w:rFonts w:eastAsia="Calibri"/>
          <w:sz w:val="22"/>
          <w:szCs w:val="22"/>
        </w:rPr>
        <w:t>s</w:t>
      </w:r>
      <w:r w:rsidRPr="000C3D67" w:rsidR="00EB20DA">
        <w:rPr>
          <w:rFonts w:eastAsia="Calibri"/>
          <w:sz w:val="22"/>
          <w:szCs w:val="22"/>
        </w:rPr>
        <w:t xml:space="preserve">u </w:t>
      </w:r>
      <w:r w:rsidRPr="000C3D67" w:rsidR="009A68EB">
        <w:rPr>
          <w:rFonts w:eastAsia="Calibri"/>
          <w:sz w:val="22"/>
          <w:szCs w:val="22"/>
        </w:rPr>
        <w:t>isplaćen</w:t>
      </w:r>
      <w:r w:rsidRPr="000C3D67" w:rsidR="001C4BBA">
        <w:rPr>
          <w:rFonts w:eastAsia="Calibri"/>
          <w:sz w:val="22"/>
          <w:szCs w:val="22"/>
        </w:rPr>
        <w:t>i</w:t>
      </w:r>
      <w:r w:rsidRPr="000C3D67" w:rsidR="009A68EB">
        <w:rPr>
          <w:rFonts w:eastAsia="Calibri"/>
          <w:sz w:val="22"/>
          <w:szCs w:val="22"/>
        </w:rPr>
        <w:t xml:space="preserve"> sv</w:t>
      </w:r>
      <w:r w:rsidRPr="000C3D67" w:rsidR="001C4BBA">
        <w:rPr>
          <w:rFonts w:eastAsia="Calibri"/>
          <w:sz w:val="22"/>
          <w:szCs w:val="22"/>
        </w:rPr>
        <w:t>i</w:t>
      </w:r>
      <w:r w:rsidRPr="000C3D67" w:rsidR="009A68EB">
        <w:rPr>
          <w:rFonts w:eastAsia="Calibri"/>
          <w:sz w:val="22"/>
          <w:szCs w:val="22"/>
        </w:rPr>
        <w:t xml:space="preserve"> </w:t>
      </w:r>
      <w:r w:rsidRPr="000C3D67" w:rsidR="001C4BBA">
        <w:rPr>
          <w:rFonts w:eastAsia="Calibri"/>
          <w:sz w:val="22"/>
          <w:szCs w:val="22"/>
        </w:rPr>
        <w:t>održani sati,</w:t>
      </w:r>
      <w:r w:rsidRPr="000C3D67" w:rsidR="00EB20DA">
        <w:rPr>
          <w:rFonts w:eastAsia="Calibri"/>
          <w:sz w:val="22"/>
          <w:szCs w:val="22"/>
        </w:rPr>
        <w:t xml:space="preserve"> predlaže se smanjenje rashoda za plaće </w:t>
      </w:r>
      <w:r w:rsidRPr="000C3D67" w:rsidR="001C4BBA">
        <w:rPr>
          <w:rFonts w:eastAsia="Calibri"/>
          <w:sz w:val="22"/>
          <w:szCs w:val="22"/>
        </w:rPr>
        <w:t xml:space="preserve">i doprinose u iznosu </w:t>
      </w:r>
      <w:r w:rsidRPr="000C3D67" w:rsidR="00EB20DA">
        <w:rPr>
          <w:rFonts w:eastAsia="Calibri"/>
          <w:sz w:val="22"/>
          <w:szCs w:val="22"/>
        </w:rPr>
        <w:t xml:space="preserve">od </w:t>
      </w:r>
      <w:r w:rsidRPr="000C3D67" w:rsidR="001C4BBA">
        <w:rPr>
          <w:rFonts w:eastAsia="Calibri"/>
          <w:sz w:val="22"/>
          <w:szCs w:val="22"/>
        </w:rPr>
        <w:t>59</w:t>
      </w:r>
      <w:r w:rsidRPr="000C3D67" w:rsidR="00EB20DA">
        <w:rPr>
          <w:rFonts w:eastAsia="Calibri"/>
          <w:sz w:val="22"/>
          <w:szCs w:val="22"/>
        </w:rPr>
        <w:t xml:space="preserve">,00 eura. U tom iznosu predlaže se povećanje ostalih nespomenutih rashoda iz izvora financiranja Grad, a koji se odnose na natjecanja učenika.  </w:t>
      </w:r>
      <w:r w:rsidRPr="000C3D67">
        <w:rPr>
          <w:rFonts w:eastAsia="Calibri"/>
          <w:sz w:val="22"/>
          <w:szCs w:val="22"/>
        </w:rPr>
        <w:t xml:space="preserve"> Za međuopćinska i županijska natjecanja planira</w:t>
      </w:r>
      <w:r w:rsidRPr="000C3D67" w:rsidR="00EB20DA">
        <w:rPr>
          <w:rFonts w:eastAsia="Calibri"/>
          <w:sz w:val="22"/>
          <w:szCs w:val="22"/>
        </w:rPr>
        <w:t xml:space="preserve">n je iznos od </w:t>
      </w:r>
      <w:r w:rsidRPr="000C3D67">
        <w:rPr>
          <w:rFonts w:eastAsia="Calibri"/>
          <w:sz w:val="22"/>
          <w:szCs w:val="22"/>
        </w:rPr>
        <w:t xml:space="preserve"> </w:t>
      </w:r>
      <w:r w:rsidRPr="000C3D67" w:rsidR="001C4BBA">
        <w:rPr>
          <w:rFonts w:eastAsia="Calibri"/>
          <w:sz w:val="22"/>
          <w:szCs w:val="22"/>
        </w:rPr>
        <w:t>3.2</w:t>
      </w:r>
      <w:r w:rsidRPr="000C3D67">
        <w:rPr>
          <w:rFonts w:eastAsia="Calibri"/>
          <w:sz w:val="22"/>
          <w:szCs w:val="22"/>
        </w:rPr>
        <w:t>00,00 eura iz tekućih pomoći</w:t>
      </w:r>
      <w:r w:rsidRPr="000C3D67" w:rsidR="001C4BBA">
        <w:rPr>
          <w:rFonts w:eastAsia="Calibri"/>
          <w:sz w:val="22"/>
          <w:szCs w:val="22"/>
        </w:rPr>
        <w:t xml:space="preserve">. Predlaže se smanjenje rashoda na 2.770,00 eura, u skladu sa do sada realiziranim rashodima. Škola u razdoblju od rujna do prosinca neće imati dodatnih rashoda iz ovog izvora financiranja s obzirom da neće biti organizator međuopćinskih sportskih natjecanja. </w:t>
      </w:r>
      <w:r w:rsidRPr="000C3D67" w:rsidR="00F3675D">
        <w:rPr>
          <w:rFonts w:eastAsia="Calibri"/>
          <w:sz w:val="22"/>
          <w:szCs w:val="22"/>
        </w:rPr>
        <w:t xml:space="preserve">Prihodi </w:t>
      </w:r>
      <w:r w:rsidRPr="000C3D67" w:rsidR="001C4BBA">
        <w:rPr>
          <w:rFonts w:eastAsia="Calibri"/>
          <w:sz w:val="22"/>
          <w:szCs w:val="22"/>
        </w:rPr>
        <w:t xml:space="preserve">i rashodi </w:t>
      </w:r>
      <w:r w:rsidRPr="000C3D67" w:rsidR="00F3675D">
        <w:rPr>
          <w:rFonts w:eastAsia="Calibri"/>
          <w:sz w:val="22"/>
          <w:szCs w:val="22"/>
        </w:rPr>
        <w:t xml:space="preserve">za ovu aktivnosti iz </w:t>
      </w:r>
      <w:r w:rsidRPr="000C3D67">
        <w:rPr>
          <w:rFonts w:eastAsia="Calibri"/>
          <w:sz w:val="22"/>
          <w:szCs w:val="22"/>
        </w:rPr>
        <w:t xml:space="preserve">proračuna Grada Koprivnice </w:t>
      </w:r>
      <w:r w:rsidRPr="000C3D67" w:rsidR="00F3675D">
        <w:rPr>
          <w:rFonts w:eastAsia="Calibri"/>
          <w:sz w:val="22"/>
          <w:szCs w:val="22"/>
        </w:rPr>
        <w:t xml:space="preserve">ostaju isti a </w:t>
      </w:r>
      <w:r w:rsidRPr="000C3D67" w:rsidR="001C4BBA">
        <w:rPr>
          <w:rFonts w:eastAsia="Calibri"/>
          <w:sz w:val="22"/>
          <w:szCs w:val="22"/>
        </w:rPr>
        <w:t xml:space="preserve">smanjuju se </w:t>
      </w:r>
      <w:r w:rsidRPr="000C3D67" w:rsidR="00F3675D">
        <w:rPr>
          <w:rFonts w:eastAsia="Calibri"/>
          <w:sz w:val="22"/>
          <w:szCs w:val="22"/>
        </w:rPr>
        <w:t xml:space="preserve">tekuće pomoći </w:t>
      </w:r>
      <w:r w:rsidRPr="000C3D67">
        <w:rPr>
          <w:rFonts w:eastAsia="Calibri"/>
          <w:sz w:val="22"/>
          <w:szCs w:val="22"/>
        </w:rPr>
        <w:t xml:space="preserve">u iznosu od </w:t>
      </w:r>
      <w:r w:rsidRPr="000C3D67" w:rsidR="001C4BBA">
        <w:rPr>
          <w:rFonts w:eastAsia="Calibri"/>
          <w:sz w:val="22"/>
          <w:szCs w:val="22"/>
        </w:rPr>
        <w:t>430,00</w:t>
      </w:r>
      <w:r w:rsidRPr="000C3D67" w:rsidR="00F3675D">
        <w:rPr>
          <w:rFonts w:eastAsia="Calibri"/>
          <w:sz w:val="22"/>
          <w:szCs w:val="22"/>
        </w:rPr>
        <w:t xml:space="preserve"> </w:t>
      </w:r>
      <w:r w:rsidRPr="000C3D67">
        <w:rPr>
          <w:rFonts w:eastAsia="Calibri"/>
          <w:sz w:val="22"/>
          <w:szCs w:val="22"/>
        </w:rPr>
        <w:t>eura</w:t>
      </w:r>
      <w:r w:rsidRPr="000C3D67" w:rsidR="001C4BBA">
        <w:rPr>
          <w:rFonts w:eastAsia="Calibri"/>
          <w:sz w:val="22"/>
          <w:szCs w:val="22"/>
        </w:rPr>
        <w:t xml:space="preserve"> tako da ukupno planirani rashodi ove aktivnosti iznose 12.070,00 eura.</w:t>
      </w:r>
    </w:p>
    <w:p w:rsidR="007C373E" w:rsidP="00D84560" w14:paraId="3DEBD63D" w14:textId="77777777">
      <w:pPr>
        <w:jc w:val="both"/>
        <w:rPr>
          <w:rFonts w:eastAsia="Calibri"/>
          <w:sz w:val="22"/>
          <w:szCs w:val="22"/>
        </w:rPr>
      </w:pPr>
    </w:p>
    <w:p w:rsidR="00A64B0F" w:rsidP="00D84560" w14:paraId="31A2CECC" w14:textId="77777777">
      <w:pPr>
        <w:jc w:val="both"/>
        <w:rPr>
          <w:rFonts w:eastAsia="Calibri"/>
          <w:sz w:val="22"/>
          <w:szCs w:val="22"/>
        </w:rPr>
      </w:pPr>
    </w:p>
    <w:tbl>
      <w:tblPr>
        <w:tblpPr w:leftFromText="180" w:rightFromText="180" w:vertAnchor="text" w:horzAnchor="margin" w:tblpXSpec="center" w:tblpY="1"/>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
        <w:gridCol w:w="1927"/>
        <w:gridCol w:w="29"/>
        <w:gridCol w:w="2356"/>
        <w:gridCol w:w="54"/>
        <w:gridCol w:w="945"/>
        <w:gridCol w:w="47"/>
        <w:gridCol w:w="1123"/>
        <w:gridCol w:w="11"/>
        <w:gridCol w:w="1134"/>
        <w:gridCol w:w="1122"/>
        <w:gridCol w:w="12"/>
        <w:gridCol w:w="1134"/>
        <w:gridCol w:w="24"/>
        <w:gridCol w:w="1252"/>
      </w:tblGrid>
      <w:tr w14:paraId="0104A876" w14:textId="77777777" w:rsidTr="00A64B0F">
        <w:tblPrEx>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gridSpan w:val="2"/>
            <w:shd w:val="clear" w:color="auto" w:fill="99CCFF"/>
            <w:vAlign w:val="center"/>
          </w:tcPr>
          <w:p w:rsidR="00A64B0F" w:rsidRPr="00A64B0F" w:rsidP="00A64B0F" w14:paraId="4DE427F3" w14:textId="77777777">
            <w:pPr>
              <w:rPr>
                <w:b/>
                <w:sz w:val="20"/>
                <w:szCs w:val="20"/>
              </w:rPr>
            </w:pPr>
            <w:r w:rsidRPr="00A64B0F">
              <w:rPr>
                <w:b/>
                <w:sz w:val="20"/>
                <w:szCs w:val="20"/>
              </w:rPr>
              <w:t>Pokazatelj rezultata</w:t>
            </w:r>
          </w:p>
        </w:tc>
        <w:tc>
          <w:tcPr>
            <w:tcW w:w="2385" w:type="dxa"/>
            <w:gridSpan w:val="2"/>
            <w:shd w:val="clear" w:color="auto" w:fill="99CCFF"/>
            <w:vAlign w:val="center"/>
          </w:tcPr>
          <w:p w:rsidR="00A64B0F" w:rsidRPr="00A64B0F" w:rsidP="00A64B0F" w14:paraId="44DD65D3" w14:textId="77777777">
            <w:pPr>
              <w:rPr>
                <w:b/>
                <w:sz w:val="20"/>
                <w:szCs w:val="20"/>
              </w:rPr>
            </w:pPr>
            <w:r w:rsidRPr="00A64B0F">
              <w:rPr>
                <w:b/>
                <w:sz w:val="20"/>
                <w:szCs w:val="20"/>
              </w:rPr>
              <w:t>Definicija</w:t>
            </w:r>
          </w:p>
        </w:tc>
        <w:tc>
          <w:tcPr>
            <w:tcW w:w="999" w:type="dxa"/>
            <w:gridSpan w:val="2"/>
            <w:shd w:val="clear" w:color="auto" w:fill="99CCFF"/>
            <w:vAlign w:val="center"/>
          </w:tcPr>
          <w:p w:rsidR="00A64B0F" w:rsidRPr="00A64B0F" w:rsidP="00A64B0F" w14:paraId="7C98339A" w14:textId="77777777">
            <w:pPr>
              <w:rPr>
                <w:b/>
                <w:sz w:val="20"/>
                <w:szCs w:val="20"/>
              </w:rPr>
            </w:pPr>
            <w:r w:rsidRPr="00A64B0F">
              <w:rPr>
                <w:b/>
                <w:sz w:val="20"/>
                <w:szCs w:val="20"/>
              </w:rPr>
              <w:t>Jedinica</w:t>
            </w:r>
          </w:p>
        </w:tc>
        <w:tc>
          <w:tcPr>
            <w:tcW w:w="1170" w:type="dxa"/>
            <w:gridSpan w:val="2"/>
            <w:shd w:val="clear" w:color="auto" w:fill="99CCFF"/>
            <w:vAlign w:val="center"/>
          </w:tcPr>
          <w:p w:rsidR="00A64B0F" w:rsidRPr="00A64B0F" w:rsidP="00A64B0F" w14:paraId="7600A6FC" w14:textId="77777777">
            <w:pPr>
              <w:rPr>
                <w:b/>
                <w:sz w:val="20"/>
                <w:szCs w:val="20"/>
              </w:rPr>
            </w:pPr>
            <w:r w:rsidRPr="00A64B0F">
              <w:rPr>
                <w:b/>
                <w:sz w:val="20"/>
                <w:szCs w:val="20"/>
              </w:rPr>
              <w:t>Polazna vrijednost</w:t>
            </w:r>
          </w:p>
        </w:tc>
        <w:tc>
          <w:tcPr>
            <w:tcW w:w="1145" w:type="dxa"/>
            <w:gridSpan w:val="2"/>
            <w:shd w:val="clear" w:color="auto" w:fill="99CCFF"/>
            <w:vAlign w:val="center"/>
          </w:tcPr>
          <w:p w:rsidR="00A64B0F" w:rsidRPr="00A64B0F" w:rsidP="00A64B0F" w14:paraId="1212FE1F" w14:textId="77777777">
            <w:pPr>
              <w:rPr>
                <w:b/>
                <w:sz w:val="20"/>
                <w:szCs w:val="20"/>
              </w:rPr>
            </w:pPr>
            <w:r w:rsidRPr="00A64B0F">
              <w:rPr>
                <w:b/>
                <w:sz w:val="20"/>
                <w:szCs w:val="20"/>
              </w:rPr>
              <w:t>Izvor podataka</w:t>
            </w:r>
          </w:p>
        </w:tc>
        <w:tc>
          <w:tcPr>
            <w:tcW w:w="1122" w:type="dxa"/>
            <w:shd w:val="clear" w:color="auto" w:fill="99CCFF"/>
            <w:vAlign w:val="center"/>
          </w:tcPr>
          <w:p w:rsidR="00A64B0F" w:rsidRPr="00A64B0F" w:rsidP="00A64B0F" w14:paraId="7DABA660" w14:textId="77777777">
            <w:pPr>
              <w:rPr>
                <w:b/>
                <w:sz w:val="20"/>
                <w:szCs w:val="20"/>
              </w:rPr>
            </w:pPr>
            <w:r w:rsidRPr="00A64B0F">
              <w:rPr>
                <w:b/>
                <w:sz w:val="20"/>
                <w:szCs w:val="20"/>
              </w:rPr>
              <w:t>Ciljana vrijednost</w:t>
            </w:r>
          </w:p>
          <w:p w:rsidR="00A64B0F" w:rsidRPr="00A64B0F" w:rsidP="00A64B0F" w14:paraId="3D1ABD24" w14:textId="77777777">
            <w:pPr>
              <w:rPr>
                <w:b/>
                <w:sz w:val="20"/>
                <w:szCs w:val="20"/>
              </w:rPr>
            </w:pPr>
            <w:r w:rsidRPr="00A64B0F">
              <w:rPr>
                <w:b/>
                <w:sz w:val="20"/>
                <w:szCs w:val="20"/>
              </w:rPr>
              <w:t>(2024.)</w:t>
            </w:r>
          </w:p>
        </w:tc>
        <w:tc>
          <w:tcPr>
            <w:tcW w:w="1170" w:type="dxa"/>
            <w:gridSpan w:val="3"/>
            <w:shd w:val="clear" w:color="auto" w:fill="99CCFF"/>
            <w:vAlign w:val="center"/>
          </w:tcPr>
          <w:p w:rsidR="00A64B0F" w:rsidRPr="00A64B0F" w:rsidP="00A64B0F" w14:paraId="45D6E91E" w14:textId="77777777">
            <w:pPr>
              <w:rPr>
                <w:b/>
                <w:sz w:val="20"/>
                <w:szCs w:val="20"/>
              </w:rPr>
            </w:pPr>
            <w:r w:rsidRPr="00A64B0F">
              <w:rPr>
                <w:b/>
                <w:sz w:val="20"/>
                <w:szCs w:val="20"/>
              </w:rPr>
              <w:t>Ciljana vrijednost</w:t>
            </w:r>
          </w:p>
          <w:p w:rsidR="00A64B0F" w:rsidRPr="00A64B0F" w:rsidP="00A64B0F" w14:paraId="60B9F1F9" w14:textId="77777777">
            <w:pPr>
              <w:rPr>
                <w:b/>
                <w:sz w:val="20"/>
                <w:szCs w:val="20"/>
              </w:rPr>
            </w:pPr>
            <w:r w:rsidRPr="00A64B0F">
              <w:rPr>
                <w:b/>
                <w:sz w:val="20"/>
                <w:szCs w:val="20"/>
              </w:rPr>
              <w:t>(2025.)</w:t>
            </w:r>
          </w:p>
        </w:tc>
        <w:tc>
          <w:tcPr>
            <w:tcW w:w="1252" w:type="dxa"/>
            <w:shd w:val="clear" w:color="auto" w:fill="99CCFF"/>
            <w:vAlign w:val="center"/>
          </w:tcPr>
          <w:p w:rsidR="00A64B0F" w:rsidRPr="00A64B0F" w:rsidP="00A64B0F" w14:paraId="5884C1A3" w14:textId="77777777">
            <w:pPr>
              <w:rPr>
                <w:b/>
                <w:sz w:val="20"/>
                <w:szCs w:val="20"/>
              </w:rPr>
            </w:pPr>
            <w:r w:rsidRPr="00A64B0F">
              <w:rPr>
                <w:b/>
                <w:sz w:val="20"/>
                <w:szCs w:val="20"/>
              </w:rPr>
              <w:t>Ciljana vrijednost</w:t>
            </w:r>
          </w:p>
          <w:p w:rsidR="00A64B0F" w:rsidRPr="00A64B0F" w:rsidP="00A64B0F" w14:paraId="78055E6E" w14:textId="77777777">
            <w:pPr>
              <w:rPr>
                <w:b/>
                <w:sz w:val="20"/>
                <w:szCs w:val="20"/>
              </w:rPr>
            </w:pPr>
            <w:r w:rsidRPr="00A64B0F">
              <w:rPr>
                <w:b/>
                <w:sz w:val="20"/>
                <w:szCs w:val="20"/>
              </w:rPr>
              <w:t>(2026.)</w:t>
            </w:r>
          </w:p>
        </w:tc>
      </w:tr>
      <w:tr w14:paraId="48EBE8D7" w14:textId="77777777" w:rsidTr="00A64B0F">
        <w:tblPrEx>
          <w:tblW w:w="11194" w:type="dxa"/>
          <w:tblLayout w:type="fixed"/>
          <w:tblLook w:val="01E0"/>
        </w:tblPrEx>
        <w:trPr>
          <w:trHeight w:val="513"/>
        </w:trPr>
        <w:tc>
          <w:tcPr>
            <w:tcW w:w="1951" w:type="dxa"/>
            <w:gridSpan w:val="2"/>
          </w:tcPr>
          <w:p w:rsidR="00A64B0F" w:rsidRPr="00A64B0F" w:rsidP="00A64B0F" w14:paraId="2ABF6C25" w14:textId="77777777">
            <w:pPr>
              <w:rPr>
                <w:sz w:val="22"/>
                <w:szCs w:val="22"/>
                <w:lang w:val="pl-PL"/>
              </w:rPr>
            </w:pPr>
            <w:r w:rsidRPr="00A64B0F">
              <w:rPr>
                <w:sz w:val="22"/>
                <w:szCs w:val="22"/>
                <w:lang w:val="pl-PL"/>
              </w:rPr>
              <w:t xml:space="preserve">Povećanje broja osvojenih mjesta (prva tri) na </w:t>
            </w:r>
            <w:r w:rsidRPr="00A64B0F">
              <w:rPr>
                <w:b/>
                <w:sz w:val="22"/>
                <w:szCs w:val="22"/>
                <w:lang w:val="pl-PL"/>
              </w:rPr>
              <w:t xml:space="preserve">državnim </w:t>
            </w:r>
            <w:r w:rsidRPr="00A64B0F">
              <w:rPr>
                <w:sz w:val="22"/>
                <w:szCs w:val="22"/>
                <w:lang w:val="pl-PL"/>
              </w:rPr>
              <w:t>natjecanjima</w:t>
            </w:r>
          </w:p>
        </w:tc>
        <w:tc>
          <w:tcPr>
            <w:tcW w:w="2385" w:type="dxa"/>
            <w:gridSpan w:val="2"/>
          </w:tcPr>
          <w:p w:rsidR="00A64B0F" w:rsidRPr="00A64B0F" w:rsidP="00A64B0F" w14:paraId="0CA4808B" w14:textId="77777777">
            <w:pPr>
              <w:rPr>
                <w:sz w:val="22"/>
                <w:szCs w:val="22"/>
                <w:lang w:val="pl-PL"/>
              </w:rPr>
            </w:pPr>
            <w:r w:rsidRPr="00A64B0F">
              <w:rPr>
                <w:sz w:val="22"/>
                <w:szCs w:val="22"/>
                <w:lang w:val="pl-PL"/>
              </w:rPr>
              <w:t>Uz to što se učenike potiče na izražavanje sposobnosti kroz ovakve aktivnosti testira se i kvaliteta rada nastavnika s nadarenim učenicima</w:t>
            </w:r>
          </w:p>
          <w:p w:rsidR="00A64B0F" w:rsidRPr="00A64B0F" w:rsidP="00A64B0F" w14:paraId="1DE3FCD9" w14:textId="77777777">
            <w:pPr>
              <w:rPr>
                <w:sz w:val="22"/>
                <w:szCs w:val="22"/>
                <w:lang w:val="pl-PL"/>
              </w:rPr>
            </w:pPr>
          </w:p>
        </w:tc>
        <w:tc>
          <w:tcPr>
            <w:tcW w:w="999" w:type="dxa"/>
            <w:gridSpan w:val="2"/>
            <w:vAlign w:val="center"/>
          </w:tcPr>
          <w:p w:rsidR="00A64B0F" w:rsidRPr="00A64B0F" w:rsidP="00A64B0F" w14:paraId="4E67D055" w14:textId="77777777">
            <w:pPr>
              <w:rPr>
                <w:sz w:val="22"/>
                <w:szCs w:val="22"/>
              </w:rPr>
            </w:pPr>
            <w:r w:rsidRPr="00A64B0F">
              <w:rPr>
                <w:sz w:val="22"/>
                <w:szCs w:val="22"/>
              </w:rPr>
              <w:t>broj</w:t>
            </w:r>
          </w:p>
        </w:tc>
        <w:tc>
          <w:tcPr>
            <w:tcW w:w="1170" w:type="dxa"/>
            <w:gridSpan w:val="2"/>
            <w:vAlign w:val="center"/>
          </w:tcPr>
          <w:p w:rsidR="00A64B0F" w:rsidRPr="00A64B0F" w:rsidP="00A64B0F" w14:paraId="7FB0379C" w14:textId="77777777">
            <w:pPr>
              <w:rPr>
                <w:sz w:val="22"/>
                <w:szCs w:val="22"/>
              </w:rPr>
            </w:pPr>
            <w:r w:rsidRPr="00A64B0F">
              <w:rPr>
                <w:sz w:val="22"/>
                <w:szCs w:val="22"/>
              </w:rPr>
              <w:t>2</w:t>
            </w:r>
          </w:p>
        </w:tc>
        <w:tc>
          <w:tcPr>
            <w:tcW w:w="1145" w:type="dxa"/>
            <w:gridSpan w:val="2"/>
            <w:vAlign w:val="center"/>
          </w:tcPr>
          <w:p w:rsidR="00A64B0F" w:rsidRPr="00A64B0F" w:rsidP="00A64B0F" w14:paraId="26526564" w14:textId="77777777">
            <w:pPr>
              <w:rPr>
                <w:sz w:val="22"/>
                <w:szCs w:val="22"/>
              </w:rPr>
            </w:pPr>
            <w:r w:rsidRPr="00A64B0F">
              <w:rPr>
                <w:sz w:val="22"/>
                <w:szCs w:val="22"/>
              </w:rPr>
              <w:t>škola</w:t>
            </w:r>
          </w:p>
        </w:tc>
        <w:tc>
          <w:tcPr>
            <w:tcW w:w="1122" w:type="dxa"/>
            <w:vAlign w:val="center"/>
          </w:tcPr>
          <w:p w:rsidR="00A64B0F" w:rsidRPr="00A64B0F" w:rsidP="00A64B0F" w14:paraId="420881C6" w14:textId="77777777">
            <w:pPr>
              <w:rPr>
                <w:sz w:val="22"/>
                <w:szCs w:val="22"/>
              </w:rPr>
            </w:pPr>
            <w:r w:rsidRPr="00A64B0F">
              <w:rPr>
                <w:sz w:val="22"/>
                <w:szCs w:val="22"/>
              </w:rPr>
              <w:t>3</w:t>
            </w:r>
          </w:p>
        </w:tc>
        <w:tc>
          <w:tcPr>
            <w:tcW w:w="1170" w:type="dxa"/>
            <w:gridSpan w:val="3"/>
            <w:vAlign w:val="center"/>
          </w:tcPr>
          <w:p w:rsidR="00A64B0F" w:rsidRPr="00A64B0F" w:rsidP="00A64B0F" w14:paraId="5B67579A" w14:textId="77777777">
            <w:pPr>
              <w:rPr>
                <w:sz w:val="22"/>
                <w:szCs w:val="22"/>
              </w:rPr>
            </w:pPr>
            <w:r w:rsidRPr="00A64B0F">
              <w:rPr>
                <w:sz w:val="22"/>
                <w:szCs w:val="22"/>
              </w:rPr>
              <w:t>3</w:t>
            </w:r>
          </w:p>
        </w:tc>
        <w:tc>
          <w:tcPr>
            <w:tcW w:w="1252" w:type="dxa"/>
            <w:vAlign w:val="center"/>
          </w:tcPr>
          <w:p w:rsidR="00A64B0F" w:rsidRPr="00A64B0F" w:rsidP="00A64B0F" w14:paraId="2698A482" w14:textId="77777777">
            <w:pPr>
              <w:rPr>
                <w:sz w:val="22"/>
                <w:szCs w:val="22"/>
              </w:rPr>
            </w:pPr>
            <w:r w:rsidRPr="00A64B0F">
              <w:rPr>
                <w:sz w:val="22"/>
                <w:szCs w:val="22"/>
              </w:rPr>
              <w:t>4</w:t>
            </w:r>
          </w:p>
        </w:tc>
      </w:tr>
      <w:tr w14:paraId="55CE8FF3" w14:textId="77777777" w:rsidTr="00A64B0F">
        <w:tblPrEx>
          <w:tblW w:w="11194" w:type="dxa"/>
          <w:tblLayout w:type="fixed"/>
          <w:tblLook w:val="01E0"/>
        </w:tblPrEx>
        <w:trPr>
          <w:gridBefore w:val="1"/>
          <w:wBefore w:w="24" w:type="dxa"/>
          <w:trHeight w:val="470"/>
        </w:trPr>
        <w:tc>
          <w:tcPr>
            <w:tcW w:w="1956" w:type="dxa"/>
            <w:gridSpan w:val="2"/>
            <w:shd w:val="clear" w:color="auto" w:fill="99CCFF"/>
            <w:vAlign w:val="center"/>
          </w:tcPr>
          <w:p w:rsidR="00A64B0F" w:rsidRPr="00A64B0F" w:rsidP="00A64B0F" w14:paraId="1D50633D" w14:textId="77777777">
            <w:pPr>
              <w:rPr>
                <w:b/>
                <w:sz w:val="20"/>
                <w:szCs w:val="20"/>
              </w:rPr>
            </w:pPr>
            <w:r w:rsidRPr="00A64B0F">
              <w:rPr>
                <w:b/>
                <w:sz w:val="20"/>
                <w:szCs w:val="20"/>
              </w:rPr>
              <w:t>Pokazatelj rezultata</w:t>
            </w:r>
          </w:p>
        </w:tc>
        <w:tc>
          <w:tcPr>
            <w:tcW w:w="2410" w:type="dxa"/>
            <w:gridSpan w:val="2"/>
            <w:shd w:val="clear" w:color="auto" w:fill="99CCFF"/>
            <w:vAlign w:val="center"/>
          </w:tcPr>
          <w:p w:rsidR="00A64B0F" w:rsidRPr="00A64B0F" w:rsidP="00A64B0F" w14:paraId="2FFBDA8D" w14:textId="77777777">
            <w:pPr>
              <w:rPr>
                <w:b/>
                <w:sz w:val="20"/>
                <w:szCs w:val="20"/>
              </w:rPr>
            </w:pPr>
            <w:r w:rsidRPr="00A64B0F">
              <w:rPr>
                <w:b/>
                <w:sz w:val="20"/>
                <w:szCs w:val="20"/>
              </w:rPr>
              <w:t>Definicija</w:t>
            </w:r>
          </w:p>
        </w:tc>
        <w:tc>
          <w:tcPr>
            <w:tcW w:w="992" w:type="dxa"/>
            <w:gridSpan w:val="2"/>
            <w:shd w:val="clear" w:color="auto" w:fill="99CCFF"/>
            <w:vAlign w:val="center"/>
          </w:tcPr>
          <w:p w:rsidR="00A64B0F" w:rsidRPr="00A64B0F" w:rsidP="00A64B0F" w14:paraId="6BFC2052" w14:textId="77777777">
            <w:pPr>
              <w:rPr>
                <w:b/>
                <w:sz w:val="20"/>
                <w:szCs w:val="20"/>
              </w:rPr>
            </w:pPr>
            <w:r w:rsidRPr="00A64B0F">
              <w:rPr>
                <w:b/>
                <w:sz w:val="20"/>
                <w:szCs w:val="20"/>
              </w:rPr>
              <w:t>Jedinica</w:t>
            </w:r>
          </w:p>
        </w:tc>
        <w:tc>
          <w:tcPr>
            <w:tcW w:w="1134" w:type="dxa"/>
            <w:gridSpan w:val="2"/>
            <w:shd w:val="clear" w:color="auto" w:fill="99CCFF"/>
            <w:vAlign w:val="center"/>
          </w:tcPr>
          <w:p w:rsidR="00A64B0F" w:rsidRPr="00A64B0F" w:rsidP="00A64B0F" w14:paraId="4270E678" w14:textId="77777777">
            <w:pPr>
              <w:rPr>
                <w:b/>
                <w:sz w:val="20"/>
                <w:szCs w:val="20"/>
              </w:rPr>
            </w:pPr>
            <w:r w:rsidRPr="00A64B0F">
              <w:rPr>
                <w:b/>
                <w:sz w:val="20"/>
                <w:szCs w:val="20"/>
              </w:rPr>
              <w:t>Polazna vrijednost</w:t>
            </w:r>
          </w:p>
        </w:tc>
        <w:tc>
          <w:tcPr>
            <w:tcW w:w="1134" w:type="dxa"/>
            <w:shd w:val="clear" w:color="auto" w:fill="99CCFF"/>
            <w:vAlign w:val="center"/>
          </w:tcPr>
          <w:p w:rsidR="00A64B0F" w:rsidRPr="00A64B0F" w:rsidP="00A64B0F" w14:paraId="00466D07" w14:textId="77777777">
            <w:pPr>
              <w:rPr>
                <w:b/>
                <w:sz w:val="20"/>
                <w:szCs w:val="20"/>
              </w:rPr>
            </w:pPr>
            <w:r w:rsidRPr="00A64B0F">
              <w:rPr>
                <w:b/>
                <w:sz w:val="20"/>
                <w:szCs w:val="20"/>
              </w:rPr>
              <w:t>Izvor podataka</w:t>
            </w:r>
          </w:p>
        </w:tc>
        <w:tc>
          <w:tcPr>
            <w:tcW w:w="1134" w:type="dxa"/>
            <w:gridSpan w:val="2"/>
            <w:shd w:val="clear" w:color="auto" w:fill="99CCFF"/>
            <w:vAlign w:val="center"/>
          </w:tcPr>
          <w:p w:rsidR="00A64B0F" w:rsidRPr="00A64B0F" w:rsidP="00A64B0F" w14:paraId="28D15A72" w14:textId="77777777">
            <w:pPr>
              <w:rPr>
                <w:b/>
                <w:sz w:val="20"/>
                <w:szCs w:val="20"/>
              </w:rPr>
            </w:pPr>
            <w:r w:rsidRPr="00A64B0F">
              <w:rPr>
                <w:b/>
                <w:sz w:val="20"/>
                <w:szCs w:val="20"/>
              </w:rPr>
              <w:t>Ciljana vrijednost</w:t>
            </w:r>
          </w:p>
          <w:p w:rsidR="00A64B0F" w:rsidRPr="00A64B0F" w:rsidP="00A64B0F" w14:paraId="02878409" w14:textId="77777777">
            <w:pPr>
              <w:rPr>
                <w:b/>
                <w:sz w:val="20"/>
                <w:szCs w:val="20"/>
              </w:rPr>
            </w:pPr>
            <w:r w:rsidRPr="00A64B0F">
              <w:rPr>
                <w:b/>
                <w:sz w:val="20"/>
                <w:szCs w:val="20"/>
              </w:rPr>
              <w:t>(2024.)</w:t>
            </w:r>
          </w:p>
        </w:tc>
        <w:tc>
          <w:tcPr>
            <w:tcW w:w="1134" w:type="dxa"/>
            <w:shd w:val="clear" w:color="auto" w:fill="99CCFF"/>
            <w:vAlign w:val="center"/>
          </w:tcPr>
          <w:p w:rsidR="00A64B0F" w:rsidRPr="00A64B0F" w:rsidP="00A64B0F" w14:paraId="23E10D1C" w14:textId="77777777">
            <w:pPr>
              <w:rPr>
                <w:b/>
                <w:sz w:val="20"/>
                <w:szCs w:val="20"/>
              </w:rPr>
            </w:pPr>
            <w:r w:rsidRPr="00A64B0F">
              <w:rPr>
                <w:b/>
                <w:sz w:val="20"/>
                <w:szCs w:val="20"/>
              </w:rPr>
              <w:t>Ciljana vrijednost</w:t>
            </w:r>
          </w:p>
          <w:p w:rsidR="00A64B0F" w:rsidRPr="00A64B0F" w:rsidP="00A64B0F" w14:paraId="0BC0BBBA" w14:textId="77777777">
            <w:pPr>
              <w:rPr>
                <w:b/>
                <w:sz w:val="20"/>
                <w:szCs w:val="20"/>
              </w:rPr>
            </w:pPr>
            <w:r w:rsidRPr="00A64B0F">
              <w:rPr>
                <w:b/>
                <w:sz w:val="20"/>
                <w:szCs w:val="20"/>
              </w:rPr>
              <w:t>(2025.)</w:t>
            </w:r>
          </w:p>
        </w:tc>
        <w:tc>
          <w:tcPr>
            <w:tcW w:w="1276" w:type="dxa"/>
            <w:gridSpan w:val="2"/>
            <w:shd w:val="clear" w:color="auto" w:fill="99CCFF"/>
            <w:vAlign w:val="center"/>
          </w:tcPr>
          <w:p w:rsidR="00A64B0F" w:rsidRPr="00A64B0F" w:rsidP="00A64B0F" w14:paraId="7BEE7CCC" w14:textId="77777777">
            <w:pPr>
              <w:rPr>
                <w:b/>
                <w:sz w:val="20"/>
                <w:szCs w:val="20"/>
              </w:rPr>
            </w:pPr>
            <w:r w:rsidRPr="00A64B0F">
              <w:rPr>
                <w:b/>
                <w:sz w:val="20"/>
                <w:szCs w:val="20"/>
              </w:rPr>
              <w:t>Ciljana vrijednost</w:t>
            </w:r>
          </w:p>
          <w:p w:rsidR="00A64B0F" w:rsidRPr="00A64B0F" w:rsidP="00A64B0F" w14:paraId="0736A116" w14:textId="77777777">
            <w:pPr>
              <w:rPr>
                <w:b/>
                <w:sz w:val="20"/>
                <w:szCs w:val="20"/>
              </w:rPr>
            </w:pPr>
            <w:r w:rsidRPr="00A64B0F">
              <w:rPr>
                <w:b/>
                <w:sz w:val="20"/>
                <w:szCs w:val="20"/>
              </w:rPr>
              <w:t>(2026.)</w:t>
            </w:r>
          </w:p>
        </w:tc>
      </w:tr>
      <w:tr w14:paraId="5BDD9AD0" w14:textId="77777777" w:rsidTr="00A64B0F">
        <w:tblPrEx>
          <w:tblW w:w="11194" w:type="dxa"/>
          <w:tblLayout w:type="fixed"/>
          <w:tblLook w:val="01E0"/>
        </w:tblPrEx>
        <w:trPr>
          <w:gridBefore w:val="1"/>
          <w:wBefore w:w="24" w:type="dxa"/>
          <w:trHeight w:val="513"/>
        </w:trPr>
        <w:tc>
          <w:tcPr>
            <w:tcW w:w="1956" w:type="dxa"/>
            <w:gridSpan w:val="2"/>
          </w:tcPr>
          <w:p w:rsidR="00A64B0F" w:rsidRPr="00A64B0F" w:rsidP="00A64B0F" w14:paraId="707537A3" w14:textId="77777777">
            <w:pPr>
              <w:rPr>
                <w:sz w:val="22"/>
                <w:szCs w:val="22"/>
                <w:lang w:val="pl-PL"/>
              </w:rPr>
            </w:pPr>
            <w:r w:rsidRPr="00A64B0F">
              <w:rPr>
                <w:sz w:val="22"/>
                <w:szCs w:val="22"/>
                <w:lang w:val="pl-PL"/>
              </w:rPr>
              <w:t>Povećanje broja učenika koji su uključeni u grupe slobodnih aktivnosti</w:t>
            </w:r>
          </w:p>
        </w:tc>
        <w:tc>
          <w:tcPr>
            <w:tcW w:w="2410" w:type="dxa"/>
            <w:gridSpan w:val="2"/>
          </w:tcPr>
          <w:p w:rsidR="00A64B0F" w:rsidRPr="00A64B0F" w:rsidP="00A64B0F" w14:paraId="5BE46AAA" w14:textId="77777777">
            <w:pPr>
              <w:rPr>
                <w:sz w:val="22"/>
                <w:szCs w:val="22"/>
                <w:lang w:val="pl-PL"/>
              </w:rPr>
            </w:pPr>
            <w:r w:rsidRPr="00A64B0F">
              <w:rPr>
                <w:sz w:val="22"/>
                <w:szCs w:val="22"/>
                <w:lang w:val="pl-PL"/>
              </w:rPr>
              <w:t>Učenike se potiče na izražavanje kreativnosti, talenata i sposobnosti  putem grupa izvannastavnih aktivnosti</w:t>
            </w:r>
          </w:p>
        </w:tc>
        <w:tc>
          <w:tcPr>
            <w:tcW w:w="992" w:type="dxa"/>
            <w:gridSpan w:val="2"/>
            <w:vAlign w:val="center"/>
          </w:tcPr>
          <w:p w:rsidR="00A64B0F" w:rsidRPr="00A64B0F" w:rsidP="00A64B0F" w14:paraId="64DCDEBC" w14:textId="77777777">
            <w:pPr>
              <w:rPr>
                <w:sz w:val="22"/>
                <w:szCs w:val="22"/>
              </w:rPr>
            </w:pPr>
            <w:r w:rsidRPr="00A64B0F">
              <w:rPr>
                <w:sz w:val="22"/>
                <w:szCs w:val="22"/>
              </w:rPr>
              <w:t>broj</w:t>
            </w:r>
          </w:p>
        </w:tc>
        <w:tc>
          <w:tcPr>
            <w:tcW w:w="1134" w:type="dxa"/>
            <w:gridSpan w:val="2"/>
            <w:vAlign w:val="center"/>
          </w:tcPr>
          <w:p w:rsidR="00A64B0F" w:rsidRPr="00A64B0F" w:rsidP="00A64B0F" w14:paraId="0859D07B" w14:textId="77777777">
            <w:pPr>
              <w:rPr>
                <w:sz w:val="22"/>
                <w:szCs w:val="22"/>
              </w:rPr>
            </w:pPr>
            <w:r w:rsidRPr="00A64B0F">
              <w:rPr>
                <w:sz w:val="22"/>
                <w:szCs w:val="22"/>
              </w:rPr>
              <w:t>284</w:t>
            </w:r>
          </w:p>
        </w:tc>
        <w:tc>
          <w:tcPr>
            <w:tcW w:w="1134" w:type="dxa"/>
            <w:vAlign w:val="center"/>
          </w:tcPr>
          <w:p w:rsidR="00A64B0F" w:rsidRPr="00A64B0F" w:rsidP="00A64B0F" w14:paraId="789FADA9" w14:textId="77777777">
            <w:pPr>
              <w:rPr>
                <w:sz w:val="22"/>
                <w:szCs w:val="22"/>
              </w:rPr>
            </w:pPr>
            <w:r w:rsidRPr="00A64B0F">
              <w:rPr>
                <w:sz w:val="22"/>
                <w:szCs w:val="22"/>
              </w:rPr>
              <w:t>škola</w:t>
            </w:r>
          </w:p>
        </w:tc>
        <w:tc>
          <w:tcPr>
            <w:tcW w:w="1134" w:type="dxa"/>
            <w:gridSpan w:val="2"/>
            <w:vAlign w:val="center"/>
          </w:tcPr>
          <w:p w:rsidR="00A64B0F" w:rsidRPr="00A64B0F" w:rsidP="00A64B0F" w14:paraId="20D62854" w14:textId="77777777">
            <w:pPr>
              <w:rPr>
                <w:sz w:val="22"/>
                <w:szCs w:val="22"/>
              </w:rPr>
            </w:pPr>
            <w:r w:rsidRPr="00A64B0F">
              <w:rPr>
                <w:sz w:val="22"/>
                <w:szCs w:val="22"/>
              </w:rPr>
              <w:t>300</w:t>
            </w:r>
          </w:p>
        </w:tc>
        <w:tc>
          <w:tcPr>
            <w:tcW w:w="1134" w:type="dxa"/>
            <w:vAlign w:val="center"/>
          </w:tcPr>
          <w:p w:rsidR="00A64B0F" w:rsidRPr="00A64B0F" w:rsidP="00A64B0F" w14:paraId="52D5E2C6" w14:textId="77777777">
            <w:pPr>
              <w:rPr>
                <w:sz w:val="22"/>
                <w:szCs w:val="22"/>
              </w:rPr>
            </w:pPr>
            <w:r w:rsidRPr="00A64B0F">
              <w:rPr>
                <w:sz w:val="22"/>
                <w:szCs w:val="22"/>
              </w:rPr>
              <w:t>310</w:t>
            </w:r>
          </w:p>
        </w:tc>
        <w:tc>
          <w:tcPr>
            <w:tcW w:w="1276" w:type="dxa"/>
            <w:gridSpan w:val="2"/>
            <w:vAlign w:val="center"/>
          </w:tcPr>
          <w:p w:rsidR="00A64B0F" w:rsidRPr="00A64B0F" w:rsidP="00A64B0F" w14:paraId="7269B1F9" w14:textId="77777777">
            <w:pPr>
              <w:rPr>
                <w:sz w:val="22"/>
                <w:szCs w:val="22"/>
              </w:rPr>
            </w:pPr>
            <w:r w:rsidRPr="00A64B0F">
              <w:rPr>
                <w:sz w:val="22"/>
                <w:szCs w:val="22"/>
              </w:rPr>
              <w:t>320</w:t>
            </w:r>
          </w:p>
        </w:tc>
      </w:tr>
    </w:tbl>
    <w:p w:rsidR="00A64B0F" w:rsidRPr="00D84560" w:rsidP="00D84560" w14:paraId="5F88F30E" w14:textId="77777777">
      <w:pPr>
        <w:jc w:val="both"/>
        <w:rPr>
          <w:rFonts w:eastAsia="Calibri"/>
          <w:sz w:val="22"/>
          <w:szCs w:val="22"/>
        </w:rPr>
      </w:pPr>
    </w:p>
    <w:p w:rsidR="00575018" w:rsidP="00D84560" w14:paraId="23E14398" w14:textId="77777777">
      <w:pPr>
        <w:jc w:val="both"/>
        <w:rPr>
          <w:rFonts w:eastAsia="Calibri"/>
          <w:sz w:val="22"/>
          <w:szCs w:val="22"/>
        </w:rPr>
      </w:pPr>
    </w:p>
    <w:p w:rsidR="00D84560" w:rsidRPr="000C3D67" w:rsidP="00D84560" w14:paraId="13EADA17" w14:textId="77777777">
      <w:pPr>
        <w:jc w:val="both"/>
        <w:rPr>
          <w:rFonts w:eastAsia="Calibri"/>
          <w:b/>
          <w:sz w:val="22"/>
          <w:szCs w:val="22"/>
        </w:rPr>
      </w:pPr>
      <w:r w:rsidRPr="000C3D67">
        <w:rPr>
          <w:rFonts w:eastAsia="Calibri"/>
          <w:b/>
          <w:sz w:val="22"/>
          <w:szCs w:val="22"/>
        </w:rPr>
        <w:t>AKTIVNOST: A300317 Redovna djelatnost osnovnih škola</w:t>
      </w:r>
    </w:p>
    <w:p w:rsidR="00D84560" w:rsidRPr="000C3D67" w:rsidP="00D84560" w14:paraId="33BD5CDA" w14:textId="77777777">
      <w:pPr>
        <w:ind w:left="720"/>
        <w:jc w:val="both"/>
        <w:rPr>
          <w:b/>
          <w:sz w:val="22"/>
          <w:szCs w:val="22"/>
          <w:u w:val="single"/>
        </w:rPr>
      </w:pPr>
    </w:p>
    <w:p w:rsidR="00D84560" w:rsidP="00D84560" w14:paraId="029FEF64" w14:textId="7A8F6A22">
      <w:pPr>
        <w:jc w:val="both"/>
        <w:rPr>
          <w:rFonts w:eastAsia="Calibri"/>
          <w:sz w:val="22"/>
          <w:szCs w:val="22"/>
        </w:rPr>
      </w:pPr>
      <w:r w:rsidRPr="000C3D67">
        <w:rPr>
          <w:rFonts w:eastAsia="Calibri"/>
          <w:sz w:val="22"/>
          <w:szCs w:val="22"/>
        </w:rPr>
        <w:t>U ovoj aktivnosti planira</w:t>
      </w:r>
      <w:r w:rsidRPr="000C3D67" w:rsidR="00F3675D">
        <w:rPr>
          <w:rFonts w:eastAsia="Calibri"/>
          <w:sz w:val="22"/>
          <w:szCs w:val="22"/>
        </w:rPr>
        <w:t xml:space="preserve">ni su ukupni </w:t>
      </w:r>
      <w:r w:rsidRPr="000C3D67">
        <w:rPr>
          <w:rFonts w:eastAsia="Calibri"/>
          <w:sz w:val="22"/>
          <w:szCs w:val="22"/>
        </w:rPr>
        <w:t>rashod</w:t>
      </w:r>
      <w:r w:rsidRPr="000C3D67" w:rsidR="00F3675D">
        <w:rPr>
          <w:rFonts w:eastAsia="Calibri"/>
          <w:sz w:val="22"/>
          <w:szCs w:val="22"/>
        </w:rPr>
        <w:t>i</w:t>
      </w:r>
      <w:r w:rsidRPr="000C3D67">
        <w:rPr>
          <w:rFonts w:eastAsia="Calibri"/>
          <w:sz w:val="22"/>
          <w:szCs w:val="22"/>
        </w:rPr>
        <w:t xml:space="preserve">  u iznosu od 2</w:t>
      </w:r>
      <w:r w:rsidRPr="000C3D67" w:rsidR="001C4BBA">
        <w:rPr>
          <w:rFonts w:eastAsia="Calibri"/>
          <w:sz w:val="22"/>
          <w:szCs w:val="22"/>
        </w:rPr>
        <w:t>8</w:t>
      </w:r>
      <w:r w:rsidRPr="000C3D67">
        <w:rPr>
          <w:rFonts w:eastAsia="Calibri"/>
          <w:sz w:val="22"/>
          <w:szCs w:val="22"/>
        </w:rPr>
        <w:t>.</w:t>
      </w:r>
      <w:r w:rsidRPr="000C3D67" w:rsidR="001C4BBA">
        <w:rPr>
          <w:rFonts w:eastAsia="Calibri"/>
          <w:sz w:val="22"/>
          <w:szCs w:val="22"/>
        </w:rPr>
        <w:t>5</w:t>
      </w:r>
      <w:r w:rsidRPr="000C3D67">
        <w:rPr>
          <w:rFonts w:eastAsia="Calibri"/>
          <w:sz w:val="22"/>
          <w:szCs w:val="22"/>
        </w:rPr>
        <w:t xml:space="preserve">00,00 eura  za usluge tekućeg i investicijskog održavanja, zdravstvene usluge i komunalne usluge. Prihod za navedene rashode osigurava se iz proračuna </w:t>
      </w:r>
      <w:r w:rsidRPr="000C3D67" w:rsidR="00A64B0F">
        <w:rPr>
          <w:rFonts w:eastAsia="Calibri"/>
          <w:sz w:val="22"/>
          <w:szCs w:val="22"/>
        </w:rPr>
        <w:t>G</w:t>
      </w:r>
      <w:r w:rsidRPr="000C3D67">
        <w:rPr>
          <w:rFonts w:eastAsia="Calibri"/>
          <w:sz w:val="22"/>
          <w:szCs w:val="22"/>
        </w:rPr>
        <w:t>rada Koprivnice.</w:t>
      </w:r>
      <w:r w:rsidRPr="000C3D67" w:rsidR="00F3675D">
        <w:rPr>
          <w:rFonts w:eastAsia="Calibri"/>
          <w:sz w:val="22"/>
          <w:szCs w:val="22"/>
        </w:rPr>
        <w:t xml:space="preserve"> </w:t>
      </w:r>
      <w:r w:rsidRPr="000C3D67" w:rsidR="00415AC6">
        <w:rPr>
          <w:rFonts w:eastAsia="Calibri"/>
          <w:sz w:val="22"/>
          <w:szCs w:val="22"/>
        </w:rPr>
        <w:t>Školi su osigurana dodatna sredstva iz proračuna grada Koprivnice u iznosu od 82.500,00 eura koja će se utrošiti za promjenu parketa u sportskoj dvorani Branimir. Iz tog razloga predlaže se povećanje rashoda za usluge tekućeg i investicijskog održavanja na 88.500,00 eura kao i povećanje ukupnih rashoda ove aktivnosti na 111.000,00 eura.</w:t>
      </w:r>
    </w:p>
    <w:p w:rsidR="00A64B0F" w:rsidRPr="00D84560" w:rsidP="00D84560" w14:paraId="4CAF7AC9" w14:textId="77777777">
      <w:pPr>
        <w:jc w:val="both"/>
        <w:rPr>
          <w:rFonts w:eastAsia="Calibri"/>
          <w:sz w:val="22"/>
          <w:szCs w:val="22"/>
        </w:rPr>
      </w:pPr>
    </w:p>
    <w:p w:rsidR="00D84560" w:rsidP="00D84560" w14:paraId="0306585A" w14:textId="77777777">
      <w:pPr>
        <w:jc w:val="both"/>
        <w:rPr>
          <w:rFonts w:eastAsia="Calibri"/>
          <w:b/>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05D932FD"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25782B52"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0E22AC3B"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633609D4"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2B240546"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1FEB208E"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1A4C9E10" w14:textId="77777777">
            <w:pPr>
              <w:rPr>
                <w:b/>
                <w:sz w:val="22"/>
                <w:szCs w:val="22"/>
              </w:rPr>
            </w:pPr>
            <w:r w:rsidRPr="00A64B0F">
              <w:rPr>
                <w:b/>
                <w:sz w:val="22"/>
                <w:szCs w:val="22"/>
              </w:rPr>
              <w:t>Ciljana vrijednost</w:t>
            </w:r>
          </w:p>
          <w:p w:rsidR="00A64B0F" w:rsidRPr="00A64B0F" w:rsidP="00A64B0F" w14:paraId="08588151"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4665A810" w14:textId="77777777">
            <w:pPr>
              <w:rPr>
                <w:b/>
                <w:sz w:val="22"/>
                <w:szCs w:val="22"/>
              </w:rPr>
            </w:pPr>
            <w:r w:rsidRPr="00A64B0F">
              <w:rPr>
                <w:b/>
                <w:sz w:val="22"/>
                <w:szCs w:val="22"/>
              </w:rPr>
              <w:t>Ciljana vrijednost</w:t>
            </w:r>
          </w:p>
          <w:p w:rsidR="00A64B0F" w:rsidRPr="00A64B0F" w:rsidP="00A64B0F" w14:paraId="44ED4B06"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5E63FD85" w14:textId="77777777">
            <w:pPr>
              <w:rPr>
                <w:b/>
                <w:sz w:val="22"/>
                <w:szCs w:val="22"/>
              </w:rPr>
            </w:pPr>
            <w:r w:rsidRPr="00A64B0F">
              <w:rPr>
                <w:b/>
                <w:sz w:val="22"/>
                <w:szCs w:val="22"/>
              </w:rPr>
              <w:t>Ciljana vrijednost</w:t>
            </w:r>
          </w:p>
          <w:p w:rsidR="00A64B0F" w:rsidRPr="00A64B0F" w:rsidP="00A64B0F" w14:paraId="3D01B713" w14:textId="77777777">
            <w:pPr>
              <w:rPr>
                <w:b/>
                <w:sz w:val="22"/>
                <w:szCs w:val="22"/>
              </w:rPr>
            </w:pPr>
            <w:r w:rsidRPr="00A64B0F">
              <w:rPr>
                <w:b/>
                <w:sz w:val="22"/>
                <w:szCs w:val="22"/>
              </w:rPr>
              <w:t>(2026.)</w:t>
            </w:r>
          </w:p>
        </w:tc>
      </w:tr>
      <w:tr w14:paraId="5C777415" w14:textId="77777777" w:rsidTr="001F148D">
        <w:tblPrEx>
          <w:tblW w:w="11112" w:type="dxa"/>
          <w:tblLayout w:type="fixed"/>
          <w:tblLook w:val="01E0"/>
        </w:tblPrEx>
        <w:trPr>
          <w:trHeight w:val="513"/>
        </w:trPr>
        <w:tc>
          <w:tcPr>
            <w:tcW w:w="1951" w:type="dxa"/>
          </w:tcPr>
          <w:p w:rsidR="00A64B0F" w:rsidRPr="00A64B0F" w:rsidP="00A64B0F" w14:paraId="7885DAA4" w14:textId="77777777">
            <w:pPr>
              <w:rPr>
                <w:sz w:val="22"/>
                <w:szCs w:val="22"/>
                <w:lang w:val="pl-PL"/>
              </w:rPr>
            </w:pPr>
            <w:r w:rsidRPr="00A64B0F">
              <w:rPr>
                <w:sz w:val="22"/>
                <w:szCs w:val="22"/>
                <w:lang w:val="pl-PL"/>
              </w:rPr>
              <w:t>Povećanje broja  sistematskih pregleda zaposlenika  škole</w:t>
            </w:r>
          </w:p>
        </w:tc>
        <w:tc>
          <w:tcPr>
            <w:tcW w:w="2385" w:type="dxa"/>
          </w:tcPr>
          <w:p w:rsidR="00A64B0F" w:rsidRPr="00A64B0F" w:rsidP="00A64B0F" w14:paraId="4221B166" w14:textId="77777777">
            <w:pPr>
              <w:rPr>
                <w:sz w:val="22"/>
                <w:szCs w:val="22"/>
                <w:lang w:val="pl-PL"/>
              </w:rPr>
            </w:pPr>
            <w:r w:rsidRPr="00A64B0F">
              <w:rPr>
                <w:sz w:val="22"/>
                <w:szCs w:val="22"/>
                <w:lang w:val="pl-PL"/>
              </w:rPr>
              <w:t>Zaposlenici škole imaju pravo i mogućnost na obavljanje redovitog godišnjeg sistematskog pregleda radi prevencije bolesti i očuvanja zdravlja</w:t>
            </w:r>
          </w:p>
        </w:tc>
        <w:tc>
          <w:tcPr>
            <w:tcW w:w="999" w:type="dxa"/>
            <w:vAlign w:val="center"/>
          </w:tcPr>
          <w:p w:rsidR="00A64B0F" w:rsidRPr="00A64B0F" w:rsidP="00A64B0F" w14:paraId="219F7E95" w14:textId="77777777">
            <w:pPr>
              <w:rPr>
                <w:sz w:val="22"/>
                <w:szCs w:val="22"/>
              </w:rPr>
            </w:pPr>
            <w:r w:rsidRPr="00A64B0F">
              <w:rPr>
                <w:sz w:val="22"/>
                <w:szCs w:val="22"/>
              </w:rPr>
              <w:t>postotak</w:t>
            </w:r>
          </w:p>
        </w:tc>
        <w:tc>
          <w:tcPr>
            <w:tcW w:w="1170" w:type="dxa"/>
            <w:vAlign w:val="center"/>
          </w:tcPr>
          <w:p w:rsidR="00A64B0F" w:rsidRPr="00A64B0F" w:rsidP="00A64B0F" w14:paraId="7EC7DC83" w14:textId="77777777">
            <w:pPr>
              <w:rPr>
                <w:sz w:val="22"/>
                <w:szCs w:val="22"/>
              </w:rPr>
            </w:pPr>
            <w:r w:rsidRPr="00A64B0F">
              <w:rPr>
                <w:sz w:val="22"/>
                <w:szCs w:val="22"/>
              </w:rPr>
              <w:t>70%</w:t>
            </w:r>
          </w:p>
        </w:tc>
        <w:tc>
          <w:tcPr>
            <w:tcW w:w="1097" w:type="dxa"/>
            <w:vAlign w:val="center"/>
          </w:tcPr>
          <w:p w:rsidR="00A64B0F" w:rsidRPr="00A64B0F" w:rsidP="00A64B0F" w14:paraId="54638B3E" w14:textId="77777777">
            <w:pPr>
              <w:rPr>
                <w:sz w:val="22"/>
                <w:szCs w:val="22"/>
              </w:rPr>
            </w:pPr>
            <w:r w:rsidRPr="00A64B0F">
              <w:rPr>
                <w:sz w:val="22"/>
                <w:szCs w:val="22"/>
              </w:rPr>
              <w:t>škola</w:t>
            </w:r>
          </w:p>
        </w:tc>
        <w:tc>
          <w:tcPr>
            <w:tcW w:w="1170" w:type="dxa"/>
            <w:vAlign w:val="center"/>
          </w:tcPr>
          <w:p w:rsidR="00A64B0F" w:rsidRPr="00A64B0F" w:rsidP="00A64B0F" w14:paraId="09E1BAE5" w14:textId="77777777">
            <w:pPr>
              <w:rPr>
                <w:sz w:val="22"/>
                <w:szCs w:val="22"/>
              </w:rPr>
            </w:pPr>
            <w:r w:rsidRPr="00A64B0F">
              <w:rPr>
                <w:sz w:val="22"/>
                <w:szCs w:val="22"/>
              </w:rPr>
              <w:t>80%</w:t>
            </w:r>
          </w:p>
        </w:tc>
        <w:tc>
          <w:tcPr>
            <w:tcW w:w="1170" w:type="dxa"/>
            <w:vAlign w:val="center"/>
          </w:tcPr>
          <w:p w:rsidR="00A64B0F" w:rsidRPr="00A64B0F" w:rsidP="00A64B0F" w14:paraId="33CB8FDA" w14:textId="77777777">
            <w:pPr>
              <w:rPr>
                <w:sz w:val="22"/>
                <w:szCs w:val="22"/>
              </w:rPr>
            </w:pPr>
            <w:r w:rsidRPr="00A64B0F">
              <w:rPr>
                <w:sz w:val="22"/>
                <w:szCs w:val="22"/>
              </w:rPr>
              <w:t>85%</w:t>
            </w:r>
          </w:p>
        </w:tc>
        <w:tc>
          <w:tcPr>
            <w:tcW w:w="1170" w:type="dxa"/>
            <w:vAlign w:val="center"/>
          </w:tcPr>
          <w:p w:rsidR="00A64B0F" w:rsidRPr="00A64B0F" w:rsidP="00A64B0F" w14:paraId="235A5B90" w14:textId="77777777">
            <w:pPr>
              <w:rPr>
                <w:sz w:val="22"/>
                <w:szCs w:val="22"/>
              </w:rPr>
            </w:pPr>
            <w:r w:rsidRPr="00A64B0F">
              <w:rPr>
                <w:sz w:val="22"/>
                <w:szCs w:val="22"/>
              </w:rPr>
              <w:t>90%</w:t>
            </w:r>
          </w:p>
        </w:tc>
      </w:tr>
    </w:tbl>
    <w:p w:rsidR="00A64B0F" w:rsidRPr="00D84560" w:rsidP="00D84560" w14:paraId="6DAD427C" w14:textId="77777777">
      <w:pPr>
        <w:jc w:val="both"/>
        <w:rPr>
          <w:rFonts w:eastAsia="Calibri"/>
          <w:b/>
          <w:sz w:val="22"/>
          <w:szCs w:val="22"/>
        </w:rPr>
      </w:pPr>
    </w:p>
    <w:p w:rsidR="007C373E" w:rsidP="00D84560" w14:paraId="5F6904B9" w14:textId="77777777">
      <w:pPr>
        <w:jc w:val="both"/>
        <w:rPr>
          <w:rFonts w:eastAsia="Calibri"/>
          <w:b/>
          <w:sz w:val="22"/>
          <w:szCs w:val="22"/>
        </w:rPr>
      </w:pPr>
    </w:p>
    <w:p w:rsidR="007C373E" w:rsidP="00D84560" w14:paraId="5AE7173B" w14:textId="77777777">
      <w:pPr>
        <w:jc w:val="both"/>
        <w:rPr>
          <w:rFonts w:eastAsia="Calibri"/>
          <w:b/>
          <w:sz w:val="22"/>
          <w:szCs w:val="22"/>
        </w:rPr>
      </w:pPr>
    </w:p>
    <w:p w:rsidR="00D84560" w:rsidRPr="000C3D67" w:rsidP="00D84560" w14:paraId="6A5C3CD3" w14:textId="77777777">
      <w:pPr>
        <w:jc w:val="both"/>
        <w:rPr>
          <w:rFonts w:eastAsia="Calibri"/>
          <w:b/>
          <w:bCs/>
          <w:sz w:val="22"/>
          <w:szCs w:val="22"/>
        </w:rPr>
      </w:pPr>
      <w:r w:rsidRPr="000C3D67">
        <w:rPr>
          <w:rFonts w:eastAsia="Calibri"/>
          <w:b/>
          <w:sz w:val="22"/>
          <w:szCs w:val="22"/>
        </w:rPr>
        <w:t>AKTIVNOST: A 300322 Una</w:t>
      </w:r>
      <w:r w:rsidRPr="000C3D67">
        <w:rPr>
          <w:rFonts w:eastAsia="Calibri"/>
          <w:b/>
          <w:bCs/>
          <w:sz w:val="22"/>
          <w:szCs w:val="22"/>
        </w:rPr>
        <w:t xml:space="preserve">pređenje standarda u školama - izvor vlastiti prihodi </w:t>
      </w:r>
    </w:p>
    <w:p w:rsidR="000C3D67" w:rsidP="00D84560" w14:paraId="0ACEEA78" w14:textId="77777777">
      <w:pPr>
        <w:rPr>
          <w:rFonts w:eastAsia="Calibri"/>
          <w:b/>
          <w:bCs/>
          <w:sz w:val="22"/>
          <w:szCs w:val="22"/>
        </w:rPr>
      </w:pPr>
      <w:r w:rsidRPr="000C3D67">
        <w:rPr>
          <w:rFonts w:eastAsia="Calibri"/>
          <w:b/>
          <w:bCs/>
          <w:sz w:val="22"/>
          <w:szCs w:val="22"/>
        </w:rPr>
        <w:t xml:space="preserve">     </w:t>
      </w:r>
    </w:p>
    <w:p w:rsidR="00D84560" w:rsidRPr="000C3D67" w:rsidP="00D84560" w14:paraId="6F9660E3" w14:textId="3F05A8AE">
      <w:pPr>
        <w:rPr>
          <w:rFonts w:eastAsia="Calibri"/>
          <w:b/>
          <w:bCs/>
          <w:sz w:val="22"/>
          <w:szCs w:val="22"/>
        </w:rPr>
      </w:pPr>
      <w:r w:rsidRPr="000C3D67">
        <w:rPr>
          <w:rFonts w:eastAsia="Calibri"/>
          <w:b/>
          <w:bCs/>
          <w:sz w:val="22"/>
          <w:szCs w:val="22"/>
        </w:rPr>
        <w:t xml:space="preserve">        </w:t>
      </w:r>
    </w:p>
    <w:p w:rsidR="00EC4771" w:rsidRPr="000C3D67" w:rsidP="00EC4771" w14:paraId="770FD66E" w14:textId="16A69282">
      <w:pPr>
        <w:spacing w:line="259" w:lineRule="auto"/>
        <w:jc w:val="both"/>
        <w:rPr>
          <w:rFonts w:eastAsia="Calibri"/>
          <w:bCs/>
          <w:sz w:val="22"/>
          <w:szCs w:val="22"/>
        </w:rPr>
      </w:pPr>
      <w:r w:rsidRPr="000C3D67">
        <w:rPr>
          <w:rFonts w:eastAsia="Calibri"/>
          <w:bCs/>
          <w:sz w:val="22"/>
          <w:szCs w:val="22"/>
        </w:rPr>
        <w:t>U ovoj aktivnosti planiran</w:t>
      </w:r>
      <w:r w:rsidRPr="000C3D67" w:rsidR="00991D46">
        <w:rPr>
          <w:rFonts w:eastAsia="Calibri"/>
          <w:bCs/>
          <w:sz w:val="22"/>
          <w:szCs w:val="22"/>
        </w:rPr>
        <w:t>i</w:t>
      </w:r>
      <w:r w:rsidRPr="000C3D67">
        <w:rPr>
          <w:rFonts w:eastAsia="Calibri"/>
          <w:bCs/>
          <w:sz w:val="22"/>
          <w:szCs w:val="22"/>
        </w:rPr>
        <w:t xml:space="preserve"> </w:t>
      </w:r>
      <w:r w:rsidRPr="000C3D67" w:rsidR="00991D46">
        <w:rPr>
          <w:rFonts w:eastAsia="Calibri"/>
          <w:bCs/>
          <w:sz w:val="22"/>
          <w:szCs w:val="22"/>
        </w:rPr>
        <w:t xml:space="preserve">su </w:t>
      </w:r>
      <w:r w:rsidRPr="000C3D67">
        <w:rPr>
          <w:rFonts w:eastAsia="Calibri"/>
          <w:bCs/>
          <w:sz w:val="22"/>
          <w:szCs w:val="22"/>
        </w:rPr>
        <w:t>ukupn</w:t>
      </w:r>
      <w:r w:rsidRPr="000C3D67" w:rsidR="00991D46">
        <w:rPr>
          <w:rFonts w:eastAsia="Calibri"/>
          <w:bCs/>
          <w:sz w:val="22"/>
          <w:szCs w:val="22"/>
        </w:rPr>
        <w:t>i</w:t>
      </w:r>
      <w:r w:rsidRPr="000C3D67">
        <w:rPr>
          <w:rFonts w:eastAsia="Calibri"/>
          <w:bCs/>
          <w:sz w:val="22"/>
          <w:szCs w:val="22"/>
        </w:rPr>
        <w:t xml:space="preserve"> </w:t>
      </w:r>
      <w:r w:rsidRPr="000C3D67" w:rsidR="00991D46">
        <w:rPr>
          <w:rFonts w:eastAsia="Calibri"/>
          <w:bCs/>
          <w:sz w:val="22"/>
          <w:szCs w:val="22"/>
        </w:rPr>
        <w:t xml:space="preserve">rashodi </w:t>
      </w:r>
      <w:r w:rsidRPr="000C3D67">
        <w:rPr>
          <w:rFonts w:eastAsia="Calibri"/>
          <w:bCs/>
          <w:sz w:val="22"/>
          <w:szCs w:val="22"/>
        </w:rPr>
        <w:t xml:space="preserve">u iznosu od </w:t>
      </w:r>
      <w:r w:rsidRPr="000C3D67" w:rsidR="00991D46">
        <w:rPr>
          <w:rFonts w:eastAsia="Calibri"/>
          <w:bCs/>
          <w:sz w:val="22"/>
          <w:szCs w:val="22"/>
        </w:rPr>
        <w:t>60.369</w:t>
      </w:r>
      <w:r w:rsidRPr="000C3D67">
        <w:rPr>
          <w:rFonts w:eastAsia="Calibri"/>
          <w:bCs/>
          <w:sz w:val="22"/>
          <w:szCs w:val="22"/>
        </w:rPr>
        <w:t xml:space="preserve">,00 eura iz različitih izvora  financiranja. </w:t>
      </w:r>
      <w:r w:rsidRPr="000C3D67" w:rsidR="000A198F">
        <w:rPr>
          <w:rFonts w:eastAsia="Calibri"/>
          <w:bCs/>
          <w:sz w:val="22"/>
          <w:szCs w:val="22"/>
        </w:rPr>
        <w:t xml:space="preserve">Predlaže se povećanje ukupnih rashoda za ovu aktivnost </w:t>
      </w:r>
      <w:r w:rsidRPr="000C3D67" w:rsidR="00991D46">
        <w:rPr>
          <w:rFonts w:eastAsia="Calibri"/>
          <w:bCs/>
          <w:sz w:val="22"/>
          <w:szCs w:val="22"/>
        </w:rPr>
        <w:t xml:space="preserve">za 7.711,00 eura </w:t>
      </w:r>
      <w:r w:rsidRPr="000C3D67" w:rsidR="000A198F">
        <w:rPr>
          <w:rFonts w:eastAsia="Calibri"/>
          <w:bCs/>
          <w:sz w:val="22"/>
          <w:szCs w:val="22"/>
        </w:rPr>
        <w:t xml:space="preserve">zbog slijedećih razloga:  </w:t>
      </w:r>
    </w:p>
    <w:p w:rsidR="00EC4771" w:rsidRPr="000C3D67" w:rsidP="00EC4771" w14:paraId="35A21E71" w14:textId="602DBD59">
      <w:pPr>
        <w:spacing w:line="259" w:lineRule="auto"/>
        <w:jc w:val="both"/>
        <w:rPr>
          <w:rFonts w:eastAsia="Calibri"/>
          <w:sz w:val="22"/>
          <w:szCs w:val="22"/>
        </w:rPr>
      </w:pPr>
      <w:r w:rsidRPr="000C3D67">
        <w:rPr>
          <w:rFonts w:eastAsia="Calibri"/>
          <w:bCs/>
          <w:sz w:val="22"/>
          <w:szCs w:val="22"/>
        </w:rPr>
        <w:t>-</w:t>
      </w:r>
      <w:r w:rsidRPr="000C3D67" w:rsidR="00F2428D">
        <w:rPr>
          <w:rFonts w:eastAsia="Calibri"/>
          <w:bCs/>
          <w:sz w:val="22"/>
          <w:szCs w:val="22"/>
        </w:rPr>
        <w:t>I</w:t>
      </w:r>
      <w:r w:rsidRPr="000C3D67" w:rsidR="00D84560">
        <w:rPr>
          <w:rFonts w:eastAsia="Calibri"/>
          <w:bCs/>
          <w:sz w:val="22"/>
          <w:szCs w:val="22"/>
        </w:rPr>
        <w:t>z prihoda od donacija planira</w:t>
      </w:r>
      <w:r w:rsidRPr="000C3D67">
        <w:rPr>
          <w:rFonts w:eastAsia="Calibri"/>
          <w:bCs/>
          <w:sz w:val="22"/>
          <w:szCs w:val="22"/>
        </w:rPr>
        <w:t xml:space="preserve">ni su </w:t>
      </w:r>
      <w:r w:rsidRPr="000C3D67" w:rsidR="00D84560">
        <w:rPr>
          <w:rFonts w:eastAsia="Calibri"/>
          <w:bCs/>
          <w:sz w:val="22"/>
          <w:szCs w:val="22"/>
        </w:rPr>
        <w:t>rashod</w:t>
      </w:r>
      <w:r w:rsidRPr="000C3D67">
        <w:rPr>
          <w:rFonts w:eastAsia="Calibri"/>
          <w:bCs/>
          <w:sz w:val="22"/>
          <w:szCs w:val="22"/>
        </w:rPr>
        <w:t>i</w:t>
      </w:r>
      <w:r w:rsidRPr="000C3D67" w:rsidR="00D84560">
        <w:rPr>
          <w:rFonts w:eastAsia="Calibri"/>
          <w:bCs/>
          <w:sz w:val="22"/>
          <w:szCs w:val="22"/>
        </w:rPr>
        <w:t xml:space="preserve"> u iznosu od 1.5</w:t>
      </w:r>
      <w:r w:rsidRPr="000C3D67" w:rsidR="00991D46">
        <w:rPr>
          <w:rFonts w:eastAsia="Calibri"/>
          <w:bCs/>
          <w:sz w:val="22"/>
          <w:szCs w:val="22"/>
        </w:rPr>
        <w:t>12</w:t>
      </w:r>
      <w:r w:rsidRPr="000C3D67" w:rsidR="00D84560">
        <w:rPr>
          <w:rFonts w:eastAsia="Calibri"/>
          <w:bCs/>
          <w:sz w:val="22"/>
          <w:szCs w:val="22"/>
        </w:rPr>
        <w:t>,00 eura za</w:t>
      </w:r>
      <w:r w:rsidRPr="000C3D67" w:rsidR="00D84560">
        <w:rPr>
          <w:rFonts w:eastAsia="Calibri"/>
          <w:bCs/>
          <w:sz w:val="22"/>
          <w:szCs w:val="22"/>
          <w:lang w:eastAsia="en-US"/>
        </w:rPr>
        <w:t xml:space="preserve"> </w:t>
      </w:r>
      <w:r w:rsidRPr="000C3D67" w:rsidR="00D84560">
        <w:rPr>
          <w:rFonts w:eastAsia="Calibri"/>
          <w:sz w:val="22"/>
          <w:szCs w:val="22"/>
        </w:rPr>
        <w:t xml:space="preserve">unapređenje standarda u nastavi te za nagrađivanje učenika (novčane nagrade i pokloni). </w:t>
      </w:r>
      <w:r w:rsidRPr="000C3D67">
        <w:rPr>
          <w:rFonts w:eastAsia="Calibri"/>
          <w:sz w:val="22"/>
          <w:szCs w:val="22"/>
        </w:rPr>
        <w:t>Na temelju ostvaren</w:t>
      </w:r>
      <w:r w:rsidRPr="000C3D67" w:rsidR="00991D46">
        <w:rPr>
          <w:rFonts w:eastAsia="Calibri"/>
          <w:sz w:val="22"/>
          <w:szCs w:val="22"/>
        </w:rPr>
        <w:t xml:space="preserve">ih dodatnih  donacija (donacija Podravke d.d. u iznosu od 2.000,00 eura za financiranje odlaska učenika na natjecanje u Hannover) </w:t>
      </w:r>
      <w:r w:rsidRPr="000C3D67">
        <w:rPr>
          <w:rFonts w:eastAsia="Calibri"/>
          <w:sz w:val="22"/>
          <w:szCs w:val="22"/>
        </w:rPr>
        <w:t xml:space="preserve">predlaže se povećanje </w:t>
      </w:r>
      <w:r w:rsidRPr="000C3D67" w:rsidR="00991D46">
        <w:rPr>
          <w:rFonts w:eastAsia="Calibri"/>
          <w:sz w:val="22"/>
          <w:szCs w:val="22"/>
        </w:rPr>
        <w:t>ostalih nespomenutih rashoda za 924,00 eura te službenih putovanja (smještaj i dnevnice za učitelja pratitelja) u iznosu od 1.064,00 eura</w:t>
      </w:r>
      <w:r w:rsidRPr="000C3D67">
        <w:rPr>
          <w:rFonts w:eastAsia="Calibri"/>
          <w:sz w:val="22"/>
          <w:szCs w:val="22"/>
        </w:rPr>
        <w:t>.</w:t>
      </w:r>
    </w:p>
    <w:p w:rsidR="00991D46" w:rsidP="00EC4771" w14:paraId="293B638B" w14:textId="55C5F292">
      <w:pPr>
        <w:spacing w:line="259" w:lineRule="auto"/>
        <w:jc w:val="both"/>
        <w:rPr>
          <w:rFonts w:eastAsia="Calibri"/>
          <w:sz w:val="22"/>
          <w:szCs w:val="22"/>
        </w:rPr>
      </w:pPr>
      <w:r w:rsidRPr="000C3D67">
        <w:rPr>
          <w:rFonts w:eastAsia="Calibri"/>
          <w:sz w:val="22"/>
          <w:szCs w:val="22"/>
        </w:rPr>
        <w:t xml:space="preserve">- </w:t>
      </w:r>
      <w:r w:rsidRPr="000C3D67">
        <w:rPr>
          <w:rFonts w:eastAsia="Calibri"/>
          <w:sz w:val="22"/>
          <w:szCs w:val="22"/>
        </w:rPr>
        <w:t xml:space="preserve">Škola je dobila kapitalnu donaciju  od Hrvatskog filmskog saveza u iznosu </w:t>
      </w:r>
      <w:r w:rsidRPr="000C3D67" w:rsidR="006A48EC">
        <w:rPr>
          <w:rFonts w:eastAsia="Calibri"/>
          <w:sz w:val="22"/>
          <w:szCs w:val="22"/>
        </w:rPr>
        <w:t>od 1.399,00 eura i u tom iznosu nabaviti će se kamera za rad filmske skupine „</w:t>
      </w:r>
      <w:r w:rsidRPr="000C3D67" w:rsidR="006A48EC">
        <w:rPr>
          <w:rFonts w:eastAsia="Calibri"/>
          <w:sz w:val="22"/>
          <w:szCs w:val="22"/>
        </w:rPr>
        <w:t>Mravec</w:t>
      </w:r>
      <w:r w:rsidRPr="000C3D67" w:rsidR="006A48EC">
        <w:rPr>
          <w:rFonts w:eastAsia="Calibri"/>
          <w:sz w:val="22"/>
          <w:szCs w:val="22"/>
        </w:rPr>
        <w:t>“. Škola je također dobila i kapitalnu donaciju knjiga za školsku knjižnicu u iznosu od 216,00 eura te će se za taj iznos povećati rashodi na kontu 4221 i 4241.</w:t>
      </w:r>
      <w:r w:rsidR="006A48EC">
        <w:rPr>
          <w:rFonts w:eastAsia="Calibri"/>
          <w:sz w:val="22"/>
          <w:szCs w:val="22"/>
        </w:rPr>
        <w:t xml:space="preserve">  </w:t>
      </w:r>
    </w:p>
    <w:p w:rsidR="007C373E" w:rsidRPr="000C3D67" w:rsidP="007C373E" w14:paraId="1B903171" w14:textId="12CCC7BE">
      <w:pPr>
        <w:spacing w:line="259" w:lineRule="auto"/>
        <w:jc w:val="both"/>
        <w:rPr>
          <w:rFonts w:eastAsia="Calibri"/>
          <w:sz w:val="22"/>
          <w:szCs w:val="22"/>
        </w:rPr>
      </w:pPr>
      <w:r w:rsidRPr="000C3D67">
        <w:rPr>
          <w:rFonts w:eastAsia="Calibri"/>
          <w:sz w:val="22"/>
          <w:szCs w:val="22"/>
        </w:rPr>
        <w:t>- Za nabavu udžbenika za sve učenike škole planirano je ukupno 34.000,00 eura za radne udžbenike te 3.000,00 eura za udžbenike</w:t>
      </w:r>
      <w:r w:rsidR="0071671A">
        <w:rPr>
          <w:rFonts w:eastAsia="Calibri"/>
          <w:sz w:val="22"/>
          <w:szCs w:val="22"/>
        </w:rPr>
        <w:t xml:space="preserve"> namijenjene višegodišnjem korištenju</w:t>
      </w:r>
      <w:r w:rsidRPr="000C3D67">
        <w:rPr>
          <w:rFonts w:eastAsia="Calibri"/>
          <w:sz w:val="22"/>
          <w:szCs w:val="22"/>
        </w:rPr>
        <w:t xml:space="preserve">. S obzirom da je došlo do povećanja troškova zbog povećanja cijene udžbenika (temeljem Uredbe o izmjeni i dopuni Zakona o udžbenicima i drugim obrazovnim materijalima za osnovnu i srednju školu, objavljene u Narodnim novinama broj 82/2024.,  kako bi se cijene tiskanih udžbenika uskladile s trenutačnim stanjem na tržištu) predlaže se povećanje rashoda na kontu 37 (radni udžbenici) za 4.164,00 eura te novi plan iznosi 38.164,00 eura. Zbog drugačijeg potreba trajnih i radnih udžbenika, predlaže se smanjenje rashoda za trajne udžbenike u iznosu od 606,00 eura, a sve u skladu sa </w:t>
      </w:r>
      <w:r w:rsidRPr="000C3D67" w:rsidR="007C408C">
        <w:rPr>
          <w:rFonts w:eastAsia="Calibri"/>
          <w:sz w:val="22"/>
          <w:szCs w:val="22"/>
        </w:rPr>
        <w:t>stvarnim troškovima nabave udžbenika.</w:t>
      </w:r>
      <w:r w:rsidRPr="000C3D67">
        <w:rPr>
          <w:rFonts w:eastAsia="Calibri"/>
          <w:sz w:val="22"/>
          <w:szCs w:val="22"/>
        </w:rPr>
        <w:t xml:space="preserve"> </w:t>
      </w:r>
    </w:p>
    <w:p w:rsidR="007C373E" w:rsidRPr="000C3D67" w:rsidP="00EC4771" w14:paraId="22C049D1" w14:textId="273BC0BB">
      <w:pPr>
        <w:spacing w:line="259" w:lineRule="auto"/>
        <w:jc w:val="both"/>
        <w:rPr>
          <w:rFonts w:eastAsia="Calibri"/>
          <w:sz w:val="22"/>
          <w:szCs w:val="22"/>
        </w:rPr>
      </w:pPr>
      <w:r w:rsidRPr="000C3D67">
        <w:rPr>
          <w:rFonts w:eastAsia="Calibri"/>
          <w:sz w:val="22"/>
          <w:szCs w:val="22"/>
        </w:rPr>
        <w:t xml:space="preserve">- Zbog blagog povećanja prihoda za iznajmljivanje prostora škole, u odnosu na planirane,  predlaže se povećanje ostalih rashoda, za unapređenje standarda u nastavi u iznosu od 50,00 eura, iz izvora financiranja vlastiti prihodi.  </w:t>
      </w:r>
    </w:p>
    <w:p w:rsidR="00991D46" w:rsidP="00EC4771" w14:paraId="66668B2F" w14:textId="25F7B2D1">
      <w:pPr>
        <w:spacing w:line="259" w:lineRule="auto"/>
        <w:jc w:val="both"/>
        <w:rPr>
          <w:rFonts w:eastAsia="Calibri"/>
          <w:sz w:val="22"/>
          <w:szCs w:val="22"/>
        </w:rPr>
      </w:pPr>
      <w:r w:rsidRPr="000C3D67">
        <w:rPr>
          <w:rFonts w:eastAsia="Calibri"/>
          <w:sz w:val="22"/>
          <w:szCs w:val="22"/>
        </w:rPr>
        <w:t xml:space="preserve">Na pojedinim pozicijama rashoda koje se financiraju iz prihoda tekućih pomoći Ministarstva znanosti, obrazovanja i mladih došlo je do preraspodjele iznosa rashoda kako bi se omogućio što ispravniji prikaz rashoda. Pojedini rashodi koji su planirani na poziciji ostalih nespomenutih rashoda biti će prikazani na drugim pozicijama: iznos za plaće i doprinose za rad s darovitim učenicima će umjesto na poziciji 329 biti prikazan na pozicijama plaća - 311 i </w:t>
      </w:r>
      <w:r w:rsidRPr="000C3D67" w:rsidR="007C373E">
        <w:rPr>
          <w:rFonts w:eastAsia="Calibri"/>
          <w:sz w:val="22"/>
          <w:szCs w:val="22"/>
        </w:rPr>
        <w:t xml:space="preserve">doprinosa </w:t>
      </w:r>
      <w:r w:rsidRPr="000C3D67">
        <w:rPr>
          <w:rFonts w:eastAsia="Calibri"/>
          <w:sz w:val="22"/>
          <w:szCs w:val="22"/>
        </w:rPr>
        <w:t>-</w:t>
      </w:r>
      <w:r w:rsidRPr="000C3D67" w:rsidR="007C373E">
        <w:rPr>
          <w:rFonts w:eastAsia="Calibri"/>
          <w:sz w:val="22"/>
          <w:szCs w:val="22"/>
        </w:rPr>
        <w:t xml:space="preserve"> 313</w:t>
      </w:r>
      <w:r w:rsidRPr="000C3D67">
        <w:rPr>
          <w:rFonts w:eastAsia="Calibri"/>
          <w:sz w:val="22"/>
          <w:szCs w:val="22"/>
        </w:rPr>
        <w:t xml:space="preserve">, troškovi materijala za rad s darovitim učenicima će umjesto na poziciji 329 biti prikazani na poziciji 322 – </w:t>
      </w:r>
      <w:r w:rsidRPr="000C3D67" w:rsidR="007C373E">
        <w:rPr>
          <w:rFonts w:eastAsia="Calibri"/>
          <w:sz w:val="22"/>
          <w:szCs w:val="22"/>
        </w:rPr>
        <w:t>u</w:t>
      </w:r>
      <w:r w:rsidRPr="000C3D67">
        <w:rPr>
          <w:rFonts w:eastAsia="Calibri"/>
          <w:sz w:val="22"/>
          <w:szCs w:val="22"/>
        </w:rPr>
        <w:t>redski materijal</w:t>
      </w:r>
      <w:r w:rsidRPr="000C3D67" w:rsidR="007C373E">
        <w:rPr>
          <w:rFonts w:eastAsia="Calibri"/>
          <w:sz w:val="22"/>
          <w:szCs w:val="22"/>
        </w:rPr>
        <w:t>. Rashodi za pomoć za podmirenje troškova izleta za romsku nacionalnu manjinu i izbjeglice iz Ukrajine planirani su na kontu 3241 – naknada troškova osobama izvan radnog odnosa – jer se planiralo da će se isplatiti direktno roditeljima. S obzirom da se navedeni troškovi plaćaju direktno turističkoj agenciji koja je organizirala putovanje, biti će proknjiženi na kontu rashoda 3299.</w:t>
      </w:r>
      <w:r w:rsidR="007C373E">
        <w:rPr>
          <w:rFonts w:eastAsia="Calibri"/>
          <w:sz w:val="22"/>
          <w:szCs w:val="22"/>
        </w:rPr>
        <w:t xml:space="preserve"> </w:t>
      </w:r>
    </w:p>
    <w:p w:rsidR="00991D46" w:rsidP="00EC4771" w14:paraId="06F6730D" w14:textId="77777777">
      <w:pPr>
        <w:spacing w:line="259" w:lineRule="auto"/>
        <w:jc w:val="both"/>
        <w:rPr>
          <w:rFonts w:eastAsia="Calibri"/>
          <w:sz w:val="22"/>
          <w:szCs w:val="22"/>
        </w:rPr>
      </w:pPr>
    </w:p>
    <w:p w:rsidR="00A64B0F" w:rsidP="00D84560" w14:paraId="4C27601B" w14:textId="77777777">
      <w:pPr>
        <w:jc w:val="both"/>
        <w:rPr>
          <w:rFonts w:eastAsia="Calibri"/>
          <w:b/>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42E1B5EA"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1D9EBB76"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6D8A5490"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6EDB0914"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63F82C57"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42C9EAFC"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5748962B" w14:textId="77777777">
            <w:pPr>
              <w:rPr>
                <w:b/>
                <w:sz w:val="22"/>
                <w:szCs w:val="22"/>
              </w:rPr>
            </w:pPr>
            <w:r w:rsidRPr="00A64B0F">
              <w:rPr>
                <w:b/>
                <w:sz w:val="22"/>
                <w:szCs w:val="22"/>
              </w:rPr>
              <w:t>Ciljana vrijednost</w:t>
            </w:r>
          </w:p>
          <w:p w:rsidR="00A64B0F" w:rsidRPr="00A64B0F" w:rsidP="00A64B0F" w14:paraId="16B5DA8C"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598DE80D" w14:textId="77777777">
            <w:pPr>
              <w:rPr>
                <w:b/>
                <w:sz w:val="22"/>
                <w:szCs w:val="22"/>
              </w:rPr>
            </w:pPr>
            <w:r w:rsidRPr="00A64B0F">
              <w:rPr>
                <w:b/>
                <w:sz w:val="22"/>
                <w:szCs w:val="22"/>
              </w:rPr>
              <w:t>Ciljana vrijednost</w:t>
            </w:r>
          </w:p>
          <w:p w:rsidR="00A64B0F" w:rsidRPr="00A64B0F" w:rsidP="00A64B0F" w14:paraId="340C2798"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5157C923" w14:textId="77777777">
            <w:pPr>
              <w:rPr>
                <w:b/>
                <w:sz w:val="22"/>
                <w:szCs w:val="22"/>
              </w:rPr>
            </w:pPr>
            <w:r w:rsidRPr="00A64B0F">
              <w:rPr>
                <w:b/>
                <w:sz w:val="22"/>
                <w:szCs w:val="22"/>
              </w:rPr>
              <w:t>Ciljana vrijednost</w:t>
            </w:r>
          </w:p>
          <w:p w:rsidR="00A64B0F" w:rsidRPr="00A64B0F" w:rsidP="00A64B0F" w14:paraId="2FCC122B" w14:textId="77777777">
            <w:pPr>
              <w:rPr>
                <w:b/>
                <w:sz w:val="22"/>
                <w:szCs w:val="22"/>
              </w:rPr>
            </w:pPr>
            <w:r w:rsidRPr="00A64B0F">
              <w:rPr>
                <w:b/>
                <w:sz w:val="22"/>
                <w:szCs w:val="22"/>
              </w:rPr>
              <w:t>(2026.)</w:t>
            </w:r>
          </w:p>
        </w:tc>
      </w:tr>
      <w:tr w14:paraId="7F3C5B24" w14:textId="77777777" w:rsidTr="001F148D">
        <w:tblPrEx>
          <w:tblW w:w="11112" w:type="dxa"/>
          <w:tblLayout w:type="fixed"/>
          <w:tblLook w:val="01E0"/>
        </w:tblPrEx>
        <w:trPr>
          <w:trHeight w:val="513"/>
        </w:trPr>
        <w:tc>
          <w:tcPr>
            <w:tcW w:w="1951" w:type="dxa"/>
          </w:tcPr>
          <w:p w:rsidR="00A64B0F" w:rsidRPr="00A64B0F" w:rsidP="00A64B0F" w14:paraId="680CB7FC" w14:textId="77777777">
            <w:pPr>
              <w:rPr>
                <w:sz w:val="22"/>
                <w:szCs w:val="22"/>
                <w:lang w:val="pl-PL"/>
              </w:rPr>
            </w:pPr>
            <w:r w:rsidRPr="00A64B0F">
              <w:rPr>
                <w:sz w:val="22"/>
                <w:szCs w:val="22"/>
                <w:lang w:val="pl-PL"/>
              </w:rPr>
              <w:t>Osigurati svim učenicima udžbenike i ostale radne materijale</w:t>
            </w:r>
          </w:p>
        </w:tc>
        <w:tc>
          <w:tcPr>
            <w:tcW w:w="2385" w:type="dxa"/>
          </w:tcPr>
          <w:p w:rsidR="00A64B0F" w:rsidRPr="00A64B0F" w:rsidP="00A64B0F" w14:paraId="4AFB208E" w14:textId="77777777">
            <w:pPr>
              <w:rPr>
                <w:sz w:val="22"/>
                <w:szCs w:val="22"/>
                <w:lang w:val="pl-PL"/>
              </w:rPr>
            </w:pPr>
            <w:r w:rsidRPr="00A64B0F">
              <w:rPr>
                <w:sz w:val="22"/>
                <w:szCs w:val="22"/>
                <w:lang w:val="pl-PL"/>
              </w:rPr>
              <w:t xml:space="preserve">Iz sredstava tekućih pomoći svim učenicima škole osigrani su besplatni udžbenici za obvezne i izborne predmete i ostali radni materijali </w:t>
            </w:r>
          </w:p>
        </w:tc>
        <w:tc>
          <w:tcPr>
            <w:tcW w:w="999" w:type="dxa"/>
            <w:vAlign w:val="center"/>
          </w:tcPr>
          <w:p w:rsidR="00A64B0F" w:rsidRPr="00A64B0F" w:rsidP="00A64B0F" w14:paraId="1F1CB18B" w14:textId="77777777">
            <w:pPr>
              <w:rPr>
                <w:sz w:val="22"/>
                <w:szCs w:val="22"/>
              </w:rPr>
            </w:pPr>
            <w:r w:rsidRPr="00A64B0F">
              <w:rPr>
                <w:sz w:val="22"/>
                <w:szCs w:val="22"/>
              </w:rPr>
              <w:t>postotak</w:t>
            </w:r>
          </w:p>
        </w:tc>
        <w:tc>
          <w:tcPr>
            <w:tcW w:w="1170" w:type="dxa"/>
            <w:vAlign w:val="center"/>
          </w:tcPr>
          <w:p w:rsidR="00A64B0F" w:rsidRPr="00A64B0F" w:rsidP="00A64B0F" w14:paraId="2AD3DFB0" w14:textId="77777777">
            <w:pPr>
              <w:rPr>
                <w:sz w:val="22"/>
                <w:szCs w:val="22"/>
              </w:rPr>
            </w:pPr>
            <w:r w:rsidRPr="00A64B0F">
              <w:rPr>
                <w:sz w:val="22"/>
                <w:szCs w:val="22"/>
              </w:rPr>
              <w:t>100%</w:t>
            </w:r>
          </w:p>
        </w:tc>
        <w:tc>
          <w:tcPr>
            <w:tcW w:w="1097" w:type="dxa"/>
            <w:vAlign w:val="center"/>
          </w:tcPr>
          <w:p w:rsidR="00A64B0F" w:rsidRPr="00A64B0F" w:rsidP="00A64B0F" w14:paraId="1D3933A3" w14:textId="77777777">
            <w:pPr>
              <w:rPr>
                <w:sz w:val="22"/>
                <w:szCs w:val="22"/>
              </w:rPr>
            </w:pPr>
            <w:r w:rsidRPr="00A64B0F">
              <w:rPr>
                <w:sz w:val="22"/>
                <w:szCs w:val="22"/>
              </w:rPr>
              <w:t>škola</w:t>
            </w:r>
          </w:p>
        </w:tc>
        <w:tc>
          <w:tcPr>
            <w:tcW w:w="1170" w:type="dxa"/>
            <w:vAlign w:val="center"/>
          </w:tcPr>
          <w:p w:rsidR="00A64B0F" w:rsidRPr="00A64B0F" w:rsidP="00A64B0F" w14:paraId="367EBFBE" w14:textId="77777777">
            <w:pPr>
              <w:rPr>
                <w:sz w:val="22"/>
                <w:szCs w:val="22"/>
              </w:rPr>
            </w:pPr>
            <w:r w:rsidRPr="00A64B0F">
              <w:rPr>
                <w:sz w:val="22"/>
                <w:szCs w:val="22"/>
              </w:rPr>
              <w:t>100%</w:t>
            </w:r>
          </w:p>
        </w:tc>
        <w:tc>
          <w:tcPr>
            <w:tcW w:w="1170" w:type="dxa"/>
            <w:vAlign w:val="center"/>
          </w:tcPr>
          <w:p w:rsidR="00A64B0F" w:rsidRPr="00A64B0F" w:rsidP="00A64B0F" w14:paraId="378EB976" w14:textId="77777777">
            <w:pPr>
              <w:rPr>
                <w:sz w:val="22"/>
                <w:szCs w:val="22"/>
              </w:rPr>
            </w:pPr>
            <w:r w:rsidRPr="00A64B0F">
              <w:rPr>
                <w:sz w:val="22"/>
                <w:szCs w:val="22"/>
              </w:rPr>
              <w:t>100%</w:t>
            </w:r>
          </w:p>
        </w:tc>
        <w:tc>
          <w:tcPr>
            <w:tcW w:w="1170" w:type="dxa"/>
            <w:vAlign w:val="center"/>
          </w:tcPr>
          <w:p w:rsidR="00A64B0F" w:rsidRPr="00A64B0F" w:rsidP="00A64B0F" w14:paraId="796DAABF" w14:textId="77777777">
            <w:pPr>
              <w:rPr>
                <w:sz w:val="22"/>
                <w:szCs w:val="22"/>
              </w:rPr>
            </w:pPr>
            <w:r w:rsidRPr="00A64B0F">
              <w:rPr>
                <w:sz w:val="22"/>
                <w:szCs w:val="22"/>
              </w:rPr>
              <w:t>100%</w:t>
            </w:r>
          </w:p>
        </w:tc>
      </w:tr>
      <w:tr w14:paraId="0A8C0B42" w14:textId="77777777" w:rsidTr="001F148D">
        <w:tblPrEx>
          <w:tblW w:w="11112" w:type="dxa"/>
          <w:tblLayout w:type="fixed"/>
          <w:tblLook w:val="01E0"/>
        </w:tblPrEx>
        <w:trPr>
          <w:trHeight w:val="470"/>
        </w:trPr>
        <w:tc>
          <w:tcPr>
            <w:tcW w:w="1951" w:type="dxa"/>
            <w:shd w:val="clear" w:color="auto" w:fill="99CCFF"/>
            <w:vAlign w:val="center"/>
          </w:tcPr>
          <w:p w:rsidR="00A64B0F" w:rsidRPr="00A64B0F" w:rsidP="00A64B0F" w14:paraId="49817AB9"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074DF4C9"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54B473DF"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29CE1C56"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6321DF6A"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2584CCFC" w14:textId="77777777">
            <w:pPr>
              <w:rPr>
                <w:b/>
                <w:sz w:val="22"/>
                <w:szCs w:val="22"/>
              </w:rPr>
            </w:pPr>
            <w:r w:rsidRPr="00A64B0F">
              <w:rPr>
                <w:b/>
                <w:sz w:val="22"/>
                <w:szCs w:val="22"/>
              </w:rPr>
              <w:t>Ciljana vrijednost</w:t>
            </w:r>
          </w:p>
          <w:p w:rsidR="00A64B0F" w:rsidRPr="00A64B0F" w:rsidP="00A64B0F" w14:paraId="72B8B377"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32C9C6DB" w14:textId="77777777">
            <w:pPr>
              <w:rPr>
                <w:b/>
                <w:sz w:val="22"/>
                <w:szCs w:val="22"/>
              </w:rPr>
            </w:pPr>
            <w:r w:rsidRPr="00A64B0F">
              <w:rPr>
                <w:b/>
                <w:sz w:val="22"/>
                <w:szCs w:val="22"/>
              </w:rPr>
              <w:t>Ciljana vrijednost</w:t>
            </w:r>
          </w:p>
          <w:p w:rsidR="00A64B0F" w:rsidRPr="00A64B0F" w:rsidP="00A64B0F" w14:paraId="01DE8552"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50AD5263" w14:textId="77777777">
            <w:pPr>
              <w:rPr>
                <w:b/>
                <w:sz w:val="22"/>
                <w:szCs w:val="22"/>
              </w:rPr>
            </w:pPr>
            <w:r w:rsidRPr="00A64B0F">
              <w:rPr>
                <w:b/>
                <w:sz w:val="22"/>
                <w:szCs w:val="22"/>
              </w:rPr>
              <w:t>Ciljana vrijednost</w:t>
            </w:r>
          </w:p>
          <w:p w:rsidR="00A64B0F" w:rsidRPr="00A64B0F" w:rsidP="00A64B0F" w14:paraId="243E7144" w14:textId="77777777">
            <w:pPr>
              <w:rPr>
                <w:b/>
                <w:sz w:val="22"/>
                <w:szCs w:val="22"/>
              </w:rPr>
            </w:pPr>
            <w:r w:rsidRPr="00A64B0F">
              <w:rPr>
                <w:b/>
                <w:sz w:val="22"/>
                <w:szCs w:val="22"/>
              </w:rPr>
              <w:t>(2026.)</w:t>
            </w:r>
          </w:p>
        </w:tc>
      </w:tr>
      <w:tr w14:paraId="1630C779" w14:textId="77777777" w:rsidTr="001F148D">
        <w:tblPrEx>
          <w:tblW w:w="11112" w:type="dxa"/>
          <w:tblLayout w:type="fixed"/>
          <w:tblLook w:val="01E0"/>
        </w:tblPrEx>
        <w:trPr>
          <w:trHeight w:val="513"/>
        </w:trPr>
        <w:tc>
          <w:tcPr>
            <w:tcW w:w="1951" w:type="dxa"/>
          </w:tcPr>
          <w:p w:rsidR="00A64B0F" w:rsidRPr="00A64B0F" w:rsidP="00A64B0F" w14:paraId="39989661" w14:textId="77777777">
            <w:pPr>
              <w:rPr>
                <w:sz w:val="22"/>
                <w:szCs w:val="22"/>
                <w:lang w:val="pl-PL"/>
              </w:rPr>
            </w:pPr>
            <w:r w:rsidRPr="00A64B0F">
              <w:rPr>
                <w:sz w:val="22"/>
                <w:szCs w:val="22"/>
                <w:lang w:val="pl-PL"/>
              </w:rPr>
              <w:t xml:space="preserve">Povećanje donacija za unapređenje standarda  u nastavi i nagrađivanje učenika </w:t>
            </w:r>
          </w:p>
        </w:tc>
        <w:tc>
          <w:tcPr>
            <w:tcW w:w="2385" w:type="dxa"/>
          </w:tcPr>
          <w:p w:rsidR="00A64B0F" w:rsidRPr="00A64B0F" w:rsidP="00A64B0F" w14:paraId="2DCDD1F1" w14:textId="77777777">
            <w:pPr>
              <w:rPr>
                <w:sz w:val="22"/>
                <w:szCs w:val="22"/>
                <w:lang w:val="pl-PL"/>
              </w:rPr>
            </w:pPr>
            <w:r w:rsidRPr="00A64B0F">
              <w:rPr>
                <w:sz w:val="22"/>
                <w:szCs w:val="22"/>
                <w:lang w:val="pl-PL"/>
              </w:rPr>
              <w:t>Škola prikuplja donacije od fizičkih i pravnih osoba kako bi se unaprijedio standard u nastavi i nagradili najuspješniji učenici škole</w:t>
            </w:r>
          </w:p>
        </w:tc>
        <w:tc>
          <w:tcPr>
            <w:tcW w:w="999" w:type="dxa"/>
            <w:vAlign w:val="center"/>
          </w:tcPr>
          <w:p w:rsidR="00A64B0F" w:rsidRPr="00A64B0F" w:rsidP="00A64B0F" w14:paraId="4BFBE810" w14:textId="77777777">
            <w:pPr>
              <w:rPr>
                <w:sz w:val="22"/>
                <w:szCs w:val="22"/>
              </w:rPr>
            </w:pPr>
            <w:r w:rsidRPr="00A64B0F">
              <w:rPr>
                <w:sz w:val="22"/>
                <w:szCs w:val="22"/>
              </w:rPr>
              <w:t>postotak</w:t>
            </w:r>
          </w:p>
        </w:tc>
        <w:tc>
          <w:tcPr>
            <w:tcW w:w="1170" w:type="dxa"/>
            <w:vAlign w:val="center"/>
          </w:tcPr>
          <w:p w:rsidR="00A64B0F" w:rsidRPr="00A64B0F" w:rsidP="00A64B0F" w14:paraId="1A027BAA" w14:textId="77777777">
            <w:pPr>
              <w:rPr>
                <w:sz w:val="22"/>
                <w:szCs w:val="22"/>
              </w:rPr>
            </w:pPr>
            <w:r w:rsidRPr="00A64B0F">
              <w:rPr>
                <w:sz w:val="22"/>
                <w:szCs w:val="22"/>
              </w:rPr>
              <w:t>100%</w:t>
            </w:r>
          </w:p>
        </w:tc>
        <w:tc>
          <w:tcPr>
            <w:tcW w:w="1097" w:type="dxa"/>
            <w:vAlign w:val="center"/>
          </w:tcPr>
          <w:p w:rsidR="00A64B0F" w:rsidRPr="00A64B0F" w:rsidP="00A64B0F" w14:paraId="6C4EF808" w14:textId="77777777">
            <w:pPr>
              <w:rPr>
                <w:sz w:val="22"/>
                <w:szCs w:val="22"/>
              </w:rPr>
            </w:pPr>
            <w:r w:rsidRPr="00A64B0F">
              <w:rPr>
                <w:sz w:val="22"/>
                <w:szCs w:val="22"/>
              </w:rPr>
              <w:t>škola</w:t>
            </w:r>
          </w:p>
        </w:tc>
        <w:tc>
          <w:tcPr>
            <w:tcW w:w="1170" w:type="dxa"/>
            <w:vAlign w:val="center"/>
          </w:tcPr>
          <w:p w:rsidR="00A64B0F" w:rsidRPr="00A64B0F" w:rsidP="00A64B0F" w14:paraId="2C8E2B7E" w14:textId="77777777">
            <w:pPr>
              <w:rPr>
                <w:sz w:val="22"/>
                <w:szCs w:val="22"/>
              </w:rPr>
            </w:pPr>
            <w:r w:rsidRPr="00A64B0F">
              <w:rPr>
                <w:sz w:val="22"/>
                <w:szCs w:val="22"/>
              </w:rPr>
              <w:t>100%</w:t>
            </w:r>
          </w:p>
        </w:tc>
        <w:tc>
          <w:tcPr>
            <w:tcW w:w="1170" w:type="dxa"/>
            <w:vAlign w:val="center"/>
          </w:tcPr>
          <w:p w:rsidR="00A64B0F" w:rsidRPr="00A64B0F" w:rsidP="00A64B0F" w14:paraId="6527397E" w14:textId="77777777">
            <w:pPr>
              <w:rPr>
                <w:sz w:val="22"/>
                <w:szCs w:val="22"/>
              </w:rPr>
            </w:pPr>
            <w:r w:rsidRPr="00A64B0F">
              <w:rPr>
                <w:sz w:val="22"/>
                <w:szCs w:val="22"/>
              </w:rPr>
              <w:t>100%</w:t>
            </w:r>
          </w:p>
        </w:tc>
        <w:tc>
          <w:tcPr>
            <w:tcW w:w="1170" w:type="dxa"/>
            <w:vAlign w:val="center"/>
          </w:tcPr>
          <w:p w:rsidR="00A64B0F" w:rsidRPr="00A64B0F" w:rsidP="00A64B0F" w14:paraId="2CD583DF" w14:textId="77777777">
            <w:pPr>
              <w:rPr>
                <w:sz w:val="22"/>
                <w:szCs w:val="22"/>
              </w:rPr>
            </w:pPr>
            <w:r w:rsidRPr="00A64B0F">
              <w:rPr>
                <w:sz w:val="22"/>
                <w:szCs w:val="22"/>
              </w:rPr>
              <w:t>100%</w:t>
            </w:r>
          </w:p>
        </w:tc>
      </w:tr>
    </w:tbl>
    <w:p w:rsidR="00A64B0F" w:rsidP="00D84560" w14:paraId="68612F0B" w14:textId="77777777">
      <w:pPr>
        <w:jc w:val="both"/>
        <w:rPr>
          <w:rFonts w:eastAsia="Calibri"/>
          <w:b/>
          <w:sz w:val="22"/>
          <w:szCs w:val="22"/>
        </w:rPr>
      </w:pPr>
    </w:p>
    <w:p w:rsidR="007C373E" w:rsidP="00D84560" w14:paraId="3A5D8DCB" w14:textId="77777777">
      <w:pPr>
        <w:jc w:val="both"/>
        <w:rPr>
          <w:rFonts w:eastAsia="Calibri"/>
          <w:b/>
          <w:sz w:val="22"/>
          <w:szCs w:val="22"/>
        </w:rPr>
      </w:pPr>
    </w:p>
    <w:p w:rsidR="00D84560" w:rsidRPr="000C3D67" w:rsidP="00D84560" w14:paraId="73569AC6" w14:textId="77777777">
      <w:pPr>
        <w:jc w:val="both"/>
        <w:rPr>
          <w:rFonts w:eastAsia="Calibri"/>
          <w:b/>
          <w:sz w:val="22"/>
          <w:szCs w:val="22"/>
        </w:rPr>
      </w:pPr>
      <w:r w:rsidRPr="000C3D67">
        <w:rPr>
          <w:rFonts w:eastAsia="Calibri"/>
          <w:b/>
          <w:sz w:val="22"/>
          <w:szCs w:val="22"/>
        </w:rPr>
        <w:t>AKTIVNOST – A300332 – EU projekti</w:t>
      </w:r>
    </w:p>
    <w:p w:rsidR="00D84560" w:rsidP="00D84560" w14:paraId="5C7C9FB4" w14:textId="77777777">
      <w:pPr>
        <w:jc w:val="both"/>
        <w:rPr>
          <w:rFonts w:eastAsia="Calibri"/>
          <w:b/>
          <w:sz w:val="22"/>
          <w:szCs w:val="22"/>
        </w:rPr>
      </w:pPr>
    </w:p>
    <w:p w:rsidR="000C3D67" w:rsidRPr="000C3D67" w:rsidP="00D84560" w14:paraId="5724DFB2" w14:textId="77777777">
      <w:pPr>
        <w:jc w:val="both"/>
        <w:rPr>
          <w:rFonts w:eastAsia="Calibri"/>
          <w:b/>
          <w:sz w:val="22"/>
          <w:szCs w:val="22"/>
        </w:rPr>
      </w:pPr>
    </w:p>
    <w:p w:rsidR="00415AC6" w:rsidRPr="000C3D67" w:rsidP="00415AC6" w14:paraId="54030775" w14:textId="19E91575">
      <w:pPr>
        <w:spacing w:line="276" w:lineRule="auto"/>
        <w:jc w:val="both"/>
        <w:rPr>
          <w:sz w:val="22"/>
          <w:szCs w:val="22"/>
        </w:rPr>
      </w:pPr>
      <w:r w:rsidRPr="000C3D67">
        <w:rPr>
          <w:sz w:val="22"/>
          <w:szCs w:val="22"/>
        </w:rPr>
        <w:t>S 1</w:t>
      </w:r>
      <w:r w:rsidR="008C74E5">
        <w:rPr>
          <w:sz w:val="22"/>
          <w:szCs w:val="22"/>
        </w:rPr>
        <w:t>.</w:t>
      </w:r>
      <w:r w:rsidRPr="000C3D67">
        <w:rPr>
          <w:sz w:val="22"/>
          <w:szCs w:val="22"/>
        </w:rPr>
        <w:t>6.2023. škola je počela provoditi projekt u okviru dodijeljene akreditacije koja je važeća do 2027. g. U tom razdoblju škola planira provesti niz učiteljskih i učeničkih mobilnosti u nekoliko ciklusa. Akreditaciju je škola ishodila kako bi omogućila učiteljima nove prilike za stručno usavršavanje, a učenicima priliku za povezivanje s drugim europskim školama, što je i glavni cilj ove aktivnosti.</w:t>
      </w:r>
    </w:p>
    <w:p w:rsidR="00415AC6" w:rsidRPr="000C3D67" w:rsidP="00415AC6" w14:paraId="1341F823" w14:textId="65BDE2D6">
      <w:pPr>
        <w:shd w:val="clear" w:color="auto" w:fill="FFFFFF"/>
        <w:spacing w:line="253" w:lineRule="atLeast"/>
        <w:jc w:val="both"/>
        <w:rPr>
          <w:sz w:val="22"/>
          <w:szCs w:val="22"/>
        </w:rPr>
      </w:pPr>
      <w:r w:rsidRPr="000C3D67">
        <w:rPr>
          <w:color w:val="000000"/>
          <w:sz w:val="22"/>
          <w:szCs w:val="22"/>
        </w:rPr>
        <w:t>S 1.6.2024. škola je nastavila provoditi projekt u okviru dodijeljene akreditacije</w:t>
      </w:r>
      <w:r w:rsidRPr="000C3D67" w:rsidR="00017FDD">
        <w:rPr>
          <w:color w:val="000000"/>
          <w:sz w:val="22"/>
          <w:szCs w:val="22"/>
        </w:rPr>
        <w:t>.</w:t>
      </w:r>
    </w:p>
    <w:p w:rsidR="00415AC6" w:rsidRPr="000C3D67" w:rsidP="00415AC6" w14:paraId="75156F38" w14:textId="492AFC90">
      <w:pPr>
        <w:shd w:val="clear" w:color="auto" w:fill="FFFFFF"/>
        <w:spacing w:line="253" w:lineRule="atLeast"/>
        <w:jc w:val="both"/>
        <w:rPr>
          <w:color w:val="000000"/>
          <w:sz w:val="22"/>
          <w:szCs w:val="22"/>
        </w:rPr>
      </w:pPr>
      <w:r w:rsidRPr="000C3D67">
        <w:rPr>
          <w:color w:val="000000"/>
          <w:sz w:val="22"/>
          <w:szCs w:val="22"/>
        </w:rPr>
        <w:t>Za 2. ciklus projekta (1.6.2024. – 31.8.2025.) škola planira 4 strukturirana tečaja za učitelje, 4 mobilnosti praćenja rada (</w:t>
      </w:r>
      <w:r w:rsidRPr="000C3D67">
        <w:rPr>
          <w:color w:val="000000"/>
          <w:sz w:val="22"/>
          <w:szCs w:val="22"/>
        </w:rPr>
        <w:t>job</w:t>
      </w:r>
      <w:r w:rsidRPr="000C3D67">
        <w:rPr>
          <w:color w:val="000000"/>
          <w:sz w:val="22"/>
          <w:szCs w:val="22"/>
        </w:rPr>
        <w:t xml:space="preserve"> </w:t>
      </w:r>
      <w:r w:rsidRPr="000C3D67">
        <w:rPr>
          <w:color w:val="000000"/>
          <w:sz w:val="22"/>
          <w:szCs w:val="22"/>
        </w:rPr>
        <w:t>shadowing</w:t>
      </w:r>
      <w:r w:rsidRPr="000C3D67">
        <w:rPr>
          <w:color w:val="000000"/>
          <w:sz w:val="22"/>
          <w:szCs w:val="22"/>
        </w:rPr>
        <w:t>), 1 posjet predavača stručnjaka i 20 učeničkih mobilnosti, uz pratnju 8 učitelja. Na tečajeve će ići učitelji predmetne nastave (teme: STEM područje, digitalne vještine). O radu s darovitim učenicima održat će predavanja i/ili radionice u prostorima naše škole. Učenici će putovati na učeničke mobilnosti u skupinama od 5-7 učenika uz 2 učitelja u pratnji. Posjetit će partnerske škole u Belgiji, Španjolskoj i Italiji. Te partnerske škole (20-ak učenika i 6-8 učitelja u pratnji) ujedno će doći na uzvratni posjet u našu školu u 2. polugodištu nastavne godine. Promatranje rada dogovoreno je s partnerskom školom iz prošle školske godine na koje će ići učiteljice razredne nastave i učiteljica produženog boravka. </w:t>
      </w:r>
    </w:p>
    <w:p w:rsidR="00415AC6" w:rsidP="00415AC6" w14:paraId="5258BB84" w14:textId="05531C44">
      <w:pPr>
        <w:spacing w:line="276" w:lineRule="auto"/>
        <w:jc w:val="both"/>
        <w:rPr>
          <w:sz w:val="22"/>
          <w:szCs w:val="22"/>
        </w:rPr>
      </w:pPr>
      <w:r w:rsidRPr="000C3D67">
        <w:rPr>
          <w:sz w:val="22"/>
          <w:szCs w:val="22"/>
        </w:rPr>
        <w:t>Planirani ukupni rashodi projekta iznosili su 35.214,00 eura. S obzirom da je u srpnju uplaćen prihod za nastavak projekta (II. ciklus) u iznosu od skoro 39.000,00 eura, p</w:t>
      </w:r>
      <w:r w:rsidRPr="000C3D67">
        <w:rPr>
          <w:sz w:val="22"/>
          <w:szCs w:val="22"/>
        </w:rPr>
        <w:t xml:space="preserve">redlažu se ukupni rashodi projekta u iznosu od </w:t>
      </w:r>
      <w:r w:rsidRPr="000C3D67">
        <w:rPr>
          <w:sz w:val="22"/>
          <w:szCs w:val="22"/>
        </w:rPr>
        <w:t>66.100,00</w:t>
      </w:r>
      <w:r w:rsidRPr="000C3D67">
        <w:rPr>
          <w:sz w:val="22"/>
          <w:szCs w:val="22"/>
        </w:rPr>
        <w:t xml:space="preserve"> eura</w:t>
      </w:r>
      <w:r w:rsidRPr="000C3D67">
        <w:rPr>
          <w:sz w:val="22"/>
          <w:szCs w:val="22"/>
        </w:rPr>
        <w:t>.</w:t>
      </w:r>
      <w:r w:rsidRPr="000C3D67">
        <w:rPr>
          <w:sz w:val="22"/>
          <w:szCs w:val="22"/>
        </w:rPr>
        <w:t xml:space="preserve"> Rashodi </w:t>
      </w:r>
      <w:r w:rsidRPr="000C3D67" w:rsidR="001278B0">
        <w:rPr>
          <w:sz w:val="22"/>
          <w:szCs w:val="22"/>
        </w:rPr>
        <w:t>za</w:t>
      </w:r>
      <w:r w:rsidRPr="000C3D67">
        <w:rPr>
          <w:sz w:val="22"/>
          <w:szCs w:val="22"/>
        </w:rPr>
        <w:t xml:space="preserve"> službena putovanja i stručno usavršavanje učitelja </w:t>
      </w:r>
      <w:r w:rsidRPr="000C3D67" w:rsidR="001278B0">
        <w:rPr>
          <w:sz w:val="22"/>
          <w:szCs w:val="22"/>
        </w:rPr>
        <w:t>predlažu se u i</w:t>
      </w:r>
      <w:r w:rsidRPr="000C3D67">
        <w:rPr>
          <w:sz w:val="22"/>
          <w:szCs w:val="22"/>
        </w:rPr>
        <w:t xml:space="preserve">znosu od </w:t>
      </w:r>
      <w:r w:rsidRPr="000C3D67" w:rsidR="001278B0">
        <w:rPr>
          <w:sz w:val="22"/>
          <w:szCs w:val="22"/>
        </w:rPr>
        <w:t>41.1</w:t>
      </w:r>
      <w:r w:rsidRPr="000C3D67">
        <w:rPr>
          <w:sz w:val="22"/>
          <w:szCs w:val="22"/>
        </w:rPr>
        <w:t>00,00 eura</w:t>
      </w:r>
      <w:r w:rsidRPr="000C3D67" w:rsidR="001278B0">
        <w:rPr>
          <w:sz w:val="22"/>
          <w:szCs w:val="22"/>
        </w:rPr>
        <w:t xml:space="preserve">. </w:t>
      </w:r>
      <w:r w:rsidRPr="000C3D67">
        <w:rPr>
          <w:sz w:val="22"/>
          <w:szCs w:val="22"/>
        </w:rPr>
        <w:t xml:space="preserve">Na rashode za mobilnosti učenika (troškovi puta i dnevnica per </w:t>
      </w:r>
      <w:r w:rsidRPr="000C3D67">
        <w:rPr>
          <w:sz w:val="22"/>
          <w:szCs w:val="22"/>
        </w:rPr>
        <w:t>diem</w:t>
      </w:r>
      <w:r w:rsidRPr="000C3D67">
        <w:rPr>
          <w:sz w:val="22"/>
          <w:szCs w:val="22"/>
        </w:rPr>
        <w:t xml:space="preserve">) </w:t>
      </w:r>
      <w:r w:rsidRPr="000C3D67" w:rsidR="001278B0">
        <w:rPr>
          <w:sz w:val="22"/>
          <w:szCs w:val="22"/>
        </w:rPr>
        <w:t xml:space="preserve">predlaže se novi iznos </w:t>
      </w:r>
      <w:r w:rsidRPr="000C3D67">
        <w:rPr>
          <w:sz w:val="22"/>
          <w:szCs w:val="22"/>
        </w:rPr>
        <w:t>od 21.</w:t>
      </w:r>
      <w:r w:rsidRPr="000C3D67" w:rsidR="001278B0">
        <w:rPr>
          <w:sz w:val="22"/>
          <w:szCs w:val="22"/>
        </w:rPr>
        <w:t>5</w:t>
      </w:r>
      <w:r w:rsidRPr="000C3D67">
        <w:rPr>
          <w:sz w:val="22"/>
          <w:szCs w:val="22"/>
        </w:rPr>
        <w:t xml:space="preserve">00,00 eura. Rashodi </w:t>
      </w:r>
      <w:r w:rsidRPr="000C3D67" w:rsidR="001278B0">
        <w:rPr>
          <w:sz w:val="22"/>
          <w:szCs w:val="22"/>
        </w:rPr>
        <w:t>za uredski materijal, usluge i  ostale nespomenute rashode ostaju isti.</w:t>
      </w:r>
      <w:r w:rsidR="001278B0">
        <w:rPr>
          <w:sz w:val="22"/>
          <w:szCs w:val="22"/>
        </w:rPr>
        <w:t xml:space="preserve"> </w:t>
      </w:r>
    </w:p>
    <w:p w:rsidR="00415AC6" w:rsidRPr="00D84560" w:rsidP="00D84560" w14:paraId="3BB58FFC" w14:textId="77777777">
      <w:pPr>
        <w:spacing w:line="276" w:lineRule="auto"/>
        <w:jc w:val="both"/>
        <w:rPr>
          <w:rFonts w:eastAsia="Calibri"/>
          <w:sz w:val="22"/>
          <w:szCs w:val="22"/>
        </w:rPr>
      </w:pPr>
    </w:p>
    <w:p w:rsidR="00710D28" w:rsidP="00D84560" w14:paraId="336F7686" w14:textId="77777777">
      <w:pPr>
        <w:jc w:val="both"/>
        <w:rPr>
          <w:rFonts w:eastAsia="Calibri"/>
          <w:b/>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3843F4C3"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5622C134"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0E5ACF85"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4CD7DCCF"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103ED395"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5547C18F"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3CD98143" w14:textId="77777777">
            <w:pPr>
              <w:rPr>
                <w:b/>
                <w:sz w:val="22"/>
                <w:szCs w:val="22"/>
              </w:rPr>
            </w:pPr>
            <w:r w:rsidRPr="00A64B0F">
              <w:rPr>
                <w:b/>
                <w:sz w:val="22"/>
                <w:szCs w:val="22"/>
              </w:rPr>
              <w:t>Ciljana vrijednost</w:t>
            </w:r>
          </w:p>
          <w:p w:rsidR="00A64B0F" w:rsidRPr="00A64B0F" w:rsidP="00A64B0F" w14:paraId="7F40B9E8"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7128FFED" w14:textId="77777777">
            <w:pPr>
              <w:rPr>
                <w:b/>
                <w:sz w:val="22"/>
                <w:szCs w:val="22"/>
              </w:rPr>
            </w:pPr>
            <w:r w:rsidRPr="00A64B0F">
              <w:rPr>
                <w:b/>
                <w:sz w:val="22"/>
                <w:szCs w:val="22"/>
              </w:rPr>
              <w:t>Ciljana vrijednost</w:t>
            </w:r>
          </w:p>
          <w:p w:rsidR="00A64B0F" w:rsidRPr="00A64B0F" w:rsidP="00A64B0F" w14:paraId="4CEF10AC"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0A5F6DC8" w14:textId="77777777">
            <w:pPr>
              <w:rPr>
                <w:b/>
                <w:sz w:val="22"/>
                <w:szCs w:val="22"/>
              </w:rPr>
            </w:pPr>
            <w:r w:rsidRPr="00A64B0F">
              <w:rPr>
                <w:b/>
                <w:sz w:val="22"/>
                <w:szCs w:val="22"/>
              </w:rPr>
              <w:t>Ciljana vrijednost</w:t>
            </w:r>
          </w:p>
          <w:p w:rsidR="00A64B0F" w:rsidRPr="00A64B0F" w:rsidP="00A64B0F" w14:paraId="0A03363A" w14:textId="77777777">
            <w:pPr>
              <w:rPr>
                <w:b/>
                <w:sz w:val="22"/>
                <w:szCs w:val="22"/>
              </w:rPr>
            </w:pPr>
            <w:r w:rsidRPr="00A64B0F">
              <w:rPr>
                <w:b/>
                <w:sz w:val="22"/>
                <w:szCs w:val="22"/>
              </w:rPr>
              <w:t>(2026.)</w:t>
            </w:r>
          </w:p>
        </w:tc>
      </w:tr>
      <w:tr w14:paraId="73DFBB8F" w14:textId="77777777" w:rsidTr="001F148D">
        <w:tblPrEx>
          <w:tblW w:w="11112" w:type="dxa"/>
          <w:tblLayout w:type="fixed"/>
          <w:tblLook w:val="01E0"/>
        </w:tblPrEx>
        <w:trPr>
          <w:trHeight w:val="513"/>
        </w:trPr>
        <w:tc>
          <w:tcPr>
            <w:tcW w:w="1951" w:type="dxa"/>
          </w:tcPr>
          <w:p w:rsidR="00A64B0F" w:rsidRPr="00A64B0F" w:rsidP="00A64B0F" w14:paraId="22119E54" w14:textId="77777777">
            <w:pPr>
              <w:rPr>
                <w:sz w:val="22"/>
                <w:szCs w:val="22"/>
                <w:lang w:val="pl-PL"/>
              </w:rPr>
            </w:pPr>
            <w:r w:rsidRPr="00A64B0F">
              <w:rPr>
                <w:sz w:val="22"/>
                <w:szCs w:val="22"/>
                <w:lang w:val="pl-PL"/>
              </w:rPr>
              <w:t>Povećanje broja učenika koji su uključeni u provođenje aktivnosti EU projekata</w:t>
            </w:r>
          </w:p>
        </w:tc>
        <w:tc>
          <w:tcPr>
            <w:tcW w:w="2385" w:type="dxa"/>
          </w:tcPr>
          <w:p w:rsidR="00A64B0F" w:rsidRPr="00A64B0F" w:rsidP="00A64B0F" w14:paraId="18F3CCEB" w14:textId="77777777">
            <w:pPr>
              <w:rPr>
                <w:sz w:val="22"/>
                <w:szCs w:val="22"/>
                <w:lang w:val="pl-PL"/>
              </w:rPr>
            </w:pPr>
            <w:r w:rsidRPr="00A64B0F">
              <w:rPr>
                <w:sz w:val="22"/>
                <w:szCs w:val="22"/>
                <w:lang w:val="pl-PL"/>
              </w:rPr>
              <w:t>Cilj škole je uključiti što više učenika u provedbu učeničkih mobilnosti u sklopu EU projekata</w:t>
            </w:r>
          </w:p>
        </w:tc>
        <w:tc>
          <w:tcPr>
            <w:tcW w:w="999" w:type="dxa"/>
            <w:vAlign w:val="center"/>
          </w:tcPr>
          <w:p w:rsidR="00A64B0F" w:rsidRPr="00A64B0F" w:rsidP="00A64B0F" w14:paraId="5C090306" w14:textId="77777777">
            <w:pPr>
              <w:rPr>
                <w:sz w:val="22"/>
                <w:szCs w:val="22"/>
              </w:rPr>
            </w:pPr>
            <w:r w:rsidRPr="00A64B0F">
              <w:rPr>
                <w:sz w:val="22"/>
                <w:szCs w:val="22"/>
              </w:rPr>
              <w:t>broj</w:t>
            </w:r>
          </w:p>
        </w:tc>
        <w:tc>
          <w:tcPr>
            <w:tcW w:w="1170" w:type="dxa"/>
            <w:vAlign w:val="center"/>
          </w:tcPr>
          <w:p w:rsidR="00A64B0F" w:rsidRPr="00A64B0F" w:rsidP="00A64B0F" w14:paraId="60C5EB19" w14:textId="77777777">
            <w:pPr>
              <w:rPr>
                <w:sz w:val="22"/>
                <w:szCs w:val="22"/>
              </w:rPr>
            </w:pPr>
            <w:r w:rsidRPr="00A64B0F">
              <w:rPr>
                <w:sz w:val="22"/>
                <w:szCs w:val="22"/>
              </w:rPr>
              <w:t>0</w:t>
            </w:r>
          </w:p>
        </w:tc>
        <w:tc>
          <w:tcPr>
            <w:tcW w:w="1097" w:type="dxa"/>
            <w:vAlign w:val="center"/>
          </w:tcPr>
          <w:p w:rsidR="00A64B0F" w:rsidRPr="00A64B0F" w:rsidP="00A64B0F" w14:paraId="23D909D5" w14:textId="77777777">
            <w:pPr>
              <w:rPr>
                <w:sz w:val="22"/>
                <w:szCs w:val="22"/>
              </w:rPr>
            </w:pPr>
            <w:r w:rsidRPr="00A64B0F">
              <w:rPr>
                <w:sz w:val="22"/>
                <w:szCs w:val="22"/>
              </w:rPr>
              <w:t>škola</w:t>
            </w:r>
          </w:p>
        </w:tc>
        <w:tc>
          <w:tcPr>
            <w:tcW w:w="1170" w:type="dxa"/>
            <w:vAlign w:val="center"/>
          </w:tcPr>
          <w:p w:rsidR="00A64B0F" w:rsidRPr="00A64B0F" w:rsidP="00A64B0F" w14:paraId="585AEB7F" w14:textId="77777777">
            <w:pPr>
              <w:rPr>
                <w:sz w:val="22"/>
                <w:szCs w:val="22"/>
              </w:rPr>
            </w:pPr>
            <w:r w:rsidRPr="00A64B0F">
              <w:rPr>
                <w:sz w:val="22"/>
                <w:szCs w:val="22"/>
              </w:rPr>
              <w:t>15</w:t>
            </w:r>
          </w:p>
        </w:tc>
        <w:tc>
          <w:tcPr>
            <w:tcW w:w="1170" w:type="dxa"/>
            <w:vAlign w:val="center"/>
          </w:tcPr>
          <w:p w:rsidR="00A64B0F" w:rsidRPr="00A64B0F" w:rsidP="00A64B0F" w14:paraId="33094D0A" w14:textId="77777777">
            <w:pPr>
              <w:rPr>
                <w:sz w:val="22"/>
                <w:szCs w:val="22"/>
              </w:rPr>
            </w:pPr>
            <w:r w:rsidRPr="00A64B0F">
              <w:rPr>
                <w:sz w:val="22"/>
                <w:szCs w:val="22"/>
              </w:rPr>
              <w:t>15</w:t>
            </w:r>
          </w:p>
        </w:tc>
        <w:tc>
          <w:tcPr>
            <w:tcW w:w="1170" w:type="dxa"/>
            <w:vAlign w:val="center"/>
          </w:tcPr>
          <w:p w:rsidR="00A64B0F" w:rsidRPr="00A64B0F" w:rsidP="00A64B0F" w14:paraId="06DD53AD" w14:textId="77777777">
            <w:pPr>
              <w:rPr>
                <w:sz w:val="22"/>
                <w:szCs w:val="22"/>
              </w:rPr>
            </w:pPr>
            <w:r w:rsidRPr="00A64B0F">
              <w:rPr>
                <w:sz w:val="22"/>
                <w:szCs w:val="22"/>
              </w:rPr>
              <w:t>20</w:t>
            </w:r>
          </w:p>
        </w:tc>
      </w:tr>
      <w:tr w14:paraId="75A22B83" w14:textId="77777777" w:rsidTr="001F148D">
        <w:tblPrEx>
          <w:tblW w:w="11112" w:type="dxa"/>
          <w:tblLayout w:type="fixed"/>
          <w:tblLook w:val="01E0"/>
        </w:tblPrEx>
        <w:trPr>
          <w:trHeight w:val="470"/>
        </w:trPr>
        <w:tc>
          <w:tcPr>
            <w:tcW w:w="1951" w:type="dxa"/>
            <w:shd w:val="clear" w:color="auto" w:fill="99CCFF"/>
            <w:vAlign w:val="center"/>
          </w:tcPr>
          <w:p w:rsidR="00A64B0F" w:rsidRPr="00A64B0F" w:rsidP="00A64B0F" w14:paraId="692B4120"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3B6E6349"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14E3A843"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7CBAC36A"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23E7B8BD"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0BA6EEA0" w14:textId="77777777">
            <w:pPr>
              <w:rPr>
                <w:b/>
                <w:sz w:val="22"/>
                <w:szCs w:val="22"/>
              </w:rPr>
            </w:pPr>
            <w:r w:rsidRPr="00A64B0F">
              <w:rPr>
                <w:b/>
                <w:sz w:val="22"/>
                <w:szCs w:val="22"/>
              </w:rPr>
              <w:t>Ciljana vrijednost</w:t>
            </w:r>
          </w:p>
          <w:p w:rsidR="00A64B0F" w:rsidRPr="00A64B0F" w:rsidP="00A64B0F" w14:paraId="1E1D19F0"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5D78CD4C" w14:textId="77777777">
            <w:pPr>
              <w:rPr>
                <w:b/>
                <w:sz w:val="22"/>
                <w:szCs w:val="22"/>
              </w:rPr>
            </w:pPr>
            <w:r w:rsidRPr="00A64B0F">
              <w:rPr>
                <w:b/>
                <w:sz w:val="22"/>
                <w:szCs w:val="22"/>
              </w:rPr>
              <w:t>Ciljana vrijednost</w:t>
            </w:r>
          </w:p>
          <w:p w:rsidR="00A64B0F" w:rsidRPr="00A64B0F" w:rsidP="00A64B0F" w14:paraId="7E68D6E4"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1708D374" w14:textId="77777777">
            <w:pPr>
              <w:rPr>
                <w:b/>
                <w:sz w:val="22"/>
                <w:szCs w:val="22"/>
              </w:rPr>
            </w:pPr>
            <w:r w:rsidRPr="00A64B0F">
              <w:rPr>
                <w:b/>
                <w:sz w:val="22"/>
                <w:szCs w:val="22"/>
              </w:rPr>
              <w:t>Ciljana vrijednost</w:t>
            </w:r>
          </w:p>
          <w:p w:rsidR="00A64B0F" w:rsidRPr="00A64B0F" w:rsidP="00A64B0F" w14:paraId="48A4CEE6" w14:textId="77777777">
            <w:pPr>
              <w:rPr>
                <w:b/>
                <w:sz w:val="22"/>
                <w:szCs w:val="22"/>
              </w:rPr>
            </w:pPr>
            <w:r w:rsidRPr="00A64B0F">
              <w:rPr>
                <w:b/>
                <w:sz w:val="22"/>
                <w:szCs w:val="22"/>
              </w:rPr>
              <w:t>(2026.)</w:t>
            </w:r>
          </w:p>
        </w:tc>
      </w:tr>
      <w:tr w14:paraId="1F0F2411" w14:textId="77777777" w:rsidTr="001F148D">
        <w:tblPrEx>
          <w:tblW w:w="11112" w:type="dxa"/>
          <w:tblLayout w:type="fixed"/>
          <w:tblLook w:val="01E0"/>
        </w:tblPrEx>
        <w:trPr>
          <w:trHeight w:val="513"/>
        </w:trPr>
        <w:tc>
          <w:tcPr>
            <w:tcW w:w="1951" w:type="dxa"/>
          </w:tcPr>
          <w:p w:rsidR="00A64B0F" w:rsidRPr="00A64B0F" w:rsidP="00A64B0F" w14:paraId="696C3840" w14:textId="77777777">
            <w:pPr>
              <w:rPr>
                <w:sz w:val="22"/>
                <w:szCs w:val="22"/>
                <w:lang w:val="pl-PL"/>
              </w:rPr>
            </w:pPr>
            <w:r w:rsidRPr="00A64B0F">
              <w:rPr>
                <w:sz w:val="22"/>
                <w:szCs w:val="22"/>
                <w:lang w:val="pl-PL"/>
              </w:rPr>
              <w:t>Povećanje broja  učitelja i stručnih suradnika koji su uključeni u provođenje EU projekata</w:t>
            </w:r>
          </w:p>
        </w:tc>
        <w:tc>
          <w:tcPr>
            <w:tcW w:w="2385" w:type="dxa"/>
          </w:tcPr>
          <w:p w:rsidR="00A64B0F" w:rsidRPr="00A64B0F" w:rsidP="00A64B0F" w14:paraId="77B6CC3C" w14:textId="77777777">
            <w:pPr>
              <w:rPr>
                <w:sz w:val="22"/>
                <w:szCs w:val="22"/>
                <w:lang w:val="pl-PL"/>
              </w:rPr>
            </w:pPr>
            <w:r w:rsidRPr="00A64B0F">
              <w:rPr>
                <w:sz w:val="22"/>
                <w:szCs w:val="22"/>
                <w:lang w:val="pl-PL"/>
              </w:rPr>
              <w:t>Učitelje se potiće na stručno usavršavanje  i stjecanje novih znanja i kompetencija putem EU projekata</w:t>
            </w:r>
          </w:p>
        </w:tc>
        <w:tc>
          <w:tcPr>
            <w:tcW w:w="999" w:type="dxa"/>
            <w:vAlign w:val="center"/>
          </w:tcPr>
          <w:p w:rsidR="00A64B0F" w:rsidRPr="00A64B0F" w:rsidP="00A64B0F" w14:paraId="3AC60399" w14:textId="77777777">
            <w:pPr>
              <w:rPr>
                <w:sz w:val="22"/>
                <w:szCs w:val="22"/>
              </w:rPr>
            </w:pPr>
            <w:r w:rsidRPr="00A64B0F">
              <w:rPr>
                <w:sz w:val="22"/>
                <w:szCs w:val="22"/>
              </w:rPr>
              <w:t>broj</w:t>
            </w:r>
          </w:p>
        </w:tc>
        <w:tc>
          <w:tcPr>
            <w:tcW w:w="1170" w:type="dxa"/>
            <w:vAlign w:val="center"/>
          </w:tcPr>
          <w:p w:rsidR="00A64B0F" w:rsidRPr="00A64B0F" w:rsidP="00A64B0F" w14:paraId="5984CA57" w14:textId="77777777">
            <w:pPr>
              <w:rPr>
                <w:sz w:val="22"/>
                <w:szCs w:val="22"/>
              </w:rPr>
            </w:pPr>
            <w:r w:rsidRPr="00A64B0F">
              <w:rPr>
                <w:sz w:val="22"/>
                <w:szCs w:val="22"/>
              </w:rPr>
              <w:t>3</w:t>
            </w:r>
          </w:p>
        </w:tc>
        <w:tc>
          <w:tcPr>
            <w:tcW w:w="1097" w:type="dxa"/>
            <w:vAlign w:val="center"/>
          </w:tcPr>
          <w:p w:rsidR="00A64B0F" w:rsidRPr="00A64B0F" w:rsidP="00A64B0F" w14:paraId="56534991" w14:textId="77777777">
            <w:pPr>
              <w:rPr>
                <w:sz w:val="22"/>
                <w:szCs w:val="22"/>
              </w:rPr>
            </w:pPr>
            <w:r w:rsidRPr="00A64B0F">
              <w:rPr>
                <w:sz w:val="22"/>
                <w:szCs w:val="22"/>
              </w:rPr>
              <w:t>škola</w:t>
            </w:r>
          </w:p>
        </w:tc>
        <w:tc>
          <w:tcPr>
            <w:tcW w:w="1170" w:type="dxa"/>
            <w:vAlign w:val="center"/>
          </w:tcPr>
          <w:p w:rsidR="00A64B0F" w:rsidRPr="00A64B0F" w:rsidP="00A64B0F" w14:paraId="543A10F9" w14:textId="77777777">
            <w:pPr>
              <w:rPr>
                <w:sz w:val="22"/>
                <w:szCs w:val="22"/>
              </w:rPr>
            </w:pPr>
            <w:r w:rsidRPr="00A64B0F">
              <w:rPr>
                <w:sz w:val="22"/>
                <w:szCs w:val="22"/>
              </w:rPr>
              <w:t>6</w:t>
            </w:r>
          </w:p>
        </w:tc>
        <w:tc>
          <w:tcPr>
            <w:tcW w:w="1170" w:type="dxa"/>
            <w:vAlign w:val="center"/>
          </w:tcPr>
          <w:p w:rsidR="00A64B0F" w:rsidRPr="00A64B0F" w:rsidP="00A64B0F" w14:paraId="52A9FD5E" w14:textId="77777777">
            <w:pPr>
              <w:rPr>
                <w:sz w:val="22"/>
                <w:szCs w:val="22"/>
              </w:rPr>
            </w:pPr>
            <w:r w:rsidRPr="00A64B0F">
              <w:rPr>
                <w:sz w:val="22"/>
                <w:szCs w:val="22"/>
              </w:rPr>
              <w:t>6</w:t>
            </w:r>
          </w:p>
        </w:tc>
        <w:tc>
          <w:tcPr>
            <w:tcW w:w="1170" w:type="dxa"/>
            <w:vAlign w:val="center"/>
          </w:tcPr>
          <w:p w:rsidR="00A64B0F" w:rsidRPr="00A64B0F" w:rsidP="00A64B0F" w14:paraId="5E69E1FA" w14:textId="77777777">
            <w:pPr>
              <w:rPr>
                <w:sz w:val="22"/>
                <w:szCs w:val="22"/>
              </w:rPr>
            </w:pPr>
            <w:r w:rsidRPr="00A64B0F">
              <w:rPr>
                <w:sz w:val="22"/>
                <w:szCs w:val="22"/>
              </w:rPr>
              <w:t>8</w:t>
            </w:r>
          </w:p>
        </w:tc>
      </w:tr>
    </w:tbl>
    <w:p w:rsidR="00A64B0F" w:rsidP="00D84560" w14:paraId="22E75766" w14:textId="77777777">
      <w:pPr>
        <w:jc w:val="both"/>
        <w:rPr>
          <w:rFonts w:eastAsia="Calibri"/>
          <w:b/>
          <w:sz w:val="22"/>
          <w:szCs w:val="22"/>
        </w:rPr>
      </w:pPr>
    </w:p>
    <w:p w:rsidR="007C373E" w:rsidP="00D84560" w14:paraId="4D61A862" w14:textId="77777777">
      <w:pPr>
        <w:jc w:val="both"/>
        <w:rPr>
          <w:rFonts w:eastAsia="Calibri"/>
          <w:b/>
          <w:sz w:val="22"/>
          <w:szCs w:val="22"/>
          <w:highlight w:val="yellow"/>
        </w:rPr>
      </w:pPr>
    </w:p>
    <w:p w:rsidR="007C373E" w:rsidP="00D84560" w14:paraId="36859C88" w14:textId="77777777">
      <w:pPr>
        <w:jc w:val="both"/>
        <w:rPr>
          <w:rFonts w:eastAsia="Calibri"/>
          <w:b/>
          <w:sz w:val="22"/>
          <w:szCs w:val="22"/>
          <w:highlight w:val="yellow"/>
        </w:rPr>
      </w:pPr>
    </w:p>
    <w:p w:rsidR="00D84560" w:rsidRPr="000C3D67" w:rsidP="00D84560" w14:paraId="2010B8E0" w14:textId="77777777">
      <w:pPr>
        <w:jc w:val="both"/>
        <w:rPr>
          <w:rFonts w:eastAsia="Calibri"/>
          <w:b/>
          <w:sz w:val="22"/>
          <w:szCs w:val="22"/>
        </w:rPr>
      </w:pPr>
      <w:r w:rsidRPr="000C3D67">
        <w:rPr>
          <w:rFonts w:eastAsia="Calibri"/>
          <w:b/>
          <w:sz w:val="22"/>
          <w:szCs w:val="22"/>
        </w:rPr>
        <w:t>AKTIVNOST : A300356   ODJEK VI 2023./2024.</w:t>
      </w:r>
    </w:p>
    <w:p w:rsidR="00D84560" w:rsidRPr="000C3D67" w:rsidP="00D84560" w14:paraId="3C913487" w14:textId="77777777">
      <w:pPr>
        <w:jc w:val="both"/>
        <w:rPr>
          <w:rFonts w:eastAsia="Calibri"/>
          <w:b/>
          <w:sz w:val="22"/>
          <w:szCs w:val="22"/>
        </w:rPr>
      </w:pPr>
    </w:p>
    <w:p w:rsidR="00D84560" w:rsidP="00D84560" w14:paraId="29990000" w14:textId="0E31A97B">
      <w:pPr>
        <w:jc w:val="both"/>
        <w:rPr>
          <w:rFonts w:eastAsia="Calibri"/>
          <w:sz w:val="22"/>
          <w:szCs w:val="22"/>
        </w:rPr>
      </w:pPr>
      <w:r w:rsidRPr="000C3D67">
        <w:rPr>
          <w:rFonts w:eastAsia="Calibri"/>
          <w:sz w:val="22"/>
          <w:szCs w:val="22"/>
        </w:rPr>
        <w:t xml:space="preserve">U 2024. godini planirana su </w:t>
      </w:r>
      <w:r w:rsidRPr="000C3D67">
        <w:rPr>
          <w:rFonts w:eastAsia="Calibri"/>
          <w:sz w:val="22"/>
          <w:szCs w:val="22"/>
        </w:rPr>
        <w:t>sredstva za nastavak projekta „Odrastanje u jednakosti, Koprivnica, ODJEK VI“  za školsku godinu 2023./2024. odnosno za razdoblje od 01.01. do 30.06.2024. godine. Ukupno planirana sredstva za provedbu projekta iznose 3</w:t>
      </w:r>
      <w:r w:rsidRPr="000C3D67" w:rsidR="007C0725">
        <w:rPr>
          <w:rFonts w:eastAsia="Calibri"/>
          <w:sz w:val="22"/>
          <w:szCs w:val="22"/>
        </w:rPr>
        <w:t>3</w:t>
      </w:r>
      <w:r w:rsidRPr="000C3D67">
        <w:rPr>
          <w:rFonts w:eastAsia="Calibri"/>
          <w:sz w:val="22"/>
          <w:szCs w:val="22"/>
        </w:rPr>
        <w:t>.</w:t>
      </w:r>
      <w:r w:rsidRPr="000C3D67" w:rsidR="007C0725">
        <w:rPr>
          <w:rFonts w:eastAsia="Calibri"/>
          <w:sz w:val="22"/>
          <w:szCs w:val="22"/>
        </w:rPr>
        <w:t>290</w:t>
      </w:r>
      <w:r w:rsidRPr="000C3D67">
        <w:rPr>
          <w:rFonts w:eastAsia="Calibri"/>
          <w:sz w:val="22"/>
          <w:szCs w:val="22"/>
        </w:rPr>
        <w:t xml:space="preserve">,00 eura a odnose se na plaće i pripadajuće doprinose, službena putovanja, naknade za prijevoz i ostale rashode za zaposlene (naknadu za topli obrok, regres za godišnji odmor i ostalo). </w:t>
      </w:r>
      <w:r w:rsidRPr="000C3D67" w:rsidR="007C0725">
        <w:rPr>
          <w:rFonts w:eastAsia="Calibri"/>
          <w:sz w:val="22"/>
          <w:szCs w:val="22"/>
        </w:rPr>
        <w:t>S obzirom da je projekt završio 30.06., predlaže se smanjenje ukupnih rashoda za 215,00 eura u skladu sa stvarnom realizacijom rashoda. Rashodi z</w:t>
      </w:r>
      <w:r w:rsidRPr="000C3D67" w:rsidR="00380877">
        <w:rPr>
          <w:rFonts w:eastAsia="Calibri"/>
          <w:sz w:val="22"/>
          <w:szCs w:val="22"/>
        </w:rPr>
        <w:t>a plaće i doprinose  manji su za 204,00 eura,</w:t>
      </w:r>
      <w:r w:rsidRPr="000C3D67" w:rsidR="007C0725">
        <w:rPr>
          <w:rFonts w:eastAsia="Calibri"/>
          <w:sz w:val="22"/>
          <w:szCs w:val="22"/>
        </w:rPr>
        <w:t xml:space="preserve"> </w:t>
      </w:r>
      <w:r w:rsidRPr="000C3D67" w:rsidR="00380877">
        <w:rPr>
          <w:rFonts w:eastAsia="Calibri"/>
          <w:sz w:val="22"/>
          <w:szCs w:val="22"/>
        </w:rPr>
        <w:t>a za službena putovanja i prijevoz na posao za 11,00 eura u odnosu na planirane.</w:t>
      </w:r>
      <w:r w:rsidR="00380877">
        <w:rPr>
          <w:rFonts w:eastAsia="Calibri"/>
          <w:sz w:val="22"/>
          <w:szCs w:val="22"/>
        </w:rPr>
        <w:t xml:space="preserve">  </w:t>
      </w:r>
    </w:p>
    <w:p w:rsidR="00A64B0F" w:rsidP="00D84560" w14:paraId="6DA1DB7C" w14:textId="77777777">
      <w:pPr>
        <w:jc w:val="both"/>
        <w:rPr>
          <w:rFonts w:eastAsia="Calibri"/>
          <w:sz w:val="22"/>
          <w:szCs w:val="22"/>
        </w:rPr>
      </w:pPr>
    </w:p>
    <w:p w:rsidR="00A64B0F" w:rsidP="00D84560" w14:paraId="756E1BEE" w14:textId="77777777">
      <w:pPr>
        <w:jc w:val="both"/>
        <w:rPr>
          <w:rFonts w:eastAsia="Calibri"/>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361A6FCF"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1C326B48"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554A5956"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20520A37"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065EAEE2"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7967D1D7"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1EEA18B9" w14:textId="77777777">
            <w:pPr>
              <w:rPr>
                <w:b/>
                <w:sz w:val="22"/>
                <w:szCs w:val="22"/>
              </w:rPr>
            </w:pPr>
            <w:r w:rsidRPr="00A64B0F">
              <w:rPr>
                <w:b/>
                <w:sz w:val="22"/>
                <w:szCs w:val="22"/>
              </w:rPr>
              <w:t>Ciljana vrijednost</w:t>
            </w:r>
          </w:p>
          <w:p w:rsidR="00A64B0F" w:rsidRPr="00A64B0F" w:rsidP="00A64B0F" w14:paraId="15C32F2D"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7BF58D23" w14:textId="77777777">
            <w:pPr>
              <w:rPr>
                <w:b/>
                <w:sz w:val="22"/>
                <w:szCs w:val="22"/>
              </w:rPr>
            </w:pPr>
            <w:r w:rsidRPr="00A64B0F">
              <w:rPr>
                <w:b/>
                <w:sz w:val="22"/>
                <w:szCs w:val="22"/>
              </w:rPr>
              <w:t>Ciljana vrijednost</w:t>
            </w:r>
          </w:p>
          <w:p w:rsidR="00A64B0F" w:rsidRPr="00A64B0F" w:rsidP="00A64B0F" w14:paraId="163475F9"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759E877A" w14:textId="77777777">
            <w:pPr>
              <w:rPr>
                <w:b/>
                <w:sz w:val="22"/>
                <w:szCs w:val="22"/>
              </w:rPr>
            </w:pPr>
            <w:r w:rsidRPr="00A64B0F">
              <w:rPr>
                <w:b/>
                <w:sz w:val="22"/>
                <w:szCs w:val="22"/>
              </w:rPr>
              <w:t>Ciljana vrijednost</w:t>
            </w:r>
          </w:p>
          <w:p w:rsidR="00A64B0F" w:rsidRPr="00A64B0F" w:rsidP="00A64B0F" w14:paraId="5DC05219" w14:textId="77777777">
            <w:pPr>
              <w:rPr>
                <w:b/>
                <w:sz w:val="22"/>
                <w:szCs w:val="22"/>
              </w:rPr>
            </w:pPr>
            <w:r w:rsidRPr="00A64B0F">
              <w:rPr>
                <w:b/>
                <w:sz w:val="22"/>
                <w:szCs w:val="22"/>
              </w:rPr>
              <w:t>(2026.)</w:t>
            </w:r>
          </w:p>
        </w:tc>
      </w:tr>
      <w:tr w14:paraId="588E23AE" w14:textId="77777777" w:rsidTr="001F148D">
        <w:tblPrEx>
          <w:tblW w:w="11112" w:type="dxa"/>
          <w:tblLayout w:type="fixed"/>
          <w:tblLook w:val="01E0"/>
        </w:tblPrEx>
        <w:trPr>
          <w:trHeight w:val="513"/>
        </w:trPr>
        <w:tc>
          <w:tcPr>
            <w:tcW w:w="1951" w:type="dxa"/>
          </w:tcPr>
          <w:p w:rsidR="00A64B0F" w:rsidRPr="00A64B0F" w:rsidP="00A64B0F" w14:paraId="2F40332A" w14:textId="77777777">
            <w:pPr>
              <w:rPr>
                <w:sz w:val="22"/>
                <w:szCs w:val="22"/>
                <w:lang w:val="pl-PL"/>
              </w:rPr>
            </w:pPr>
            <w:r w:rsidRPr="00A64B0F">
              <w:rPr>
                <w:sz w:val="22"/>
                <w:szCs w:val="22"/>
                <w:lang w:val="pl-PL"/>
              </w:rPr>
              <w:t xml:space="preserve">Zapošljavanje  pomoćnika u nastavi kao pomoć učenicima s teškoćama u razvoju </w:t>
            </w:r>
          </w:p>
        </w:tc>
        <w:tc>
          <w:tcPr>
            <w:tcW w:w="2385" w:type="dxa"/>
          </w:tcPr>
          <w:p w:rsidR="00A64B0F" w:rsidRPr="00A64B0F" w:rsidP="00A64B0F" w14:paraId="4CF7995D" w14:textId="77777777">
            <w:pPr>
              <w:rPr>
                <w:sz w:val="22"/>
                <w:szCs w:val="22"/>
                <w:lang w:val="pl-PL"/>
              </w:rPr>
            </w:pPr>
            <w:r w:rsidRPr="00A64B0F">
              <w:rPr>
                <w:rFonts w:eastAsia="Calibri"/>
                <w:color w:val="000000"/>
                <w:sz w:val="22"/>
                <w:szCs w:val="22"/>
              </w:rPr>
              <w:t>Osiguravanje dovoljnog broja pomoćnika u nastavi za učenike sukladno njihovim individualnim potrebama i funkcionalnim sposobnostima </w:t>
            </w:r>
          </w:p>
        </w:tc>
        <w:tc>
          <w:tcPr>
            <w:tcW w:w="999" w:type="dxa"/>
            <w:vAlign w:val="center"/>
          </w:tcPr>
          <w:p w:rsidR="00A64B0F" w:rsidRPr="00A64B0F" w:rsidP="00A64B0F" w14:paraId="51C36D16" w14:textId="77777777">
            <w:pPr>
              <w:rPr>
                <w:sz w:val="22"/>
                <w:szCs w:val="22"/>
              </w:rPr>
            </w:pPr>
            <w:r w:rsidRPr="00A64B0F">
              <w:rPr>
                <w:sz w:val="22"/>
                <w:szCs w:val="22"/>
              </w:rPr>
              <w:t>broj</w:t>
            </w:r>
          </w:p>
        </w:tc>
        <w:tc>
          <w:tcPr>
            <w:tcW w:w="1170" w:type="dxa"/>
            <w:vAlign w:val="center"/>
          </w:tcPr>
          <w:p w:rsidR="00A64B0F" w:rsidRPr="00A64B0F" w:rsidP="00A64B0F" w14:paraId="513CB8D6" w14:textId="77777777">
            <w:pPr>
              <w:rPr>
                <w:sz w:val="22"/>
                <w:szCs w:val="22"/>
              </w:rPr>
            </w:pPr>
            <w:r w:rsidRPr="00A64B0F">
              <w:rPr>
                <w:sz w:val="22"/>
                <w:szCs w:val="22"/>
              </w:rPr>
              <w:t>6</w:t>
            </w:r>
          </w:p>
        </w:tc>
        <w:tc>
          <w:tcPr>
            <w:tcW w:w="1097" w:type="dxa"/>
            <w:vAlign w:val="center"/>
          </w:tcPr>
          <w:p w:rsidR="00A64B0F" w:rsidRPr="00A64B0F" w:rsidP="00A64B0F" w14:paraId="218BCD66" w14:textId="77777777">
            <w:pPr>
              <w:rPr>
                <w:sz w:val="22"/>
                <w:szCs w:val="22"/>
              </w:rPr>
            </w:pPr>
            <w:r w:rsidRPr="00A64B0F">
              <w:rPr>
                <w:sz w:val="22"/>
                <w:szCs w:val="22"/>
              </w:rPr>
              <w:t>škola</w:t>
            </w:r>
          </w:p>
        </w:tc>
        <w:tc>
          <w:tcPr>
            <w:tcW w:w="1170" w:type="dxa"/>
            <w:vAlign w:val="center"/>
          </w:tcPr>
          <w:p w:rsidR="00A64B0F" w:rsidRPr="00A64B0F" w:rsidP="00A64B0F" w14:paraId="0B538BDD" w14:textId="77777777">
            <w:pPr>
              <w:rPr>
                <w:sz w:val="22"/>
                <w:szCs w:val="22"/>
              </w:rPr>
            </w:pPr>
            <w:r w:rsidRPr="00A64B0F">
              <w:rPr>
                <w:sz w:val="22"/>
                <w:szCs w:val="22"/>
              </w:rPr>
              <w:t>6</w:t>
            </w:r>
          </w:p>
        </w:tc>
        <w:tc>
          <w:tcPr>
            <w:tcW w:w="1170" w:type="dxa"/>
            <w:vAlign w:val="center"/>
          </w:tcPr>
          <w:p w:rsidR="00A64B0F" w:rsidRPr="00A64B0F" w:rsidP="00A64B0F" w14:paraId="1F294D8B" w14:textId="77777777">
            <w:pPr>
              <w:rPr>
                <w:sz w:val="22"/>
                <w:szCs w:val="22"/>
              </w:rPr>
            </w:pPr>
            <w:r w:rsidRPr="00A64B0F">
              <w:rPr>
                <w:sz w:val="22"/>
                <w:szCs w:val="22"/>
              </w:rPr>
              <w:t xml:space="preserve">0 </w:t>
            </w:r>
            <w:r w:rsidRPr="00A64B0F">
              <w:rPr>
                <w:sz w:val="16"/>
                <w:szCs w:val="16"/>
              </w:rPr>
              <w:t>(završetak projekta 30.06.2024.)</w:t>
            </w:r>
          </w:p>
        </w:tc>
        <w:tc>
          <w:tcPr>
            <w:tcW w:w="1170" w:type="dxa"/>
            <w:vAlign w:val="center"/>
          </w:tcPr>
          <w:p w:rsidR="00A64B0F" w:rsidRPr="00A64B0F" w:rsidP="00A64B0F" w14:paraId="0E908013" w14:textId="77777777">
            <w:pPr>
              <w:rPr>
                <w:sz w:val="22"/>
                <w:szCs w:val="22"/>
              </w:rPr>
            </w:pPr>
            <w:r w:rsidRPr="00A64B0F">
              <w:rPr>
                <w:sz w:val="22"/>
                <w:szCs w:val="22"/>
              </w:rPr>
              <w:t xml:space="preserve">0 </w:t>
            </w:r>
            <w:r w:rsidRPr="00A64B0F">
              <w:rPr>
                <w:sz w:val="16"/>
                <w:szCs w:val="16"/>
              </w:rPr>
              <w:t>(završetak projekta 30.06.2024.)</w:t>
            </w:r>
          </w:p>
        </w:tc>
      </w:tr>
    </w:tbl>
    <w:p w:rsidR="00FC235E" w:rsidP="00D84560" w14:paraId="791BB414" w14:textId="77777777">
      <w:pPr>
        <w:rPr>
          <w:rFonts w:eastAsia="Calibri"/>
          <w:b/>
          <w:sz w:val="22"/>
          <w:szCs w:val="22"/>
          <w:u w:val="single"/>
        </w:rPr>
      </w:pPr>
    </w:p>
    <w:p w:rsidR="00FC235E" w:rsidP="00D84560" w14:paraId="36D86A83" w14:textId="77777777">
      <w:pPr>
        <w:rPr>
          <w:rFonts w:eastAsia="Calibri"/>
          <w:b/>
          <w:sz w:val="22"/>
          <w:szCs w:val="22"/>
          <w:u w:val="single"/>
        </w:rPr>
      </w:pPr>
    </w:p>
    <w:p w:rsidR="00D84560" w:rsidRPr="000C3D67" w:rsidP="00D84560" w14:paraId="5FFBAEB0" w14:textId="77777777">
      <w:pPr>
        <w:rPr>
          <w:rFonts w:eastAsia="Calibri"/>
          <w:b/>
          <w:sz w:val="22"/>
          <w:szCs w:val="22"/>
        </w:rPr>
      </w:pPr>
      <w:r w:rsidRPr="000C3D67">
        <w:rPr>
          <w:rFonts w:eastAsia="Calibri"/>
          <w:b/>
          <w:sz w:val="22"/>
          <w:szCs w:val="22"/>
        </w:rPr>
        <w:t>AKTIVNOST : A300359   ODJEK VII  – šk. god. 2024./2025.</w:t>
      </w:r>
    </w:p>
    <w:p w:rsidR="00D84560" w:rsidRPr="000C3D67" w:rsidP="00D84560" w14:paraId="55698607" w14:textId="77777777">
      <w:pPr>
        <w:rPr>
          <w:rFonts w:eastAsia="Calibri"/>
          <w:b/>
          <w:sz w:val="22"/>
          <w:szCs w:val="22"/>
        </w:rPr>
      </w:pPr>
    </w:p>
    <w:p w:rsidR="00A64B0F" w:rsidP="00D84560" w14:paraId="754D14A5" w14:textId="28287316">
      <w:pPr>
        <w:jc w:val="both"/>
        <w:rPr>
          <w:rFonts w:eastAsia="Calibri"/>
          <w:sz w:val="22"/>
          <w:szCs w:val="22"/>
        </w:rPr>
      </w:pPr>
      <w:r w:rsidRPr="000C3D67">
        <w:rPr>
          <w:rFonts w:eastAsia="Calibri"/>
          <w:sz w:val="22"/>
          <w:szCs w:val="22"/>
        </w:rPr>
        <w:t>ODJEK VII</w:t>
      </w:r>
      <w:r w:rsidR="008C74E5">
        <w:rPr>
          <w:rFonts w:eastAsia="Calibri"/>
          <w:sz w:val="22"/>
          <w:szCs w:val="22"/>
        </w:rPr>
        <w:t>.</w:t>
      </w:r>
      <w:r w:rsidRPr="000C3D67">
        <w:rPr>
          <w:rFonts w:eastAsia="Calibri"/>
          <w:sz w:val="22"/>
          <w:szCs w:val="22"/>
        </w:rPr>
        <w:t xml:space="preserve"> je nastavak projekta ODJEK VI te se u ovoj aktivnosti planiraju sredstva za školsku godinu 2024./2025. Ukupni planirani rashodi projekta za 2024. godinu (razdoblje 1.9.2024.-31.12.2024.) iznos</w:t>
      </w:r>
      <w:r w:rsidRPr="000C3D67" w:rsidR="008126FF">
        <w:rPr>
          <w:rFonts w:eastAsia="Calibri"/>
          <w:sz w:val="22"/>
          <w:szCs w:val="22"/>
        </w:rPr>
        <w:t>ili su</w:t>
      </w:r>
      <w:r w:rsidRPr="000C3D67">
        <w:rPr>
          <w:rFonts w:eastAsia="Calibri"/>
          <w:sz w:val="22"/>
          <w:szCs w:val="22"/>
        </w:rPr>
        <w:t xml:space="preserve"> </w:t>
      </w:r>
      <w:r w:rsidRPr="000C3D67" w:rsidR="00380877">
        <w:rPr>
          <w:rFonts w:eastAsia="Calibri"/>
          <w:sz w:val="22"/>
          <w:szCs w:val="22"/>
        </w:rPr>
        <w:t>3</w:t>
      </w:r>
      <w:r w:rsidRPr="000C3D67">
        <w:rPr>
          <w:rFonts w:eastAsia="Calibri"/>
          <w:sz w:val="22"/>
          <w:szCs w:val="22"/>
        </w:rPr>
        <w:t>1.000,00 eura</w:t>
      </w:r>
      <w:r w:rsidR="008C74E5">
        <w:rPr>
          <w:rFonts w:eastAsia="Calibri"/>
          <w:sz w:val="22"/>
          <w:szCs w:val="22"/>
        </w:rPr>
        <w:t>,</w:t>
      </w:r>
      <w:r w:rsidRPr="000C3D67">
        <w:rPr>
          <w:rFonts w:eastAsia="Calibri"/>
          <w:sz w:val="22"/>
          <w:szCs w:val="22"/>
        </w:rPr>
        <w:t xml:space="preserve"> a </w:t>
      </w:r>
      <w:r w:rsidRPr="000C3D67" w:rsidR="00FF19A8">
        <w:rPr>
          <w:rFonts w:eastAsia="Calibri"/>
          <w:sz w:val="22"/>
          <w:szCs w:val="22"/>
        </w:rPr>
        <w:t>p</w:t>
      </w:r>
      <w:r w:rsidRPr="000C3D67">
        <w:rPr>
          <w:rFonts w:eastAsia="Calibri"/>
          <w:sz w:val="22"/>
          <w:szCs w:val="22"/>
        </w:rPr>
        <w:t xml:space="preserve">lanirana sredstva odnose se na plaće i pripadajuće doprinose, službena putovanja, naknade za prijevoz i ostale rashode za zaposlene (naknadu za topli obrok, božićnicu, regres za godišnji odmor i ostalo) za </w:t>
      </w:r>
      <w:r w:rsidRPr="000C3D67" w:rsidR="00380877">
        <w:rPr>
          <w:rFonts w:eastAsia="Calibri"/>
          <w:sz w:val="22"/>
          <w:szCs w:val="22"/>
        </w:rPr>
        <w:t>osam</w:t>
      </w:r>
      <w:r w:rsidRPr="000C3D67">
        <w:rPr>
          <w:rFonts w:eastAsia="Calibri"/>
          <w:sz w:val="22"/>
          <w:szCs w:val="22"/>
        </w:rPr>
        <w:t xml:space="preserve"> pomoćnika u nastavi.</w:t>
      </w:r>
      <w:r w:rsidRPr="000C3D67" w:rsidR="00FF19A8">
        <w:rPr>
          <w:rFonts w:eastAsia="Calibri"/>
          <w:sz w:val="22"/>
          <w:szCs w:val="22"/>
        </w:rPr>
        <w:t xml:space="preserve"> </w:t>
      </w:r>
      <w:r w:rsidRPr="000C3D67" w:rsidR="008126FF">
        <w:rPr>
          <w:rFonts w:eastAsia="Calibri"/>
          <w:sz w:val="22"/>
          <w:szCs w:val="22"/>
        </w:rPr>
        <w:t>Predlaže se povećanje svih rashoda u  ukupnom iznosu od 13.375,00 eura i to z</w:t>
      </w:r>
      <w:r w:rsidRPr="000C3D67" w:rsidR="00FF19A8">
        <w:rPr>
          <w:rFonts w:eastAsia="Calibri"/>
          <w:sz w:val="22"/>
          <w:szCs w:val="22"/>
        </w:rPr>
        <w:t xml:space="preserve">bog povećanja </w:t>
      </w:r>
      <w:r w:rsidRPr="000C3D67" w:rsidR="00380877">
        <w:rPr>
          <w:rFonts w:eastAsia="Calibri"/>
          <w:sz w:val="22"/>
          <w:szCs w:val="22"/>
        </w:rPr>
        <w:t xml:space="preserve">bruto </w:t>
      </w:r>
      <w:r w:rsidRPr="000C3D67" w:rsidR="00FF19A8">
        <w:rPr>
          <w:rFonts w:eastAsia="Calibri"/>
          <w:sz w:val="22"/>
          <w:szCs w:val="22"/>
        </w:rPr>
        <w:t xml:space="preserve">plaća pomoćnika u nastavi </w:t>
      </w:r>
      <w:r w:rsidRPr="000C3D67" w:rsidR="004D69AA">
        <w:rPr>
          <w:rFonts w:eastAsia="Calibri"/>
          <w:sz w:val="22"/>
          <w:szCs w:val="22"/>
        </w:rPr>
        <w:t>(</w:t>
      </w:r>
      <w:r w:rsidRPr="000C3D67" w:rsidR="00FF19A8">
        <w:rPr>
          <w:rFonts w:eastAsia="Calibri"/>
          <w:sz w:val="22"/>
          <w:szCs w:val="22"/>
        </w:rPr>
        <w:t xml:space="preserve">od 1. </w:t>
      </w:r>
      <w:r w:rsidRPr="000C3D67" w:rsidR="00380877">
        <w:rPr>
          <w:rFonts w:eastAsia="Calibri"/>
          <w:sz w:val="22"/>
          <w:szCs w:val="22"/>
        </w:rPr>
        <w:t>rujna</w:t>
      </w:r>
      <w:r w:rsidRPr="000C3D67" w:rsidR="00FF19A8">
        <w:rPr>
          <w:rFonts w:eastAsia="Calibri"/>
          <w:sz w:val="22"/>
          <w:szCs w:val="22"/>
        </w:rPr>
        <w:t xml:space="preserve"> poveća</w:t>
      </w:r>
      <w:r w:rsidRPr="000C3D67" w:rsidR="004D69AA">
        <w:rPr>
          <w:rFonts w:eastAsia="Calibri"/>
          <w:sz w:val="22"/>
          <w:szCs w:val="22"/>
        </w:rPr>
        <w:t>va se</w:t>
      </w:r>
      <w:r w:rsidRPr="000C3D67" w:rsidR="00FF19A8">
        <w:rPr>
          <w:rFonts w:eastAsia="Calibri"/>
          <w:sz w:val="22"/>
          <w:szCs w:val="22"/>
        </w:rPr>
        <w:t xml:space="preserve"> bruto cijen</w:t>
      </w:r>
      <w:r w:rsidRPr="000C3D67" w:rsidR="004D69AA">
        <w:rPr>
          <w:rFonts w:eastAsia="Calibri"/>
          <w:sz w:val="22"/>
          <w:szCs w:val="22"/>
        </w:rPr>
        <w:t>a</w:t>
      </w:r>
      <w:r w:rsidRPr="000C3D67" w:rsidR="00FF19A8">
        <w:rPr>
          <w:rFonts w:eastAsia="Calibri"/>
          <w:sz w:val="22"/>
          <w:szCs w:val="22"/>
        </w:rPr>
        <w:t xml:space="preserve"> sata sa 5,</w:t>
      </w:r>
      <w:r w:rsidRPr="000C3D67" w:rsidR="00380877">
        <w:rPr>
          <w:rFonts w:eastAsia="Calibri"/>
          <w:sz w:val="22"/>
          <w:szCs w:val="22"/>
        </w:rPr>
        <w:t>77</w:t>
      </w:r>
      <w:r w:rsidRPr="000C3D67" w:rsidR="00FF19A8">
        <w:rPr>
          <w:rFonts w:eastAsia="Calibri"/>
          <w:sz w:val="22"/>
          <w:szCs w:val="22"/>
        </w:rPr>
        <w:t xml:space="preserve"> na </w:t>
      </w:r>
      <w:r w:rsidRPr="000C3D67" w:rsidR="00380877">
        <w:rPr>
          <w:rFonts w:eastAsia="Calibri"/>
          <w:sz w:val="22"/>
          <w:szCs w:val="22"/>
        </w:rPr>
        <w:t>7,50</w:t>
      </w:r>
      <w:r w:rsidRPr="000C3D67" w:rsidR="00FF19A8">
        <w:rPr>
          <w:rFonts w:eastAsia="Calibri"/>
          <w:sz w:val="22"/>
          <w:szCs w:val="22"/>
        </w:rPr>
        <w:t xml:space="preserve"> eura) te zbog </w:t>
      </w:r>
      <w:r w:rsidRPr="000C3D67" w:rsidR="004D69AA">
        <w:rPr>
          <w:rFonts w:eastAsia="Calibri"/>
          <w:sz w:val="22"/>
          <w:szCs w:val="22"/>
        </w:rPr>
        <w:t xml:space="preserve">povećanja ukupno planiranog  broja sati rada svih pomoćnika </w:t>
      </w:r>
      <w:r w:rsidRPr="000C3D67" w:rsidR="00FF19A8">
        <w:rPr>
          <w:rFonts w:eastAsia="Calibri"/>
          <w:sz w:val="22"/>
          <w:szCs w:val="22"/>
        </w:rPr>
        <w:t>u nastavi (</w:t>
      </w:r>
      <w:r w:rsidRPr="000C3D67" w:rsidR="004D69AA">
        <w:rPr>
          <w:rFonts w:eastAsia="Calibri"/>
          <w:sz w:val="22"/>
          <w:szCs w:val="22"/>
        </w:rPr>
        <w:t xml:space="preserve">sa 215 na 240 sati tjedno). Za isplatu plaća i </w:t>
      </w:r>
      <w:r w:rsidRPr="000C3D67" w:rsidR="007119F1">
        <w:rPr>
          <w:rFonts w:eastAsia="Calibri"/>
          <w:sz w:val="22"/>
          <w:szCs w:val="22"/>
        </w:rPr>
        <w:t xml:space="preserve"> doprinosa na plaće </w:t>
      </w:r>
      <w:r w:rsidRPr="000C3D67" w:rsidR="004D69AA">
        <w:rPr>
          <w:rFonts w:eastAsia="Calibri"/>
          <w:sz w:val="22"/>
          <w:szCs w:val="22"/>
        </w:rPr>
        <w:t xml:space="preserve">predlaže se </w:t>
      </w:r>
      <w:r w:rsidRPr="000C3D67" w:rsidR="004D69AA">
        <w:rPr>
          <w:rFonts w:eastAsia="Calibri"/>
          <w:sz w:val="22"/>
          <w:szCs w:val="22"/>
        </w:rPr>
        <w:t>pove</w:t>
      </w:r>
      <w:r w:rsidRPr="000C3D67" w:rsidR="008126FF">
        <w:rPr>
          <w:rFonts w:eastAsia="Calibri"/>
          <w:sz w:val="22"/>
          <w:szCs w:val="22"/>
        </w:rPr>
        <w:t xml:space="preserve">ćanje rashoda za 12.824,00 eura a </w:t>
      </w:r>
      <w:r w:rsidRPr="000C3D67" w:rsidR="004D69AA">
        <w:rPr>
          <w:rFonts w:eastAsia="Calibri"/>
          <w:sz w:val="22"/>
          <w:szCs w:val="22"/>
        </w:rPr>
        <w:t>za</w:t>
      </w:r>
      <w:r w:rsidRPr="000C3D67" w:rsidR="007119F1">
        <w:rPr>
          <w:rFonts w:eastAsia="Calibri"/>
          <w:sz w:val="22"/>
          <w:szCs w:val="22"/>
        </w:rPr>
        <w:t xml:space="preserve"> ostale naknade (</w:t>
      </w:r>
      <w:r w:rsidRPr="000C3D67" w:rsidR="004D69AA">
        <w:rPr>
          <w:rFonts w:eastAsia="Calibri"/>
          <w:sz w:val="22"/>
          <w:szCs w:val="22"/>
        </w:rPr>
        <w:t xml:space="preserve">dar za djecu i </w:t>
      </w:r>
      <w:r w:rsidRPr="000C3D67" w:rsidR="007119F1">
        <w:rPr>
          <w:rFonts w:eastAsia="Calibri"/>
          <w:sz w:val="22"/>
          <w:szCs w:val="22"/>
        </w:rPr>
        <w:t xml:space="preserve"> topli obrok) predlaže se povećanje rashoda u iznosu od </w:t>
      </w:r>
      <w:r w:rsidRPr="000C3D67" w:rsidR="004D69AA">
        <w:rPr>
          <w:rFonts w:eastAsia="Calibri"/>
          <w:sz w:val="22"/>
          <w:szCs w:val="22"/>
        </w:rPr>
        <w:t>340,</w:t>
      </w:r>
      <w:r w:rsidRPr="000C3D67" w:rsidR="007119F1">
        <w:rPr>
          <w:rFonts w:eastAsia="Calibri"/>
          <w:sz w:val="22"/>
          <w:szCs w:val="22"/>
        </w:rPr>
        <w:t>00 eura</w:t>
      </w:r>
      <w:r w:rsidRPr="000C3D67" w:rsidR="008126FF">
        <w:rPr>
          <w:rFonts w:eastAsia="Calibri"/>
          <w:sz w:val="22"/>
          <w:szCs w:val="22"/>
        </w:rPr>
        <w:t>. Z</w:t>
      </w:r>
      <w:r w:rsidRPr="000C3D67" w:rsidR="007119F1">
        <w:rPr>
          <w:rFonts w:eastAsia="Calibri"/>
          <w:sz w:val="22"/>
          <w:szCs w:val="22"/>
        </w:rPr>
        <w:t xml:space="preserve">a </w:t>
      </w:r>
      <w:r w:rsidRPr="000C3D67" w:rsidR="004D69AA">
        <w:rPr>
          <w:rFonts w:eastAsia="Calibri"/>
          <w:sz w:val="22"/>
          <w:szCs w:val="22"/>
        </w:rPr>
        <w:t>prijevoz se predlaže  povećanje rashoda u iznosu od 396,00</w:t>
      </w:r>
      <w:r w:rsidRPr="000C3D67" w:rsidR="008126FF">
        <w:rPr>
          <w:rFonts w:eastAsia="Calibri"/>
          <w:sz w:val="22"/>
          <w:szCs w:val="22"/>
        </w:rPr>
        <w:t xml:space="preserve">0 eura zbog toga što od 1. rujna troje pomoćnika u nastavi živi izvan grada Koprivnice. Za </w:t>
      </w:r>
      <w:r w:rsidRPr="000C3D67" w:rsidR="007119F1">
        <w:rPr>
          <w:rFonts w:eastAsia="Calibri"/>
          <w:sz w:val="22"/>
          <w:szCs w:val="22"/>
        </w:rPr>
        <w:t xml:space="preserve">službena putovanja </w:t>
      </w:r>
      <w:r w:rsidRPr="000C3D67" w:rsidR="008126FF">
        <w:rPr>
          <w:rFonts w:eastAsia="Calibri"/>
          <w:sz w:val="22"/>
          <w:szCs w:val="22"/>
        </w:rPr>
        <w:t>predlaže se smanjenje rashoda za 185,00 eura jer neće biti  realizirana sva planirana sl. putovanja (pratnja učenika na terenskoj nastavi). Novi ukupni rashodi projekta iznose 44.375,00 eura.</w:t>
      </w:r>
      <w:r w:rsidR="008126FF">
        <w:rPr>
          <w:rFonts w:eastAsia="Calibri"/>
          <w:sz w:val="22"/>
          <w:szCs w:val="22"/>
        </w:rPr>
        <w:t xml:space="preserve"> </w:t>
      </w:r>
    </w:p>
    <w:p w:rsidR="00A64B0F" w:rsidRPr="00D84560" w:rsidP="00D84560" w14:paraId="291DEEB6" w14:textId="77777777">
      <w:pPr>
        <w:jc w:val="both"/>
        <w:rPr>
          <w:rFonts w:eastAsia="Calibri"/>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1F22969A"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7C5B7DD3"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5CF71351"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0DACFA72"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4010B018"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5B4069E6"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512B8CF2" w14:textId="77777777">
            <w:pPr>
              <w:rPr>
                <w:b/>
                <w:sz w:val="22"/>
                <w:szCs w:val="22"/>
              </w:rPr>
            </w:pPr>
            <w:r w:rsidRPr="00A64B0F">
              <w:rPr>
                <w:b/>
                <w:sz w:val="22"/>
                <w:szCs w:val="22"/>
              </w:rPr>
              <w:t>Ciljana vrijednost</w:t>
            </w:r>
          </w:p>
          <w:p w:rsidR="00A64B0F" w:rsidRPr="00A64B0F" w:rsidP="00A64B0F" w14:paraId="0ECB0B71"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1E829444" w14:textId="77777777">
            <w:pPr>
              <w:rPr>
                <w:b/>
                <w:sz w:val="22"/>
                <w:szCs w:val="22"/>
              </w:rPr>
            </w:pPr>
            <w:r w:rsidRPr="00A64B0F">
              <w:rPr>
                <w:b/>
                <w:sz w:val="22"/>
                <w:szCs w:val="22"/>
              </w:rPr>
              <w:t>Ciljana vrijednost</w:t>
            </w:r>
          </w:p>
          <w:p w:rsidR="00A64B0F" w:rsidRPr="00A64B0F" w:rsidP="00A64B0F" w14:paraId="127EC09C"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23AFD439" w14:textId="77777777">
            <w:pPr>
              <w:rPr>
                <w:b/>
                <w:sz w:val="22"/>
                <w:szCs w:val="22"/>
              </w:rPr>
            </w:pPr>
            <w:r w:rsidRPr="00A64B0F">
              <w:rPr>
                <w:b/>
                <w:sz w:val="22"/>
                <w:szCs w:val="22"/>
              </w:rPr>
              <w:t>Ciljana vrijednost</w:t>
            </w:r>
          </w:p>
          <w:p w:rsidR="00A64B0F" w:rsidRPr="00A64B0F" w:rsidP="00A64B0F" w14:paraId="2B6D6759" w14:textId="77777777">
            <w:pPr>
              <w:rPr>
                <w:b/>
                <w:sz w:val="22"/>
                <w:szCs w:val="22"/>
              </w:rPr>
            </w:pPr>
            <w:r w:rsidRPr="00A64B0F">
              <w:rPr>
                <w:b/>
                <w:sz w:val="22"/>
                <w:szCs w:val="22"/>
              </w:rPr>
              <w:t>(2026.)</w:t>
            </w:r>
          </w:p>
        </w:tc>
      </w:tr>
      <w:tr w14:paraId="2C3D3A41" w14:textId="77777777" w:rsidTr="001F148D">
        <w:tblPrEx>
          <w:tblW w:w="11112" w:type="dxa"/>
          <w:tblLayout w:type="fixed"/>
          <w:tblLook w:val="01E0"/>
        </w:tblPrEx>
        <w:trPr>
          <w:trHeight w:val="513"/>
        </w:trPr>
        <w:tc>
          <w:tcPr>
            <w:tcW w:w="1951" w:type="dxa"/>
          </w:tcPr>
          <w:p w:rsidR="00A64B0F" w:rsidRPr="00A64B0F" w:rsidP="00A64B0F" w14:paraId="0CF8608C" w14:textId="77777777">
            <w:pPr>
              <w:rPr>
                <w:sz w:val="22"/>
                <w:szCs w:val="22"/>
                <w:lang w:val="pl-PL"/>
              </w:rPr>
            </w:pPr>
            <w:r w:rsidRPr="00A64B0F">
              <w:rPr>
                <w:sz w:val="22"/>
                <w:szCs w:val="22"/>
                <w:lang w:val="pl-PL"/>
              </w:rPr>
              <w:t xml:space="preserve">Zapošljavanje  pomoćnika u nastavi kao pomoć učenicima s teškoćama u razvoju </w:t>
            </w:r>
          </w:p>
        </w:tc>
        <w:tc>
          <w:tcPr>
            <w:tcW w:w="2385" w:type="dxa"/>
          </w:tcPr>
          <w:p w:rsidR="00A64B0F" w:rsidRPr="00A64B0F" w:rsidP="00A64B0F" w14:paraId="2F9CA317" w14:textId="77777777">
            <w:pPr>
              <w:rPr>
                <w:sz w:val="22"/>
                <w:szCs w:val="22"/>
                <w:lang w:val="pl-PL"/>
              </w:rPr>
            </w:pPr>
            <w:r w:rsidRPr="00A64B0F">
              <w:rPr>
                <w:rFonts w:eastAsia="Calibri"/>
                <w:color w:val="000000"/>
                <w:sz w:val="22"/>
                <w:szCs w:val="22"/>
              </w:rPr>
              <w:t>Osiguravanje dovoljnog broja pomoćnika u nastavi za učenike sukladno njihovim individualnim potrebama i funkcionalnim sposobnostima </w:t>
            </w:r>
          </w:p>
        </w:tc>
        <w:tc>
          <w:tcPr>
            <w:tcW w:w="999" w:type="dxa"/>
            <w:vAlign w:val="center"/>
          </w:tcPr>
          <w:p w:rsidR="00A64B0F" w:rsidRPr="00A64B0F" w:rsidP="00A64B0F" w14:paraId="27298718" w14:textId="77777777">
            <w:pPr>
              <w:rPr>
                <w:sz w:val="22"/>
                <w:szCs w:val="22"/>
              </w:rPr>
            </w:pPr>
            <w:r w:rsidRPr="00A64B0F">
              <w:rPr>
                <w:sz w:val="22"/>
                <w:szCs w:val="22"/>
              </w:rPr>
              <w:t>broj</w:t>
            </w:r>
          </w:p>
        </w:tc>
        <w:tc>
          <w:tcPr>
            <w:tcW w:w="1170" w:type="dxa"/>
            <w:vAlign w:val="center"/>
          </w:tcPr>
          <w:p w:rsidR="00A64B0F" w:rsidRPr="00A64B0F" w:rsidP="00A64B0F" w14:paraId="7F30601C" w14:textId="77777777">
            <w:pPr>
              <w:rPr>
                <w:sz w:val="22"/>
                <w:szCs w:val="22"/>
              </w:rPr>
            </w:pPr>
            <w:r w:rsidRPr="00A64B0F">
              <w:rPr>
                <w:sz w:val="22"/>
                <w:szCs w:val="22"/>
              </w:rPr>
              <w:t>6</w:t>
            </w:r>
          </w:p>
        </w:tc>
        <w:tc>
          <w:tcPr>
            <w:tcW w:w="1097" w:type="dxa"/>
            <w:vAlign w:val="center"/>
          </w:tcPr>
          <w:p w:rsidR="00A64B0F" w:rsidRPr="00A64B0F" w:rsidP="00A64B0F" w14:paraId="7DE3FB71" w14:textId="77777777">
            <w:pPr>
              <w:rPr>
                <w:sz w:val="22"/>
                <w:szCs w:val="22"/>
              </w:rPr>
            </w:pPr>
            <w:r w:rsidRPr="00A64B0F">
              <w:rPr>
                <w:sz w:val="22"/>
                <w:szCs w:val="22"/>
              </w:rPr>
              <w:t>škola</w:t>
            </w:r>
          </w:p>
        </w:tc>
        <w:tc>
          <w:tcPr>
            <w:tcW w:w="1170" w:type="dxa"/>
            <w:vAlign w:val="center"/>
          </w:tcPr>
          <w:p w:rsidR="00A64B0F" w:rsidRPr="00A64B0F" w:rsidP="00A64B0F" w14:paraId="2E322632" w14:textId="77777777">
            <w:pPr>
              <w:rPr>
                <w:sz w:val="22"/>
                <w:szCs w:val="22"/>
              </w:rPr>
            </w:pPr>
            <w:r w:rsidRPr="00A64B0F">
              <w:rPr>
                <w:sz w:val="22"/>
                <w:szCs w:val="22"/>
              </w:rPr>
              <w:t>6</w:t>
            </w:r>
          </w:p>
        </w:tc>
        <w:tc>
          <w:tcPr>
            <w:tcW w:w="1170" w:type="dxa"/>
            <w:vAlign w:val="center"/>
          </w:tcPr>
          <w:p w:rsidR="00A64B0F" w:rsidRPr="00A64B0F" w:rsidP="00A64B0F" w14:paraId="54F027A7" w14:textId="77777777">
            <w:pPr>
              <w:rPr>
                <w:sz w:val="22"/>
                <w:szCs w:val="22"/>
              </w:rPr>
            </w:pPr>
            <w:r w:rsidRPr="00A64B0F">
              <w:rPr>
                <w:sz w:val="22"/>
                <w:szCs w:val="22"/>
              </w:rPr>
              <w:t>6</w:t>
            </w:r>
          </w:p>
        </w:tc>
        <w:tc>
          <w:tcPr>
            <w:tcW w:w="1170" w:type="dxa"/>
            <w:vAlign w:val="center"/>
          </w:tcPr>
          <w:p w:rsidR="00A64B0F" w:rsidRPr="00A64B0F" w:rsidP="00A64B0F" w14:paraId="1C2E0331" w14:textId="77777777">
            <w:pPr>
              <w:rPr>
                <w:sz w:val="22"/>
                <w:szCs w:val="22"/>
              </w:rPr>
            </w:pPr>
            <w:r w:rsidRPr="00A64B0F">
              <w:rPr>
                <w:sz w:val="22"/>
                <w:szCs w:val="22"/>
              </w:rPr>
              <w:t xml:space="preserve">0 </w:t>
            </w:r>
            <w:r w:rsidRPr="00A64B0F">
              <w:rPr>
                <w:sz w:val="16"/>
                <w:szCs w:val="16"/>
              </w:rPr>
              <w:t>(završetak projekta 30.06.2025.)</w:t>
            </w:r>
          </w:p>
        </w:tc>
      </w:tr>
    </w:tbl>
    <w:p w:rsidR="007119F1" w:rsidP="00D84560" w14:paraId="02203EA3" w14:textId="77777777">
      <w:pPr>
        <w:rPr>
          <w:rFonts w:eastAsia="Calibri"/>
          <w:b/>
          <w:sz w:val="22"/>
          <w:szCs w:val="22"/>
        </w:rPr>
      </w:pPr>
    </w:p>
    <w:p w:rsidR="00D84560" w:rsidRPr="000C3D67" w:rsidP="00D84560" w14:paraId="2A0F9FE0" w14:textId="77777777">
      <w:pPr>
        <w:rPr>
          <w:rFonts w:eastAsia="Calibri"/>
          <w:b/>
          <w:sz w:val="22"/>
          <w:szCs w:val="22"/>
        </w:rPr>
      </w:pPr>
      <w:r w:rsidRPr="000C3D67">
        <w:rPr>
          <w:rFonts w:eastAsia="Calibri"/>
          <w:b/>
          <w:sz w:val="22"/>
          <w:szCs w:val="22"/>
        </w:rPr>
        <w:t>AKTIVNOST : A300357  Produženi boravak</w:t>
      </w:r>
    </w:p>
    <w:p w:rsidR="00D84560" w:rsidRPr="000C3D67" w:rsidP="00D84560" w14:paraId="347511BF" w14:textId="77777777">
      <w:pPr>
        <w:rPr>
          <w:rFonts w:eastAsia="Calibri"/>
          <w:b/>
          <w:sz w:val="22"/>
          <w:szCs w:val="22"/>
        </w:rPr>
      </w:pPr>
    </w:p>
    <w:p w:rsidR="00D84560" w:rsidRPr="00D84560" w:rsidP="00D84560" w14:paraId="0A368DCD" w14:textId="32D3D11C">
      <w:pPr>
        <w:jc w:val="both"/>
        <w:rPr>
          <w:rFonts w:eastAsia="Calibri"/>
          <w:sz w:val="22"/>
          <w:szCs w:val="22"/>
        </w:rPr>
      </w:pPr>
      <w:r w:rsidRPr="000C3D67">
        <w:rPr>
          <w:rFonts w:eastAsia="Calibri"/>
          <w:sz w:val="22"/>
          <w:szCs w:val="22"/>
        </w:rPr>
        <w:t xml:space="preserve">U školskoj godini 2023./2024. škola je prvi puta osigurala uslugu produženog boravka za učenike nižih razreda. </w:t>
      </w:r>
      <w:r w:rsidRPr="000C3D67" w:rsidR="007119F1">
        <w:rPr>
          <w:rFonts w:eastAsia="Calibri"/>
          <w:sz w:val="22"/>
          <w:szCs w:val="22"/>
        </w:rPr>
        <w:t xml:space="preserve">Planirano je da uslugu </w:t>
      </w:r>
      <w:r w:rsidRPr="000C3D67">
        <w:rPr>
          <w:rFonts w:eastAsia="Calibri"/>
          <w:sz w:val="22"/>
          <w:szCs w:val="22"/>
        </w:rPr>
        <w:t xml:space="preserve"> koristi oko šezdeset učenika koji su raspoređeni u tri grupe</w:t>
      </w:r>
      <w:r w:rsidRPr="000C3D67" w:rsidR="008126FF">
        <w:rPr>
          <w:rFonts w:eastAsia="Calibri"/>
          <w:sz w:val="22"/>
          <w:szCs w:val="22"/>
        </w:rPr>
        <w:t xml:space="preserve">. U prvoj polovici godine uslugu je koristilo oko 50 učenika no od 1. rujna </w:t>
      </w:r>
      <w:r w:rsidRPr="000C3D67" w:rsidR="007119F1">
        <w:rPr>
          <w:rFonts w:eastAsia="Calibri"/>
          <w:sz w:val="22"/>
          <w:szCs w:val="22"/>
        </w:rPr>
        <w:t xml:space="preserve">uslugu koristi </w:t>
      </w:r>
      <w:r w:rsidRPr="000C3D67" w:rsidR="008126FF">
        <w:rPr>
          <w:rFonts w:eastAsia="Calibri"/>
          <w:sz w:val="22"/>
          <w:szCs w:val="22"/>
        </w:rPr>
        <w:t>oko 70 učenika</w:t>
      </w:r>
      <w:r w:rsidRPr="000C3D67" w:rsidR="006A1AC6">
        <w:rPr>
          <w:rFonts w:eastAsia="Calibri"/>
          <w:sz w:val="22"/>
          <w:szCs w:val="22"/>
        </w:rPr>
        <w:t xml:space="preserve">. </w:t>
      </w:r>
      <w:r w:rsidRPr="000C3D67" w:rsidR="008126FF">
        <w:rPr>
          <w:rFonts w:eastAsia="Calibri"/>
          <w:sz w:val="22"/>
          <w:szCs w:val="22"/>
        </w:rPr>
        <w:t xml:space="preserve"> </w:t>
      </w:r>
      <w:r w:rsidRPr="000C3D67" w:rsidR="006A1AC6">
        <w:rPr>
          <w:rFonts w:eastAsia="Calibri"/>
          <w:sz w:val="22"/>
          <w:szCs w:val="22"/>
        </w:rPr>
        <w:t xml:space="preserve">Krajem listopada </w:t>
      </w:r>
      <w:r w:rsidRPr="000C3D67" w:rsidR="008126FF">
        <w:rPr>
          <w:rFonts w:eastAsia="Calibri"/>
          <w:sz w:val="22"/>
          <w:szCs w:val="22"/>
        </w:rPr>
        <w:t xml:space="preserve">zaposlena </w:t>
      </w:r>
      <w:r w:rsidRPr="000C3D67" w:rsidR="006A1AC6">
        <w:rPr>
          <w:rFonts w:eastAsia="Calibri"/>
          <w:sz w:val="22"/>
          <w:szCs w:val="22"/>
        </w:rPr>
        <w:t xml:space="preserve">je još jedna </w:t>
      </w:r>
      <w:r w:rsidRPr="000C3D67" w:rsidR="008126FF">
        <w:rPr>
          <w:rFonts w:eastAsia="Calibri"/>
          <w:sz w:val="22"/>
          <w:szCs w:val="22"/>
        </w:rPr>
        <w:t>učiteljica i formirane su četiri grupe</w:t>
      </w:r>
      <w:r w:rsidRPr="000C3D67" w:rsidR="007119F1">
        <w:rPr>
          <w:rFonts w:eastAsia="Calibri"/>
          <w:sz w:val="22"/>
          <w:szCs w:val="22"/>
        </w:rPr>
        <w:t xml:space="preserve">. Planirani </w:t>
      </w:r>
      <w:r w:rsidRPr="000C3D67">
        <w:rPr>
          <w:rFonts w:eastAsia="Calibri"/>
          <w:sz w:val="22"/>
          <w:szCs w:val="22"/>
        </w:rPr>
        <w:t>ukupni rashodi aktivnosti  iznos</w:t>
      </w:r>
      <w:r w:rsidRPr="000C3D67" w:rsidR="008126FF">
        <w:rPr>
          <w:rFonts w:eastAsia="Calibri"/>
          <w:sz w:val="22"/>
          <w:szCs w:val="22"/>
        </w:rPr>
        <w:t xml:space="preserve">ili su </w:t>
      </w:r>
      <w:r w:rsidRPr="000C3D67" w:rsidR="006A1AC6">
        <w:rPr>
          <w:rFonts w:eastAsia="Calibri"/>
          <w:sz w:val="22"/>
          <w:szCs w:val="22"/>
        </w:rPr>
        <w:t xml:space="preserve">110.460,00 </w:t>
      </w:r>
      <w:r w:rsidRPr="000C3D67">
        <w:rPr>
          <w:rFonts w:eastAsia="Calibri"/>
          <w:sz w:val="22"/>
          <w:szCs w:val="22"/>
        </w:rPr>
        <w:t xml:space="preserve">eura. </w:t>
      </w:r>
      <w:r w:rsidRPr="000C3D67" w:rsidR="007119F1">
        <w:rPr>
          <w:rFonts w:eastAsia="Calibri"/>
          <w:sz w:val="22"/>
          <w:szCs w:val="22"/>
        </w:rPr>
        <w:t xml:space="preserve">Predlaže se ukupno povećanje rashoda </w:t>
      </w:r>
      <w:r w:rsidRPr="000C3D67" w:rsidR="006A1AC6">
        <w:rPr>
          <w:rFonts w:eastAsia="Calibri"/>
          <w:sz w:val="22"/>
          <w:szCs w:val="22"/>
        </w:rPr>
        <w:t xml:space="preserve">ove aktivnosti </w:t>
      </w:r>
      <w:r w:rsidRPr="000C3D67" w:rsidR="007119F1">
        <w:rPr>
          <w:rFonts w:eastAsia="Calibri"/>
          <w:sz w:val="22"/>
          <w:szCs w:val="22"/>
        </w:rPr>
        <w:t xml:space="preserve">u iznosu od </w:t>
      </w:r>
      <w:r w:rsidRPr="000C3D67" w:rsidR="006A1AC6">
        <w:rPr>
          <w:rFonts w:eastAsia="Calibri"/>
          <w:sz w:val="22"/>
          <w:szCs w:val="22"/>
        </w:rPr>
        <w:t>2.440,00</w:t>
      </w:r>
      <w:r w:rsidRPr="000C3D67" w:rsidR="00504D18">
        <w:rPr>
          <w:rFonts w:eastAsia="Calibri"/>
          <w:sz w:val="22"/>
          <w:szCs w:val="22"/>
        </w:rPr>
        <w:t xml:space="preserve"> eura. </w:t>
      </w:r>
      <w:r w:rsidRPr="000C3D67" w:rsidR="006A1AC6">
        <w:rPr>
          <w:rFonts w:eastAsia="Calibri"/>
          <w:sz w:val="22"/>
          <w:szCs w:val="22"/>
        </w:rPr>
        <w:t>Z</w:t>
      </w:r>
      <w:r w:rsidRPr="000C3D67" w:rsidR="00504D18">
        <w:rPr>
          <w:rFonts w:eastAsia="Calibri"/>
          <w:sz w:val="22"/>
          <w:szCs w:val="22"/>
        </w:rPr>
        <w:t xml:space="preserve">bog </w:t>
      </w:r>
      <w:r w:rsidRPr="000C3D67" w:rsidR="006A1AC6">
        <w:rPr>
          <w:rFonts w:eastAsia="Calibri"/>
          <w:sz w:val="22"/>
          <w:szCs w:val="22"/>
        </w:rPr>
        <w:t xml:space="preserve">zapošljavanja dodatne učiteljice, predlaže se povećanje rashoda za plaće i doprinose na plaće u iznosu od 3.550,00 eura. S obzirom da učiteljica putuje na relaciji Đurđevac-Koprivnica, predlaže se povećanje rashoda za prijevoz u iznosu od 290,00 eura kao i povećanje ostalih rashoda za zaposlene u iznosu od 600,00 eura (božićnica i regres). </w:t>
      </w:r>
      <w:r w:rsidRPr="000C3D67" w:rsidR="00DE0944">
        <w:rPr>
          <w:rFonts w:eastAsia="Calibri"/>
          <w:sz w:val="22"/>
          <w:szCs w:val="22"/>
        </w:rPr>
        <w:t xml:space="preserve">Zbog manjeg broja korisnika usluge </w:t>
      </w:r>
      <w:r w:rsidRPr="000C3D67" w:rsidR="006A1AC6">
        <w:rPr>
          <w:rFonts w:eastAsia="Calibri"/>
          <w:sz w:val="22"/>
          <w:szCs w:val="22"/>
        </w:rPr>
        <w:t xml:space="preserve">u prvom dijelu godine, </w:t>
      </w:r>
      <w:r w:rsidRPr="000C3D67" w:rsidR="00DE0944">
        <w:rPr>
          <w:rFonts w:eastAsia="Calibri"/>
          <w:sz w:val="22"/>
          <w:szCs w:val="22"/>
        </w:rPr>
        <w:t>predlaže se smanjenje rashoda</w:t>
      </w:r>
      <w:r w:rsidRPr="000C3D67" w:rsidR="006A1AC6">
        <w:rPr>
          <w:rFonts w:eastAsia="Calibri"/>
          <w:sz w:val="22"/>
          <w:szCs w:val="22"/>
        </w:rPr>
        <w:t xml:space="preserve"> </w:t>
      </w:r>
      <w:r w:rsidRPr="000C3D67" w:rsidR="00DE0944">
        <w:rPr>
          <w:rFonts w:eastAsia="Calibri"/>
          <w:sz w:val="22"/>
          <w:szCs w:val="22"/>
        </w:rPr>
        <w:t xml:space="preserve">za materijal i sirovine </w:t>
      </w:r>
      <w:r w:rsidRPr="000C3D67" w:rsidR="006A1AC6">
        <w:rPr>
          <w:rFonts w:eastAsia="Calibri"/>
          <w:sz w:val="22"/>
          <w:szCs w:val="22"/>
        </w:rPr>
        <w:t xml:space="preserve">(namirnice za prehranu) </w:t>
      </w:r>
      <w:r w:rsidRPr="000C3D67" w:rsidR="00DE0944">
        <w:rPr>
          <w:rFonts w:eastAsia="Calibri"/>
          <w:sz w:val="22"/>
          <w:szCs w:val="22"/>
        </w:rPr>
        <w:t xml:space="preserve">u iznosu od </w:t>
      </w:r>
      <w:r w:rsidRPr="000C3D67" w:rsidR="006A1AC6">
        <w:rPr>
          <w:rFonts w:eastAsia="Calibri"/>
          <w:sz w:val="22"/>
          <w:szCs w:val="22"/>
        </w:rPr>
        <w:t>2.000</w:t>
      </w:r>
      <w:r w:rsidRPr="000C3D67" w:rsidR="00DE0944">
        <w:rPr>
          <w:rFonts w:eastAsia="Calibri"/>
          <w:sz w:val="22"/>
          <w:szCs w:val="22"/>
        </w:rPr>
        <w:t>,00 eura.</w:t>
      </w:r>
      <w:r w:rsidRPr="000C3D67" w:rsidR="006A1AC6">
        <w:rPr>
          <w:rFonts w:eastAsia="Calibri"/>
          <w:sz w:val="22"/>
          <w:szCs w:val="22"/>
        </w:rPr>
        <w:t xml:space="preserve"> Do smanjenja rashoda za namirnice dolazi i zbog velikog broja izostanaka učenika s obzirom da pojedini učenici ne koriste uslugu produženog boravka sve dane u mjesecu.  </w:t>
      </w:r>
      <w:r w:rsidRPr="000C3D67">
        <w:rPr>
          <w:rFonts w:eastAsia="Calibri"/>
          <w:sz w:val="22"/>
          <w:szCs w:val="22"/>
        </w:rPr>
        <w:t>Rashodi projekta financiraju se iz prihoda za posebne namjene (uplate roditelja) te iz proračuna grada Koprivnice.</w:t>
      </w:r>
      <w:r w:rsidRPr="000C3D67" w:rsidR="00DE0944">
        <w:rPr>
          <w:rFonts w:eastAsia="Calibri"/>
          <w:sz w:val="22"/>
          <w:szCs w:val="22"/>
        </w:rPr>
        <w:t xml:space="preserve"> Zbog manjeg polaznika </w:t>
      </w:r>
      <w:r w:rsidRPr="000C3D67" w:rsidR="006A1AC6">
        <w:rPr>
          <w:rFonts w:eastAsia="Calibri"/>
          <w:sz w:val="22"/>
          <w:szCs w:val="22"/>
        </w:rPr>
        <w:t xml:space="preserve">u prvoj polovici godine, </w:t>
      </w:r>
      <w:r w:rsidRPr="000C3D67" w:rsidR="00DE0944">
        <w:rPr>
          <w:rFonts w:eastAsia="Calibri"/>
          <w:sz w:val="22"/>
          <w:szCs w:val="22"/>
        </w:rPr>
        <w:t xml:space="preserve">predlaže se preraspodjela omjera financiranja rashoda te povećanje rashoda iz gradskih sredstava u iznosu od </w:t>
      </w:r>
      <w:r w:rsidRPr="000C3D67" w:rsidR="006A1AC6">
        <w:rPr>
          <w:rFonts w:eastAsia="Calibri"/>
          <w:sz w:val="22"/>
          <w:szCs w:val="22"/>
        </w:rPr>
        <w:t>4.440,00</w:t>
      </w:r>
      <w:r w:rsidRPr="000C3D67" w:rsidR="00DE0944">
        <w:rPr>
          <w:rFonts w:eastAsia="Calibri"/>
          <w:sz w:val="22"/>
          <w:szCs w:val="22"/>
        </w:rPr>
        <w:t xml:space="preserve"> eura te smanjenje rashoda iz prihoda za posebne namjene u iznosu od </w:t>
      </w:r>
      <w:r w:rsidRPr="000C3D67" w:rsidR="006A1AC6">
        <w:rPr>
          <w:rFonts w:eastAsia="Calibri"/>
          <w:sz w:val="22"/>
          <w:szCs w:val="22"/>
        </w:rPr>
        <w:t>2.000,0</w:t>
      </w:r>
      <w:r w:rsidRPr="000C3D67" w:rsidR="00DE0944">
        <w:rPr>
          <w:rFonts w:eastAsia="Calibri"/>
          <w:sz w:val="22"/>
          <w:szCs w:val="22"/>
        </w:rPr>
        <w:t>0 eura.</w:t>
      </w:r>
    </w:p>
    <w:p w:rsidR="00D84560" w:rsidRPr="00D84560" w:rsidP="00D84560" w14:paraId="69EABAE6" w14:textId="77777777">
      <w:pPr>
        <w:jc w:val="both"/>
        <w:rPr>
          <w:rFonts w:eastAsia="Calibri"/>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413520C4"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6D110A0E"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41BBA8A2"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574117E8"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773EFCF0"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467A8556"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655A21B6" w14:textId="77777777">
            <w:pPr>
              <w:rPr>
                <w:b/>
                <w:sz w:val="22"/>
                <w:szCs w:val="22"/>
              </w:rPr>
            </w:pPr>
            <w:r w:rsidRPr="00A64B0F">
              <w:rPr>
                <w:b/>
                <w:sz w:val="22"/>
                <w:szCs w:val="22"/>
              </w:rPr>
              <w:t>Ciljana vrijednost</w:t>
            </w:r>
          </w:p>
          <w:p w:rsidR="00A64B0F" w:rsidRPr="00A64B0F" w:rsidP="00A64B0F" w14:paraId="4DCC2B6B"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2CAA7BB8" w14:textId="77777777">
            <w:pPr>
              <w:rPr>
                <w:b/>
                <w:sz w:val="22"/>
                <w:szCs w:val="22"/>
              </w:rPr>
            </w:pPr>
            <w:r w:rsidRPr="00A64B0F">
              <w:rPr>
                <w:b/>
                <w:sz w:val="22"/>
                <w:szCs w:val="22"/>
              </w:rPr>
              <w:t>Ciljana vrijednost</w:t>
            </w:r>
          </w:p>
          <w:p w:rsidR="00A64B0F" w:rsidRPr="00A64B0F" w:rsidP="00A64B0F" w14:paraId="2358FF23"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2840AB85" w14:textId="77777777">
            <w:pPr>
              <w:rPr>
                <w:b/>
                <w:sz w:val="22"/>
                <w:szCs w:val="22"/>
              </w:rPr>
            </w:pPr>
            <w:r w:rsidRPr="00A64B0F">
              <w:rPr>
                <w:b/>
                <w:sz w:val="22"/>
                <w:szCs w:val="22"/>
              </w:rPr>
              <w:t>Ciljana vrijednost</w:t>
            </w:r>
          </w:p>
          <w:p w:rsidR="00A64B0F" w:rsidRPr="00A64B0F" w:rsidP="00A64B0F" w14:paraId="5400E3EF" w14:textId="77777777">
            <w:pPr>
              <w:rPr>
                <w:b/>
                <w:sz w:val="22"/>
                <w:szCs w:val="22"/>
              </w:rPr>
            </w:pPr>
            <w:r w:rsidRPr="00A64B0F">
              <w:rPr>
                <w:b/>
                <w:sz w:val="22"/>
                <w:szCs w:val="22"/>
              </w:rPr>
              <w:t>(2026.)</w:t>
            </w:r>
          </w:p>
        </w:tc>
      </w:tr>
      <w:tr w14:paraId="6E8D1EFA" w14:textId="77777777" w:rsidTr="001F148D">
        <w:tblPrEx>
          <w:tblW w:w="11112" w:type="dxa"/>
          <w:tblLayout w:type="fixed"/>
          <w:tblLook w:val="01E0"/>
        </w:tblPrEx>
        <w:trPr>
          <w:trHeight w:val="513"/>
        </w:trPr>
        <w:tc>
          <w:tcPr>
            <w:tcW w:w="1951" w:type="dxa"/>
          </w:tcPr>
          <w:p w:rsidR="00A64B0F" w:rsidRPr="00A64B0F" w:rsidP="00A64B0F" w14:paraId="2E36C9FC" w14:textId="77777777">
            <w:pPr>
              <w:rPr>
                <w:sz w:val="22"/>
                <w:szCs w:val="22"/>
                <w:lang w:val="pl-PL"/>
              </w:rPr>
            </w:pPr>
            <w:r w:rsidRPr="00A64B0F">
              <w:rPr>
                <w:sz w:val="22"/>
                <w:szCs w:val="22"/>
                <w:lang w:val="pl-PL"/>
              </w:rPr>
              <w:t xml:space="preserve">Povećanje broja učenika koji su uključeni u program produženog boravka </w:t>
            </w:r>
          </w:p>
        </w:tc>
        <w:tc>
          <w:tcPr>
            <w:tcW w:w="2385" w:type="dxa"/>
          </w:tcPr>
          <w:p w:rsidR="00A64B0F" w:rsidRPr="00A64B0F" w:rsidP="00A64B0F" w14:paraId="06EF86AB" w14:textId="77777777">
            <w:pPr>
              <w:rPr>
                <w:sz w:val="22"/>
                <w:szCs w:val="22"/>
                <w:lang w:val="pl-PL"/>
              </w:rPr>
            </w:pPr>
            <w:r w:rsidRPr="00A64B0F">
              <w:rPr>
                <w:sz w:val="22"/>
                <w:szCs w:val="22"/>
                <w:lang w:val="pl-PL"/>
              </w:rPr>
              <w:t xml:space="preserve">Kroz program produženog boravka cilj je učenicima osigurati kvalitetno provedeno vrijeme redovne nastave </w:t>
            </w:r>
          </w:p>
        </w:tc>
        <w:tc>
          <w:tcPr>
            <w:tcW w:w="999" w:type="dxa"/>
            <w:vAlign w:val="center"/>
          </w:tcPr>
          <w:p w:rsidR="00A64B0F" w:rsidRPr="00A64B0F" w:rsidP="00A64B0F" w14:paraId="2E0DF17D" w14:textId="77777777">
            <w:pPr>
              <w:rPr>
                <w:sz w:val="22"/>
                <w:szCs w:val="22"/>
              </w:rPr>
            </w:pPr>
            <w:r w:rsidRPr="00A64B0F">
              <w:rPr>
                <w:sz w:val="22"/>
                <w:szCs w:val="22"/>
              </w:rPr>
              <w:t>broj</w:t>
            </w:r>
          </w:p>
        </w:tc>
        <w:tc>
          <w:tcPr>
            <w:tcW w:w="1170" w:type="dxa"/>
            <w:vAlign w:val="center"/>
          </w:tcPr>
          <w:p w:rsidR="00A64B0F" w:rsidRPr="00A64B0F" w:rsidP="00A64B0F" w14:paraId="67F6180F" w14:textId="77777777">
            <w:pPr>
              <w:rPr>
                <w:sz w:val="22"/>
                <w:szCs w:val="22"/>
              </w:rPr>
            </w:pPr>
            <w:r w:rsidRPr="00A64B0F">
              <w:rPr>
                <w:sz w:val="22"/>
                <w:szCs w:val="22"/>
              </w:rPr>
              <w:t>59</w:t>
            </w:r>
          </w:p>
        </w:tc>
        <w:tc>
          <w:tcPr>
            <w:tcW w:w="1097" w:type="dxa"/>
            <w:vAlign w:val="center"/>
          </w:tcPr>
          <w:p w:rsidR="00A64B0F" w:rsidRPr="00A64B0F" w:rsidP="00A64B0F" w14:paraId="6705D482" w14:textId="77777777">
            <w:pPr>
              <w:rPr>
                <w:sz w:val="22"/>
                <w:szCs w:val="22"/>
              </w:rPr>
            </w:pPr>
            <w:r w:rsidRPr="00A64B0F">
              <w:rPr>
                <w:sz w:val="22"/>
                <w:szCs w:val="22"/>
              </w:rPr>
              <w:t>škola</w:t>
            </w:r>
          </w:p>
        </w:tc>
        <w:tc>
          <w:tcPr>
            <w:tcW w:w="1170" w:type="dxa"/>
            <w:vAlign w:val="center"/>
          </w:tcPr>
          <w:p w:rsidR="00A64B0F" w:rsidRPr="00A64B0F" w:rsidP="00A64B0F" w14:paraId="65B66FFE" w14:textId="77777777">
            <w:pPr>
              <w:rPr>
                <w:sz w:val="22"/>
                <w:szCs w:val="22"/>
              </w:rPr>
            </w:pPr>
            <w:r w:rsidRPr="00A64B0F">
              <w:rPr>
                <w:sz w:val="22"/>
                <w:szCs w:val="22"/>
              </w:rPr>
              <w:t>60</w:t>
            </w:r>
          </w:p>
        </w:tc>
        <w:tc>
          <w:tcPr>
            <w:tcW w:w="1170" w:type="dxa"/>
            <w:vAlign w:val="center"/>
          </w:tcPr>
          <w:p w:rsidR="00A64B0F" w:rsidRPr="00A64B0F" w:rsidP="00A64B0F" w14:paraId="22F34B47" w14:textId="77777777">
            <w:pPr>
              <w:rPr>
                <w:sz w:val="22"/>
                <w:szCs w:val="22"/>
              </w:rPr>
            </w:pPr>
            <w:r w:rsidRPr="00A64B0F">
              <w:rPr>
                <w:sz w:val="22"/>
                <w:szCs w:val="22"/>
              </w:rPr>
              <w:t>65</w:t>
            </w:r>
          </w:p>
        </w:tc>
        <w:tc>
          <w:tcPr>
            <w:tcW w:w="1170" w:type="dxa"/>
            <w:vAlign w:val="center"/>
          </w:tcPr>
          <w:p w:rsidR="00A64B0F" w:rsidRPr="00A64B0F" w:rsidP="00A64B0F" w14:paraId="6A9B9AC3" w14:textId="77777777">
            <w:pPr>
              <w:rPr>
                <w:sz w:val="22"/>
                <w:szCs w:val="22"/>
              </w:rPr>
            </w:pPr>
            <w:r w:rsidRPr="00A64B0F">
              <w:rPr>
                <w:sz w:val="22"/>
                <w:szCs w:val="22"/>
              </w:rPr>
              <w:t>65</w:t>
            </w:r>
          </w:p>
        </w:tc>
      </w:tr>
    </w:tbl>
    <w:p w:rsidR="000C3D67" w:rsidP="00CF0FBC" w14:paraId="5319E311" w14:textId="77777777">
      <w:pPr>
        <w:pStyle w:val="ListParagraph1"/>
        <w:ind w:left="0"/>
        <w:rPr>
          <w:b/>
          <w:sz w:val="22"/>
          <w:szCs w:val="22"/>
        </w:rPr>
      </w:pPr>
    </w:p>
    <w:p w:rsidR="00CF0FBC" w:rsidRPr="000C3D67" w:rsidP="00CF0FBC" w14:paraId="3179612D" w14:textId="77777777">
      <w:pPr>
        <w:pStyle w:val="ListParagraph1"/>
        <w:ind w:left="0"/>
        <w:rPr>
          <w:b/>
          <w:sz w:val="22"/>
          <w:szCs w:val="22"/>
        </w:rPr>
      </w:pPr>
      <w:r w:rsidRPr="000C3D67">
        <w:rPr>
          <w:b/>
          <w:sz w:val="22"/>
          <w:szCs w:val="22"/>
        </w:rPr>
        <w:t>AKTIVNOST : A 301505 Pomoć za podmirenje troškova prehrane učenika osnovnih škola</w:t>
      </w:r>
    </w:p>
    <w:p w:rsidR="00CF0FBC" w:rsidRPr="000C3D67" w:rsidP="00CF0FBC" w14:paraId="1891CE39" w14:textId="77777777">
      <w:pPr>
        <w:pStyle w:val="ListParagraph1"/>
        <w:ind w:left="0"/>
        <w:rPr>
          <w:b/>
          <w:sz w:val="22"/>
          <w:szCs w:val="22"/>
        </w:rPr>
      </w:pPr>
    </w:p>
    <w:p w:rsidR="00CF0FBC" w:rsidRPr="008F7CF2" w:rsidP="00CF0FBC" w14:paraId="2CA11023" w14:textId="36479965">
      <w:pPr>
        <w:pStyle w:val="ListParagraph1"/>
        <w:ind w:left="0"/>
        <w:jc w:val="both"/>
        <w:rPr>
          <w:b/>
          <w:bCs/>
          <w:sz w:val="22"/>
          <w:szCs w:val="22"/>
        </w:rPr>
      </w:pPr>
      <w:r w:rsidRPr="000C3D67">
        <w:rPr>
          <w:sz w:val="22"/>
          <w:szCs w:val="22"/>
        </w:rPr>
        <w:t xml:space="preserve">Za ovu aktivnost planirani su ukupni rashodi u iznosu od </w:t>
      </w:r>
      <w:r w:rsidRPr="000C3D67" w:rsidR="00920E20">
        <w:rPr>
          <w:sz w:val="22"/>
          <w:szCs w:val="22"/>
        </w:rPr>
        <w:t xml:space="preserve">163.000,00 eura te su </w:t>
      </w:r>
      <w:r w:rsidRPr="000C3D67">
        <w:rPr>
          <w:sz w:val="22"/>
          <w:szCs w:val="22"/>
        </w:rPr>
        <w:t xml:space="preserve">osigurani besplatni obroci za oko 650 učenika matične škole te područnih škola Reka i </w:t>
      </w:r>
      <w:r w:rsidRPr="000C3D67">
        <w:rPr>
          <w:sz w:val="22"/>
          <w:szCs w:val="22"/>
        </w:rPr>
        <w:t>Jagnjedovec</w:t>
      </w:r>
      <w:r w:rsidRPr="000C3D67">
        <w:rPr>
          <w:sz w:val="22"/>
          <w:szCs w:val="22"/>
        </w:rPr>
        <w:t>. Sredstva su osigurana  iz izvora financiranja tekuće pomoći. Shema školskog voća i mlijeka  nastavlja se i dalje za sve učenike Škole, kao i prethodnih godina,  a za 2024. godinu planira</w:t>
      </w:r>
      <w:r w:rsidRPr="000C3D67" w:rsidR="00920E20">
        <w:rPr>
          <w:sz w:val="22"/>
          <w:szCs w:val="22"/>
        </w:rPr>
        <w:t>n</w:t>
      </w:r>
      <w:r w:rsidRPr="000C3D67">
        <w:rPr>
          <w:sz w:val="22"/>
          <w:szCs w:val="22"/>
        </w:rPr>
        <w:t xml:space="preserve"> </w:t>
      </w:r>
      <w:r w:rsidRPr="000C3D67" w:rsidR="00920E20">
        <w:rPr>
          <w:sz w:val="22"/>
          <w:szCs w:val="22"/>
        </w:rPr>
        <w:t>je</w:t>
      </w:r>
      <w:r w:rsidRPr="000C3D67">
        <w:rPr>
          <w:sz w:val="22"/>
          <w:szCs w:val="22"/>
        </w:rPr>
        <w:t xml:space="preserve"> ukupan rashod u iznosu od 8.000,00 eura.</w:t>
      </w:r>
      <w:r w:rsidRPr="000C3D67" w:rsidR="00920E20">
        <w:rPr>
          <w:sz w:val="22"/>
          <w:szCs w:val="22"/>
        </w:rPr>
        <w:t xml:space="preserve"> S obzirom da su potpisani ugovori za nabavu voća i mlijeka do kraja godine, predlaže se povećanje </w:t>
      </w:r>
      <w:r w:rsidRPr="000C3D67" w:rsidR="00920E20">
        <w:rPr>
          <w:sz w:val="22"/>
          <w:szCs w:val="22"/>
        </w:rPr>
        <w:t>rashoda za shemu voća i mlijeka za 150,00 eura te ujedno i ukupnih rashoda za ovu aktivnost na 163.150,00 eura.</w:t>
      </w:r>
    </w:p>
    <w:p w:rsidR="00CF0FBC" w:rsidP="00CF0FBC" w14:paraId="39F4E7BB" w14:textId="77777777">
      <w:pPr>
        <w:pStyle w:val="ListParagraph1"/>
        <w:ind w:left="0"/>
        <w:rPr>
          <w:b/>
          <w:bCs/>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6E6564ED" w14:textId="77777777" w:rsidTr="00991D46">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CF0FBC" w:rsidRPr="00085103" w:rsidP="00991D46" w14:paraId="036AC2AF" w14:textId="77777777">
            <w:pPr>
              <w:rPr>
                <w:b/>
                <w:sz w:val="22"/>
                <w:szCs w:val="22"/>
              </w:rPr>
            </w:pPr>
            <w:r w:rsidRPr="00085103">
              <w:rPr>
                <w:b/>
                <w:sz w:val="22"/>
                <w:szCs w:val="22"/>
              </w:rPr>
              <w:t>Pokazatelj rezultata</w:t>
            </w:r>
          </w:p>
        </w:tc>
        <w:tc>
          <w:tcPr>
            <w:tcW w:w="2385" w:type="dxa"/>
            <w:shd w:val="clear" w:color="auto" w:fill="99CCFF"/>
            <w:vAlign w:val="center"/>
          </w:tcPr>
          <w:p w:rsidR="00CF0FBC" w:rsidRPr="00085103" w:rsidP="00991D46" w14:paraId="31BB6D92" w14:textId="77777777">
            <w:pPr>
              <w:rPr>
                <w:b/>
                <w:sz w:val="22"/>
                <w:szCs w:val="22"/>
              </w:rPr>
            </w:pPr>
            <w:r w:rsidRPr="00085103">
              <w:rPr>
                <w:b/>
                <w:sz w:val="22"/>
                <w:szCs w:val="22"/>
              </w:rPr>
              <w:t>Definicija</w:t>
            </w:r>
          </w:p>
        </w:tc>
        <w:tc>
          <w:tcPr>
            <w:tcW w:w="999" w:type="dxa"/>
            <w:shd w:val="clear" w:color="auto" w:fill="99CCFF"/>
            <w:vAlign w:val="center"/>
          </w:tcPr>
          <w:p w:rsidR="00CF0FBC" w:rsidRPr="00085103" w:rsidP="00991D46" w14:paraId="7E674424" w14:textId="77777777">
            <w:pPr>
              <w:rPr>
                <w:b/>
                <w:sz w:val="22"/>
                <w:szCs w:val="22"/>
              </w:rPr>
            </w:pPr>
            <w:r w:rsidRPr="00085103">
              <w:rPr>
                <w:b/>
                <w:sz w:val="22"/>
                <w:szCs w:val="22"/>
              </w:rPr>
              <w:t>Jedinica</w:t>
            </w:r>
          </w:p>
        </w:tc>
        <w:tc>
          <w:tcPr>
            <w:tcW w:w="1170" w:type="dxa"/>
            <w:shd w:val="clear" w:color="auto" w:fill="99CCFF"/>
            <w:vAlign w:val="center"/>
          </w:tcPr>
          <w:p w:rsidR="00CF0FBC" w:rsidRPr="00085103" w:rsidP="00991D46" w14:paraId="5AAE0B91" w14:textId="77777777">
            <w:pPr>
              <w:rPr>
                <w:b/>
                <w:sz w:val="22"/>
                <w:szCs w:val="22"/>
              </w:rPr>
            </w:pPr>
            <w:r w:rsidRPr="00085103">
              <w:rPr>
                <w:b/>
                <w:sz w:val="22"/>
                <w:szCs w:val="22"/>
              </w:rPr>
              <w:t>Polazna vrijednost</w:t>
            </w:r>
          </w:p>
        </w:tc>
        <w:tc>
          <w:tcPr>
            <w:tcW w:w="1097" w:type="dxa"/>
            <w:shd w:val="clear" w:color="auto" w:fill="99CCFF"/>
            <w:vAlign w:val="center"/>
          </w:tcPr>
          <w:p w:rsidR="00CF0FBC" w:rsidRPr="00085103" w:rsidP="00991D46" w14:paraId="61FEA87E" w14:textId="77777777">
            <w:pPr>
              <w:rPr>
                <w:b/>
                <w:sz w:val="22"/>
                <w:szCs w:val="22"/>
              </w:rPr>
            </w:pPr>
            <w:r w:rsidRPr="00085103">
              <w:rPr>
                <w:b/>
                <w:sz w:val="22"/>
                <w:szCs w:val="22"/>
              </w:rPr>
              <w:t>Izvor podataka</w:t>
            </w:r>
          </w:p>
        </w:tc>
        <w:tc>
          <w:tcPr>
            <w:tcW w:w="1170" w:type="dxa"/>
            <w:shd w:val="clear" w:color="auto" w:fill="99CCFF"/>
            <w:vAlign w:val="center"/>
          </w:tcPr>
          <w:p w:rsidR="00CF0FBC" w:rsidRPr="00085103" w:rsidP="00991D46" w14:paraId="0192DC6B" w14:textId="77777777">
            <w:pPr>
              <w:rPr>
                <w:b/>
                <w:sz w:val="22"/>
                <w:szCs w:val="22"/>
              </w:rPr>
            </w:pPr>
            <w:r w:rsidRPr="00085103">
              <w:rPr>
                <w:b/>
                <w:sz w:val="22"/>
                <w:szCs w:val="22"/>
              </w:rPr>
              <w:t>Ciljana vrijednost</w:t>
            </w:r>
          </w:p>
          <w:p w:rsidR="00CF0FBC" w:rsidRPr="00085103" w:rsidP="00991D46" w14:paraId="7A1EA4E6" w14:textId="77777777">
            <w:pPr>
              <w:rPr>
                <w:b/>
                <w:sz w:val="22"/>
                <w:szCs w:val="22"/>
              </w:rPr>
            </w:pPr>
            <w:r w:rsidRPr="00085103">
              <w:rPr>
                <w:b/>
                <w:sz w:val="22"/>
                <w:szCs w:val="22"/>
              </w:rPr>
              <w:t>(202</w:t>
            </w:r>
            <w:r>
              <w:rPr>
                <w:b/>
                <w:sz w:val="22"/>
                <w:szCs w:val="22"/>
              </w:rPr>
              <w:t>4</w:t>
            </w:r>
            <w:r w:rsidRPr="00085103">
              <w:rPr>
                <w:b/>
                <w:sz w:val="22"/>
                <w:szCs w:val="22"/>
              </w:rPr>
              <w:t>.)</w:t>
            </w:r>
          </w:p>
        </w:tc>
        <w:tc>
          <w:tcPr>
            <w:tcW w:w="1170" w:type="dxa"/>
            <w:shd w:val="clear" w:color="auto" w:fill="99CCFF"/>
            <w:vAlign w:val="center"/>
          </w:tcPr>
          <w:p w:rsidR="00CF0FBC" w:rsidRPr="00085103" w:rsidP="00991D46" w14:paraId="04A8F5F5" w14:textId="77777777">
            <w:pPr>
              <w:rPr>
                <w:b/>
                <w:sz w:val="22"/>
                <w:szCs w:val="22"/>
              </w:rPr>
            </w:pPr>
            <w:r w:rsidRPr="00085103">
              <w:rPr>
                <w:b/>
                <w:sz w:val="22"/>
                <w:szCs w:val="22"/>
              </w:rPr>
              <w:t>Ciljana vrijednost</w:t>
            </w:r>
          </w:p>
          <w:p w:rsidR="00CF0FBC" w:rsidRPr="00085103" w:rsidP="00991D46" w14:paraId="60F07452" w14:textId="77777777">
            <w:pPr>
              <w:rPr>
                <w:b/>
                <w:sz w:val="22"/>
                <w:szCs w:val="22"/>
              </w:rPr>
            </w:pPr>
            <w:r w:rsidRPr="00085103">
              <w:rPr>
                <w:b/>
                <w:sz w:val="22"/>
                <w:szCs w:val="22"/>
              </w:rPr>
              <w:t>(20</w:t>
            </w:r>
            <w:r>
              <w:rPr>
                <w:b/>
                <w:sz w:val="22"/>
                <w:szCs w:val="22"/>
              </w:rPr>
              <w:t>25</w:t>
            </w:r>
            <w:r w:rsidRPr="00085103">
              <w:rPr>
                <w:b/>
                <w:sz w:val="22"/>
                <w:szCs w:val="22"/>
              </w:rPr>
              <w:t>.)</w:t>
            </w:r>
          </w:p>
        </w:tc>
        <w:tc>
          <w:tcPr>
            <w:tcW w:w="1170" w:type="dxa"/>
            <w:shd w:val="clear" w:color="auto" w:fill="99CCFF"/>
            <w:vAlign w:val="center"/>
          </w:tcPr>
          <w:p w:rsidR="00CF0FBC" w:rsidRPr="00085103" w:rsidP="00991D46" w14:paraId="03AB5019" w14:textId="77777777">
            <w:pPr>
              <w:rPr>
                <w:b/>
                <w:sz w:val="22"/>
                <w:szCs w:val="22"/>
              </w:rPr>
            </w:pPr>
            <w:r w:rsidRPr="00085103">
              <w:rPr>
                <w:b/>
                <w:sz w:val="22"/>
                <w:szCs w:val="22"/>
              </w:rPr>
              <w:t>Ciljana vrijednost</w:t>
            </w:r>
          </w:p>
          <w:p w:rsidR="00CF0FBC" w:rsidRPr="00085103" w:rsidP="00991D46" w14:paraId="5E2C8E8B" w14:textId="77777777">
            <w:pPr>
              <w:rPr>
                <w:b/>
                <w:sz w:val="22"/>
                <w:szCs w:val="22"/>
              </w:rPr>
            </w:pPr>
            <w:r w:rsidRPr="00085103">
              <w:rPr>
                <w:b/>
                <w:sz w:val="22"/>
                <w:szCs w:val="22"/>
              </w:rPr>
              <w:t>(202</w:t>
            </w:r>
            <w:r>
              <w:rPr>
                <w:b/>
                <w:sz w:val="22"/>
                <w:szCs w:val="22"/>
              </w:rPr>
              <w:t>6</w:t>
            </w:r>
            <w:r w:rsidRPr="00085103">
              <w:rPr>
                <w:b/>
                <w:sz w:val="22"/>
                <w:szCs w:val="22"/>
              </w:rPr>
              <w:t>.)</w:t>
            </w:r>
          </w:p>
        </w:tc>
      </w:tr>
      <w:tr w14:paraId="4C80429E" w14:textId="77777777" w:rsidTr="00991D46">
        <w:tblPrEx>
          <w:tblW w:w="11112" w:type="dxa"/>
          <w:tblLayout w:type="fixed"/>
          <w:tblLook w:val="01E0"/>
        </w:tblPrEx>
        <w:trPr>
          <w:trHeight w:val="513"/>
        </w:trPr>
        <w:tc>
          <w:tcPr>
            <w:tcW w:w="1951" w:type="dxa"/>
          </w:tcPr>
          <w:p w:rsidR="00CF0FBC" w:rsidRPr="00085103" w:rsidP="00991D46" w14:paraId="42DDD0A8" w14:textId="77777777">
            <w:pPr>
              <w:rPr>
                <w:sz w:val="22"/>
                <w:szCs w:val="22"/>
                <w:lang w:val="pl-PL"/>
              </w:rPr>
            </w:pPr>
            <w:r w:rsidRPr="00085103">
              <w:rPr>
                <w:sz w:val="22"/>
                <w:szCs w:val="22"/>
                <w:lang w:val="pl-PL"/>
              </w:rPr>
              <w:t xml:space="preserve">Povećanje broja </w:t>
            </w:r>
            <w:r>
              <w:rPr>
                <w:sz w:val="22"/>
                <w:szCs w:val="22"/>
                <w:lang w:val="pl-PL"/>
              </w:rPr>
              <w:t>učenika uključenih u prehranu u školskoj kuhinji</w:t>
            </w:r>
          </w:p>
        </w:tc>
        <w:tc>
          <w:tcPr>
            <w:tcW w:w="2385" w:type="dxa"/>
          </w:tcPr>
          <w:p w:rsidR="00CF0FBC" w:rsidRPr="00085103" w:rsidP="00991D46" w14:paraId="529AA0E9" w14:textId="77777777">
            <w:pPr>
              <w:rPr>
                <w:sz w:val="22"/>
                <w:szCs w:val="22"/>
                <w:lang w:val="pl-PL"/>
              </w:rPr>
            </w:pPr>
            <w:r w:rsidRPr="009D50CA">
              <w:rPr>
                <w:sz w:val="22"/>
                <w:szCs w:val="22"/>
                <w:lang w:val="pl-PL"/>
              </w:rPr>
              <w:t xml:space="preserve">Učenike se potiče na </w:t>
            </w:r>
            <w:r>
              <w:rPr>
                <w:sz w:val="22"/>
                <w:szCs w:val="22"/>
                <w:lang w:val="pl-PL"/>
              </w:rPr>
              <w:t xml:space="preserve"> uključivanje u prehranu u školskoj kuhinji kako bi imali topli obrok za vrijeme nastave te na razvoj zdravih prehrambenih  navika</w:t>
            </w:r>
          </w:p>
        </w:tc>
        <w:tc>
          <w:tcPr>
            <w:tcW w:w="999" w:type="dxa"/>
            <w:vAlign w:val="center"/>
          </w:tcPr>
          <w:p w:rsidR="00CF0FBC" w:rsidRPr="00085103" w:rsidP="00991D46" w14:paraId="111BE95B" w14:textId="77777777">
            <w:pPr>
              <w:rPr>
                <w:sz w:val="22"/>
                <w:szCs w:val="22"/>
              </w:rPr>
            </w:pPr>
            <w:r>
              <w:rPr>
                <w:sz w:val="22"/>
                <w:szCs w:val="22"/>
              </w:rPr>
              <w:t>postotak</w:t>
            </w:r>
          </w:p>
        </w:tc>
        <w:tc>
          <w:tcPr>
            <w:tcW w:w="1170" w:type="dxa"/>
            <w:vAlign w:val="center"/>
          </w:tcPr>
          <w:p w:rsidR="00CF0FBC" w:rsidRPr="00085103" w:rsidP="00991D46" w14:paraId="76D4124F" w14:textId="77777777">
            <w:pPr>
              <w:rPr>
                <w:sz w:val="22"/>
                <w:szCs w:val="22"/>
              </w:rPr>
            </w:pPr>
            <w:r>
              <w:rPr>
                <w:sz w:val="22"/>
                <w:szCs w:val="22"/>
              </w:rPr>
              <w:t>94%</w:t>
            </w:r>
          </w:p>
        </w:tc>
        <w:tc>
          <w:tcPr>
            <w:tcW w:w="1097" w:type="dxa"/>
            <w:vAlign w:val="center"/>
          </w:tcPr>
          <w:p w:rsidR="00CF0FBC" w:rsidRPr="00085103" w:rsidP="00991D46" w14:paraId="40CF6120" w14:textId="77777777">
            <w:pPr>
              <w:rPr>
                <w:sz w:val="22"/>
                <w:szCs w:val="22"/>
              </w:rPr>
            </w:pPr>
            <w:r w:rsidRPr="00085103">
              <w:rPr>
                <w:sz w:val="22"/>
                <w:szCs w:val="22"/>
              </w:rPr>
              <w:t>škola</w:t>
            </w:r>
          </w:p>
        </w:tc>
        <w:tc>
          <w:tcPr>
            <w:tcW w:w="1170" w:type="dxa"/>
            <w:vAlign w:val="center"/>
          </w:tcPr>
          <w:p w:rsidR="00CF0FBC" w:rsidRPr="00085103" w:rsidP="00991D46" w14:paraId="6ECDEF59" w14:textId="77777777">
            <w:pPr>
              <w:rPr>
                <w:sz w:val="22"/>
                <w:szCs w:val="22"/>
              </w:rPr>
            </w:pPr>
            <w:r>
              <w:rPr>
                <w:sz w:val="22"/>
                <w:szCs w:val="22"/>
              </w:rPr>
              <w:t>96%</w:t>
            </w:r>
          </w:p>
        </w:tc>
        <w:tc>
          <w:tcPr>
            <w:tcW w:w="1170" w:type="dxa"/>
            <w:vAlign w:val="center"/>
          </w:tcPr>
          <w:p w:rsidR="00CF0FBC" w:rsidRPr="00085103" w:rsidP="00991D46" w14:paraId="6D642AA8" w14:textId="77777777">
            <w:pPr>
              <w:rPr>
                <w:sz w:val="22"/>
                <w:szCs w:val="22"/>
              </w:rPr>
            </w:pPr>
            <w:r>
              <w:rPr>
                <w:sz w:val="22"/>
                <w:szCs w:val="22"/>
              </w:rPr>
              <w:t>98%</w:t>
            </w:r>
          </w:p>
        </w:tc>
        <w:tc>
          <w:tcPr>
            <w:tcW w:w="1170" w:type="dxa"/>
            <w:vAlign w:val="center"/>
          </w:tcPr>
          <w:p w:rsidR="00CF0FBC" w:rsidRPr="00085103" w:rsidP="00991D46" w14:paraId="36C55CA7" w14:textId="77777777">
            <w:pPr>
              <w:rPr>
                <w:sz w:val="22"/>
                <w:szCs w:val="22"/>
              </w:rPr>
            </w:pPr>
            <w:r>
              <w:rPr>
                <w:sz w:val="22"/>
                <w:szCs w:val="22"/>
              </w:rPr>
              <w:t>100%</w:t>
            </w:r>
          </w:p>
        </w:tc>
      </w:tr>
    </w:tbl>
    <w:p w:rsidR="000C3D67" w:rsidRPr="00D84560" w:rsidP="008C74E5" w14:paraId="2328D526" w14:textId="77777777">
      <w:pPr>
        <w:rPr>
          <w:rFonts w:eastAsia="Calibri"/>
          <w:sz w:val="22"/>
          <w:szCs w:val="22"/>
        </w:rPr>
      </w:pPr>
    </w:p>
    <w:p w:rsidR="00D84560" w:rsidRPr="000C3D67" w:rsidP="00D84560" w14:paraId="33A51A0B" w14:textId="77777777">
      <w:pPr>
        <w:jc w:val="both"/>
        <w:rPr>
          <w:rFonts w:eastAsia="Calibri"/>
          <w:bCs/>
          <w:sz w:val="22"/>
          <w:szCs w:val="22"/>
        </w:rPr>
      </w:pPr>
      <w:r w:rsidRPr="000C3D67">
        <w:rPr>
          <w:rFonts w:eastAsia="Calibri"/>
          <w:b/>
          <w:bCs/>
          <w:sz w:val="22"/>
          <w:szCs w:val="22"/>
        </w:rPr>
        <w:t xml:space="preserve">AKTIVNOST :  A900001- COP  </w:t>
      </w:r>
    </w:p>
    <w:p w:rsidR="00D84560" w:rsidRPr="000C3D67" w:rsidP="00D84560" w14:paraId="5FE4D729" w14:textId="77777777">
      <w:pPr>
        <w:rPr>
          <w:rFonts w:eastAsia="Calibri"/>
          <w:bCs/>
          <w:sz w:val="22"/>
          <w:szCs w:val="22"/>
        </w:rPr>
      </w:pPr>
    </w:p>
    <w:p w:rsidR="00D84560" w:rsidRPr="00D84560" w:rsidP="00D84560" w14:paraId="691F1E74" w14:textId="0309E8E8">
      <w:pPr>
        <w:jc w:val="both"/>
        <w:rPr>
          <w:rFonts w:eastAsia="Calibri"/>
          <w:bCs/>
          <w:sz w:val="22"/>
          <w:szCs w:val="22"/>
        </w:rPr>
      </w:pPr>
      <w:r w:rsidRPr="000C3D67">
        <w:rPr>
          <w:rFonts w:eastAsia="Calibri"/>
          <w:bCs/>
          <w:sz w:val="22"/>
          <w:szCs w:val="22"/>
        </w:rPr>
        <w:t>Ukupno  planirana s</w:t>
      </w:r>
      <w:r w:rsidRPr="000C3D67" w:rsidR="00FC235E">
        <w:rPr>
          <w:rFonts w:eastAsia="Calibri"/>
          <w:bCs/>
          <w:sz w:val="22"/>
          <w:szCs w:val="22"/>
        </w:rPr>
        <w:t>redstva za 2024. godinu iznose 2</w:t>
      </w:r>
      <w:r w:rsidRPr="000C3D67">
        <w:rPr>
          <w:rFonts w:eastAsia="Calibri"/>
          <w:bCs/>
          <w:sz w:val="22"/>
          <w:szCs w:val="22"/>
        </w:rPr>
        <w:t>.</w:t>
      </w:r>
      <w:r w:rsidRPr="000C3D67" w:rsidR="00FC235E">
        <w:rPr>
          <w:rFonts w:eastAsia="Calibri"/>
          <w:bCs/>
          <w:sz w:val="22"/>
          <w:szCs w:val="22"/>
        </w:rPr>
        <w:t>095</w:t>
      </w:r>
      <w:r w:rsidRPr="000C3D67">
        <w:rPr>
          <w:rFonts w:eastAsia="Calibri"/>
          <w:bCs/>
          <w:sz w:val="22"/>
          <w:szCs w:val="22"/>
        </w:rPr>
        <w:t>.000,00 eura. Za 8</w:t>
      </w:r>
      <w:r w:rsidRPr="000C3D67" w:rsidR="007C0725">
        <w:rPr>
          <w:rFonts w:eastAsia="Calibri"/>
          <w:bCs/>
          <w:sz w:val="22"/>
          <w:szCs w:val="22"/>
        </w:rPr>
        <w:t>2</w:t>
      </w:r>
      <w:r w:rsidRPr="000C3D67">
        <w:rPr>
          <w:rFonts w:eastAsia="Calibri"/>
          <w:bCs/>
          <w:sz w:val="22"/>
          <w:szCs w:val="22"/>
        </w:rPr>
        <w:t xml:space="preserve"> zaposlenika planirano je 1.</w:t>
      </w:r>
      <w:r w:rsidRPr="000C3D67" w:rsidR="007C0725">
        <w:rPr>
          <w:rFonts w:eastAsia="Calibri"/>
          <w:bCs/>
          <w:sz w:val="22"/>
          <w:szCs w:val="22"/>
        </w:rPr>
        <w:t>970</w:t>
      </w:r>
      <w:r w:rsidRPr="000C3D67">
        <w:rPr>
          <w:rFonts w:eastAsia="Calibri"/>
          <w:bCs/>
          <w:sz w:val="22"/>
          <w:szCs w:val="22"/>
        </w:rPr>
        <w:t>.000,00 eura za plaće i pripadajuće doprinose  a za  ostale rashode (jubilarne nagrade, darove za djecu do navršenih 15 godina života, razne pomoći, regres, božićnice i sl</w:t>
      </w:r>
      <w:r w:rsidR="008C74E5">
        <w:rPr>
          <w:rFonts w:eastAsia="Calibri"/>
          <w:bCs/>
          <w:sz w:val="22"/>
          <w:szCs w:val="22"/>
        </w:rPr>
        <w:t>.</w:t>
      </w:r>
      <w:r w:rsidRPr="000C3D67">
        <w:rPr>
          <w:rFonts w:eastAsia="Calibri"/>
          <w:bCs/>
          <w:sz w:val="22"/>
          <w:szCs w:val="22"/>
        </w:rPr>
        <w:t>) i prijevoz na posao planira</w:t>
      </w:r>
      <w:r w:rsidRPr="000C3D67" w:rsidR="007C0725">
        <w:rPr>
          <w:rFonts w:eastAsia="Calibri"/>
          <w:bCs/>
          <w:sz w:val="22"/>
          <w:szCs w:val="22"/>
        </w:rPr>
        <w:t>no</w:t>
      </w:r>
      <w:r w:rsidRPr="000C3D67">
        <w:rPr>
          <w:rFonts w:eastAsia="Calibri"/>
          <w:bCs/>
          <w:sz w:val="22"/>
          <w:szCs w:val="22"/>
        </w:rPr>
        <w:t xml:space="preserve"> </w:t>
      </w:r>
      <w:r w:rsidRPr="000C3D67" w:rsidR="007C0725">
        <w:rPr>
          <w:rFonts w:eastAsia="Calibri"/>
          <w:bCs/>
          <w:sz w:val="22"/>
          <w:szCs w:val="22"/>
        </w:rPr>
        <w:t>je</w:t>
      </w:r>
      <w:r w:rsidRPr="000C3D67">
        <w:rPr>
          <w:rFonts w:eastAsia="Calibri"/>
          <w:bCs/>
          <w:sz w:val="22"/>
          <w:szCs w:val="22"/>
        </w:rPr>
        <w:t xml:space="preserve"> još 1</w:t>
      </w:r>
      <w:r w:rsidRPr="000C3D67" w:rsidR="007C0725">
        <w:rPr>
          <w:rFonts w:eastAsia="Calibri"/>
          <w:bCs/>
          <w:sz w:val="22"/>
          <w:szCs w:val="22"/>
        </w:rPr>
        <w:t>25</w:t>
      </w:r>
      <w:r w:rsidRPr="000C3D67">
        <w:rPr>
          <w:rFonts w:eastAsia="Calibri"/>
          <w:bCs/>
          <w:sz w:val="22"/>
          <w:szCs w:val="22"/>
        </w:rPr>
        <w:t>.000,00 eura.</w:t>
      </w:r>
      <w:r w:rsidRPr="000C3D67" w:rsidR="000A198F">
        <w:rPr>
          <w:rFonts w:eastAsia="Calibri"/>
          <w:bCs/>
          <w:sz w:val="22"/>
          <w:szCs w:val="22"/>
        </w:rPr>
        <w:t xml:space="preserve"> </w:t>
      </w:r>
      <w:r w:rsidRPr="000C3D67" w:rsidR="000A198F">
        <w:rPr>
          <w:rFonts w:eastAsia="Calibri"/>
          <w:sz w:val="22"/>
          <w:szCs w:val="22"/>
        </w:rPr>
        <w:t xml:space="preserve">Predlaže se smanjenje ostalih rashoda za zaposlene u iznosu od </w:t>
      </w:r>
      <w:r w:rsidRPr="000C3D67" w:rsidR="007C0725">
        <w:rPr>
          <w:rFonts w:eastAsia="Calibri"/>
          <w:sz w:val="22"/>
          <w:szCs w:val="22"/>
        </w:rPr>
        <w:t>6.</w:t>
      </w:r>
      <w:r w:rsidRPr="000C3D67" w:rsidR="000A198F">
        <w:rPr>
          <w:rFonts w:eastAsia="Calibri"/>
          <w:sz w:val="22"/>
          <w:szCs w:val="22"/>
        </w:rPr>
        <w:t xml:space="preserve">000,00 eura zbog manjeg iznosa </w:t>
      </w:r>
      <w:r w:rsidRPr="000C3D67" w:rsidR="007C0725">
        <w:rPr>
          <w:rFonts w:eastAsia="Calibri"/>
          <w:sz w:val="22"/>
          <w:szCs w:val="22"/>
        </w:rPr>
        <w:t>isplaćenih sredstava za jubilarne nagrade i ostale pomoći  u odnosu na plan tako da su planirani novi ukupni rashodi aktivnosti u iznosu od 2.089.000,00 eura.</w:t>
      </w:r>
      <w:r w:rsidR="007C0725">
        <w:rPr>
          <w:rFonts w:eastAsia="Calibri"/>
          <w:sz w:val="22"/>
          <w:szCs w:val="22"/>
        </w:rPr>
        <w:t xml:space="preserve"> </w:t>
      </w:r>
    </w:p>
    <w:p w:rsidR="00D84560" w:rsidRPr="00D84560" w:rsidP="00D84560" w14:paraId="69E02AD2" w14:textId="77777777">
      <w:pPr>
        <w:rPr>
          <w:rFonts w:eastAsia="Calibri"/>
          <w:b/>
          <w:sz w:val="22"/>
          <w:szCs w:val="22"/>
        </w:rPr>
      </w:pPr>
    </w:p>
    <w:tbl>
      <w:tblPr>
        <w:tblpPr w:leftFromText="180" w:rightFromText="180" w:vertAnchor="text" w:horzAnchor="margin" w:tblpXSpec="center" w:tblpY="1"/>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385"/>
        <w:gridCol w:w="999"/>
        <w:gridCol w:w="1170"/>
        <w:gridCol w:w="1097"/>
        <w:gridCol w:w="1170"/>
        <w:gridCol w:w="1170"/>
        <w:gridCol w:w="1170"/>
      </w:tblGrid>
      <w:tr w14:paraId="5E6B142C" w14:textId="77777777" w:rsidTr="001F148D">
        <w:tblPrEx>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70"/>
        </w:trPr>
        <w:tc>
          <w:tcPr>
            <w:tcW w:w="1951" w:type="dxa"/>
            <w:shd w:val="clear" w:color="auto" w:fill="99CCFF"/>
            <w:vAlign w:val="center"/>
          </w:tcPr>
          <w:p w:rsidR="00A64B0F" w:rsidRPr="00A64B0F" w:rsidP="00A64B0F" w14:paraId="57D79C98" w14:textId="77777777">
            <w:pPr>
              <w:rPr>
                <w:b/>
                <w:sz w:val="22"/>
                <w:szCs w:val="22"/>
              </w:rPr>
            </w:pPr>
            <w:r w:rsidRPr="00A64B0F">
              <w:rPr>
                <w:b/>
                <w:sz w:val="22"/>
                <w:szCs w:val="22"/>
              </w:rPr>
              <w:t>Pokazatelj rezultata</w:t>
            </w:r>
          </w:p>
        </w:tc>
        <w:tc>
          <w:tcPr>
            <w:tcW w:w="2385" w:type="dxa"/>
            <w:shd w:val="clear" w:color="auto" w:fill="99CCFF"/>
            <w:vAlign w:val="center"/>
          </w:tcPr>
          <w:p w:rsidR="00A64B0F" w:rsidRPr="00A64B0F" w:rsidP="00A64B0F" w14:paraId="059F590D" w14:textId="77777777">
            <w:pPr>
              <w:rPr>
                <w:b/>
                <w:sz w:val="22"/>
                <w:szCs w:val="22"/>
              </w:rPr>
            </w:pPr>
            <w:r w:rsidRPr="00A64B0F">
              <w:rPr>
                <w:b/>
                <w:sz w:val="22"/>
                <w:szCs w:val="22"/>
              </w:rPr>
              <w:t>Definicija</w:t>
            </w:r>
          </w:p>
        </w:tc>
        <w:tc>
          <w:tcPr>
            <w:tcW w:w="999" w:type="dxa"/>
            <w:shd w:val="clear" w:color="auto" w:fill="99CCFF"/>
            <w:vAlign w:val="center"/>
          </w:tcPr>
          <w:p w:rsidR="00A64B0F" w:rsidRPr="00A64B0F" w:rsidP="00A64B0F" w14:paraId="4D27F56E" w14:textId="77777777">
            <w:pPr>
              <w:rPr>
                <w:b/>
                <w:sz w:val="22"/>
                <w:szCs w:val="22"/>
              </w:rPr>
            </w:pPr>
            <w:r w:rsidRPr="00A64B0F">
              <w:rPr>
                <w:b/>
                <w:sz w:val="22"/>
                <w:szCs w:val="22"/>
              </w:rPr>
              <w:t>Jedinica</w:t>
            </w:r>
          </w:p>
        </w:tc>
        <w:tc>
          <w:tcPr>
            <w:tcW w:w="1170" w:type="dxa"/>
            <w:shd w:val="clear" w:color="auto" w:fill="99CCFF"/>
            <w:vAlign w:val="center"/>
          </w:tcPr>
          <w:p w:rsidR="00A64B0F" w:rsidRPr="00A64B0F" w:rsidP="00A64B0F" w14:paraId="10FF4F29" w14:textId="77777777">
            <w:pPr>
              <w:rPr>
                <w:b/>
                <w:sz w:val="22"/>
                <w:szCs w:val="22"/>
              </w:rPr>
            </w:pPr>
            <w:r w:rsidRPr="00A64B0F">
              <w:rPr>
                <w:b/>
                <w:sz w:val="22"/>
                <w:szCs w:val="22"/>
              </w:rPr>
              <w:t>Polazna vrijednost</w:t>
            </w:r>
          </w:p>
        </w:tc>
        <w:tc>
          <w:tcPr>
            <w:tcW w:w="1097" w:type="dxa"/>
            <w:shd w:val="clear" w:color="auto" w:fill="99CCFF"/>
            <w:vAlign w:val="center"/>
          </w:tcPr>
          <w:p w:rsidR="00A64B0F" w:rsidRPr="00A64B0F" w:rsidP="00A64B0F" w14:paraId="2D8C9556" w14:textId="77777777">
            <w:pPr>
              <w:rPr>
                <w:b/>
                <w:sz w:val="22"/>
                <w:szCs w:val="22"/>
              </w:rPr>
            </w:pPr>
            <w:r w:rsidRPr="00A64B0F">
              <w:rPr>
                <w:b/>
                <w:sz w:val="22"/>
                <w:szCs w:val="22"/>
              </w:rPr>
              <w:t>Izvor podataka</w:t>
            </w:r>
          </w:p>
        </w:tc>
        <w:tc>
          <w:tcPr>
            <w:tcW w:w="1170" w:type="dxa"/>
            <w:shd w:val="clear" w:color="auto" w:fill="99CCFF"/>
            <w:vAlign w:val="center"/>
          </w:tcPr>
          <w:p w:rsidR="00A64B0F" w:rsidRPr="00A64B0F" w:rsidP="00A64B0F" w14:paraId="0549DBFD" w14:textId="77777777">
            <w:pPr>
              <w:rPr>
                <w:b/>
                <w:sz w:val="22"/>
                <w:szCs w:val="22"/>
              </w:rPr>
            </w:pPr>
            <w:r w:rsidRPr="00A64B0F">
              <w:rPr>
                <w:b/>
                <w:sz w:val="22"/>
                <w:szCs w:val="22"/>
              </w:rPr>
              <w:t>Ciljana vrijednost</w:t>
            </w:r>
          </w:p>
          <w:p w:rsidR="00A64B0F" w:rsidRPr="00A64B0F" w:rsidP="00A64B0F" w14:paraId="7D8920EB" w14:textId="77777777">
            <w:pPr>
              <w:rPr>
                <w:b/>
                <w:sz w:val="22"/>
                <w:szCs w:val="22"/>
              </w:rPr>
            </w:pPr>
            <w:r w:rsidRPr="00A64B0F">
              <w:rPr>
                <w:b/>
                <w:sz w:val="22"/>
                <w:szCs w:val="22"/>
              </w:rPr>
              <w:t>(2024.)</w:t>
            </w:r>
          </w:p>
        </w:tc>
        <w:tc>
          <w:tcPr>
            <w:tcW w:w="1170" w:type="dxa"/>
            <w:shd w:val="clear" w:color="auto" w:fill="99CCFF"/>
            <w:vAlign w:val="center"/>
          </w:tcPr>
          <w:p w:rsidR="00A64B0F" w:rsidRPr="00A64B0F" w:rsidP="00A64B0F" w14:paraId="10C0D76D" w14:textId="77777777">
            <w:pPr>
              <w:rPr>
                <w:b/>
                <w:sz w:val="22"/>
                <w:szCs w:val="22"/>
              </w:rPr>
            </w:pPr>
            <w:r w:rsidRPr="00A64B0F">
              <w:rPr>
                <w:b/>
                <w:sz w:val="22"/>
                <w:szCs w:val="22"/>
              </w:rPr>
              <w:t>Ciljana vrijednost</w:t>
            </w:r>
          </w:p>
          <w:p w:rsidR="00A64B0F" w:rsidRPr="00A64B0F" w:rsidP="00A64B0F" w14:paraId="51153468" w14:textId="77777777">
            <w:pPr>
              <w:rPr>
                <w:b/>
                <w:sz w:val="22"/>
                <w:szCs w:val="22"/>
              </w:rPr>
            </w:pPr>
            <w:r w:rsidRPr="00A64B0F">
              <w:rPr>
                <w:b/>
                <w:sz w:val="22"/>
                <w:szCs w:val="22"/>
              </w:rPr>
              <w:t>(2025.)</w:t>
            </w:r>
          </w:p>
        </w:tc>
        <w:tc>
          <w:tcPr>
            <w:tcW w:w="1170" w:type="dxa"/>
            <w:shd w:val="clear" w:color="auto" w:fill="99CCFF"/>
            <w:vAlign w:val="center"/>
          </w:tcPr>
          <w:p w:rsidR="00A64B0F" w:rsidRPr="00A64B0F" w:rsidP="00A64B0F" w14:paraId="35886262" w14:textId="77777777">
            <w:pPr>
              <w:rPr>
                <w:b/>
                <w:sz w:val="22"/>
                <w:szCs w:val="22"/>
              </w:rPr>
            </w:pPr>
            <w:r w:rsidRPr="00A64B0F">
              <w:rPr>
                <w:b/>
                <w:sz w:val="22"/>
                <w:szCs w:val="22"/>
              </w:rPr>
              <w:t>Ciljana vrijednost</w:t>
            </w:r>
          </w:p>
          <w:p w:rsidR="00A64B0F" w:rsidRPr="00A64B0F" w:rsidP="00A64B0F" w14:paraId="4C3312F5" w14:textId="77777777">
            <w:pPr>
              <w:rPr>
                <w:b/>
                <w:sz w:val="22"/>
                <w:szCs w:val="22"/>
              </w:rPr>
            </w:pPr>
            <w:r w:rsidRPr="00A64B0F">
              <w:rPr>
                <w:b/>
                <w:sz w:val="22"/>
                <w:szCs w:val="22"/>
              </w:rPr>
              <w:t>(2026.)</w:t>
            </w:r>
          </w:p>
        </w:tc>
      </w:tr>
      <w:tr w14:paraId="4BE36FB1" w14:textId="77777777" w:rsidTr="001F148D">
        <w:tblPrEx>
          <w:tblW w:w="11112" w:type="dxa"/>
          <w:tblLayout w:type="fixed"/>
          <w:tblLook w:val="01E0"/>
        </w:tblPrEx>
        <w:trPr>
          <w:trHeight w:val="513"/>
        </w:trPr>
        <w:tc>
          <w:tcPr>
            <w:tcW w:w="1951" w:type="dxa"/>
          </w:tcPr>
          <w:p w:rsidR="00A64B0F" w:rsidRPr="00A64B0F" w:rsidP="00A64B0F" w14:paraId="4CF1CDA6" w14:textId="77777777">
            <w:pPr>
              <w:rPr>
                <w:sz w:val="22"/>
                <w:szCs w:val="22"/>
                <w:lang w:val="pl-PL"/>
              </w:rPr>
            </w:pPr>
            <w:r w:rsidRPr="00A64B0F">
              <w:rPr>
                <w:rFonts w:eastAsia="Calibri"/>
                <w:color w:val="000000"/>
                <w:sz w:val="22"/>
                <w:szCs w:val="22"/>
              </w:rPr>
              <w:t>Isplata plaće i materijalnih prava svim zaposlenicima škole </w:t>
            </w:r>
          </w:p>
        </w:tc>
        <w:tc>
          <w:tcPr>
            <w:tcW w:w="2385" w:type="dxa"/>
          </w:tcPr>
          <w:p w:rsidR="00A64B0F" w:rsidRPr="00A64B0F" w:rsidP="00A64B0F" w14:paraId="736B4832" w14:textId="77777777">
            <w:pPr>
              <w:rPr>
                <w:sz w:val="22"/>
                <w:szCs w:val="22"/>
                <w:lang w:val="pl-PL"/>
              </w:rPr>
            </w:pPr>
            <w:r w:rsidRPr="00A64B0F">
              <w:rPr>
                <w:rFonts w:eastAsia="Calibri"/>
                <w:color w:val="000000"/>
                <w:sz w:val="22"/>
                <w:szCs w:val="22"/>
              </w:rPr>
              <w:t>Voditi ispravnu evidenciju svakog zaposlenika kako bi primio plaću koja mu pripada i u roku koji je predviđen uputama za isplatu plaće kao i sva materijalna prava koja mu pripadaju prema Kolektivnim ugovorima</w:t>
            </w:r>
          </w:p>
        </w:tc>
        <w:tc>
          <w:tcPr>
            <w:tcW w:w="999" w:type="dxa"/>
          </w:tcPr>
          <w:p w:rsidR="00A64B0F" w:rsidRPr="00A64B0F" w:rsidP="00A64B0F" w14:paraId="75BD9FC5"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06A74148"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59800C3F"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2062A35B" w14:textId="77777777">
            <w:pPr>
              <w:jc w:val="center"/>
              <w:rPr>
                <w:rFonts w:eastAsia="Calibri"/>
                <w:color w:val="000000"/>
                <w:sz w:val="22"/>
                <w:szCs w:val="22"/>
              </w:rPr>
            </w:pPr>
          </w:p>
          <w:p w:rsidR="00A64B0F" w:rsidRPr="00A64B0F" w:rsidP="00A64B0F" w14:paraId="0321A511" w14:textId="77777777">
            <w:pPr>
              <w:jc w:val="center"/>
              <w:rPr>
                <w:rFonts w:eastAsia="Calibri"/>
                <w:color w:val="000000"/>
                <w:sz w:val="22"/>
                <w:szCs w:val="22"/>
              </w:rPr>
            </w:pPr>
          </w:p>
          <w:p w:rsidR="00A64B0F" w:rsidRPr="00A64B0F" w:rsidP="00A64B0F" w14:paraId="3CC629D5" w14:textId="77777777">
            <w:pPr>
              <w:jc w:val="center"/>
              <w:rPr>
                <w:rFonts w:ascii="Calibri" w:eastAsia="Calibri" w:hAnsi="Calibri"/>
                <w:sz w:val="22"/>
                <w:szCs w:val="22"/>
              </w:rPr>
            </w:pPr>
            <w:r w:rsidRPr="00A64B0F">
              <w:rPr>
                <w:rFonts w:eastAsia="Calibri"/>
                <w:color w:val="000000"/>
                <w:sz w:val="22"/>
                <w:szCs w:val="22"/>
              </w:rPr>
              <w:t>% </w:t>
            </w:r>
          </w:p>
        </w:tc>
        <w:tc>
          <w:tcPr>
            <w:tcW w:w="1170" w:type="dxa"/>
          </w:tcPr>
          <w:p w:rsidR="00A64B0F" w:rsidRPr="00A64B0F" w:rsidP="00A64B0F" w14:paraId="193FB41D" w14:textId="77777777">
            <w:pPr>
              <w:spacing w:after="200"/>
              <w:jc w:val="center"/>
              <w:rPr>
                <w:rFonts w:ascii="Calibri" w:eastAsia="Calibri" w:hAnsi="Calibri"/>
                <w:sz w:val="22"/>
                <w:szCs w:val="22"/>
              </w:rPr>
            </w:pPr>
            <w:r w:rsidRPr="00A64B0F">
              <w:rPr>
                <w:rFonts w:eastAsia="Calibri"/>
                <w:color w:val="000000"/>
                <w:sz w:val="22"/>
                <w:szCs w:val="22"/>
              </w:rPr>
              <w:t> </w:t>
            </w:r>
          </w:p>
          <w:p w:rsidR="00A64B0F" w:rsidRPr="00A64B0F" w:rsidP="00A64B0F" w14:paraId="3BED7DF3" w14:textId="77777777">
            <w:pPr>
              <w:spacing w:after="200"/>
              <w:jc w:val="center"/>
              <w:rPr>
                <w:rFonts w:ascii="Calibri" w:eastAsia="Calibri" w:hAnsi="Calibri"/>
                <w:sz w:val="22"/>
                <w:szCs w:val="22"/>
              </w:rPr>
            </w:pPr>
            <w:r w:rsidRPr="00A64B0F">
              <w:rPr>
                <w:rFonts w:eastAsia="Calibri"/>
                <w:color w:val="000000"/>
                <w:sz w:val="22"/>
                <w:szCs w:val="22"/>
              </w:rPr>
              <w:t> </w:t>
            </w:r>
          </w:p>
          <w:p w:rsidR="00A64B0F" w:rsidRPr="00A64B0F" w:rsidP="00A64B0F" w14:paraId="21059CB6" w14:textId="77777777">
            <w:pPr>
              <w:spacing w:after="200"/>
              <w:jc w:val="center"/>
              <w:rPr>
                <w:rFonts w:ascii="Calibri" w:eastAsia="Calibri" w:hAnsi="Calibri"/>
                <w:sz w:val="22"/>
                <w:szCs w:val="22"/>
              </w:rPr>
            </w:pPr>
            <w:r w:rsidRPr="00A64B0F">
              <w:rPr>
                <w:rFonts w:eastAsia="Calibri"/>
                <w:color w:val="000000"/>
                <w:sz w:val="22"/>
                <w:szCs w:val="22"/>
              </w:rPr>
              <w:t> </w:t>
            </w:r>
          </w:p>
          <w:p w:rsidR="00A64B0F" w:rsidRPr="00A64B0F" w:rsidP="00A64B0F" w14:paraId="6F59A5E4" w14:textId="77777777">
            <w:pPr>
              <w:spacing w:after="200"/>
              <w:jc w:val="center"/>
              <w:rPr>
                <w:rFonts w:ascii="Calibri" w:eastAsia="Calibri" w:hAnsi="Calibri"/>
                <w:sz w:val="22"/>
                <w:szCs w:val="22"/>
              </w:rPr>
            </w:pPr>
            <w:r w:rsidRPr="00A64B0F">
              <w:rPr>
                <w:rFonts w:eastAsia="Calibri"/>
                <w:color w:val="000000"/>
                <w:sz w:val="22"/>
                <w:szCs w:val="22"/>
              </w:rPr>
              <w:t>100 </w:t>
            </w:r>
          </w:p>
        </w:tc>
        <w:tc>
          <w:tcPr>
            <w:tcW w:w="1097" w:type="dxa"/>
          </w:tcPr>
          <w:p w:rsidR="00A64B0F" w:rsidRPr="00A64B0F" w:rsidP="00A64B0F" w14:paraId="5D3E095F"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2FFA70EE"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35CB381F"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5034D90C" w14:textId="77777777">
            <w:pPr>
              <w:jc w:val="center"/>
              <w:rPr>
                <w:rFonts w:eastAsia="Calibri"/>
                <w:color w:val="000000"/>
                <w:sz w:val="22"/>
                <w:szCs w:val="22"/>
              </w:rPr>
            </w:pPr>
          </w:p>
          <w:p w:rsidR="00A64B0F" w:rsidRPr="00A64B0F" w:rsidP="00A64B0F" w14:paraId="16778EC2" w14:textId="77777777">
            <w:pPr>
              <w:jc w:val="center"/>
              <w:rPr>
                <w:rFonts w:eastAsia="Calibri"/>
                <w:color w:val="000000"/>
                <w:sz w:val="22"/>
                <w:szCs w:val="22"/>
              </w:rPr>
            </w:pPr>
          </w:p>
          <w:p w:rsidR="00A64B0F" w:rsidRPr="00A64B0F" w:rsidP="00A64B0F" w14:paraId="03AC6373" w14:textId="77777777">
            <w:pPr>
              <w:jc w:val="center"/>
              <w:rPr>
                <w:rFonts w:ascii="Calibri" w:eastAsia="Calibri" w:hAnsi="Calibri"/>
                <w:sz w:val="22"/>
                <w:szCs w:val="22"/>
              </w:rPr>
            </w:pPr>
            <w:r w:rsidRPr="00A64B0F">
              <w:rPr>
                <w:rFonts w:eastAsia="Calibri"/>
                <w:color w:val="000000"/>
                <w:sz w:val="22"/>
                <w:szCs w:val="22"/>
              </w:rPr>
              <w:t>škola </w:t>
            </w:r>
          </w:p>
        </w:tc>
        <w:tc>
          <w:tcPr>
            <w:tcW w:w="1170" w:type="dxa"/>
          </w:tcPr>
          <w:p w:rsidR="00A64B0F" w:rsidRPr="00A64B0F" w:rsidP="00A64B0F" w14:paraId="076FE462"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6A994084"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144CFBA5"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685EADCC" w14:textId="77777777">
            <w:pPr>
              <w:jc w:val="center"/>
              <w:rPr>
                <w:rFonts w:eastAsia="Calibri"/>
                <w:color w:val="000000"/>
                <w:sz w:val="22"/>
                <w:szCs w:val="22"/>
              </w:rPr>
            </w:pPr>
          </w:p>
          <w:p w:rsidR="00A64B0F" w:rsidRPr="00A64B0F" w:rsidP="00A64B0F" w14:paraId="133E688B" w14:textId="77777777">
            <w:pPr>
              <w:jc w:val="center"/>
              <w:rPr>
                <w:rFonts w:eastAsia="Calibri"/>
                <w:color w:val="000000"/>
                <w:sz w:val="22"/>
                <w:szCs w:val="22"/>
              </w:rPr>
            </w:pPr>
          </w:p>
          <w:p w:rsidR="00A64B0F" w:rsidRPr="00A64B0F" w:rsidP="00A64B0F" w14:paraId="5C3D5285" w14:textId="77777777">
            <w:pPr>
              <w:jc w:val="center"/>
              <w:rPr>
                <w:rFonts w:ascii="Calibri" w:eastAsia="Calibri" w:hAnsi="Calibri"/>
                <w:sz w:val="22"/>
                <w:szCs w:val="22"/>
              </w:rPr>
            </w:pPr>
            <w:r w:rsidRPr="00A64B0F">
              <w:rPr>
                <w:rFonts w:eastAsia="Calibri"/>
                <w:color w:val="000000"/>
                <w:sz w:val="22"/>
                <w:szCs w:val="22"/>
              </w:rPr>
              <w:t>100 </w:t>
            </w:r>
          </w:p>
        </w:tc>
        <w:tc>
          <w:tcPr>
            <w:tcW w:w="1170" w:type="dxa"/>
          </w:tcPr>
          <w:p w:rsidR="00A64B0F" w:rsidRPr="00A64B0F" w:rsidP="00A64B0F" w14:paraId="379390BC"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33243CA9"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1037FA5C"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4E8C6287" w14:textId="77777777">
            <w:pPr>
              <w:jc w:val="center"/>
              <w:rPr>
                <w:rFonts w:eastAsia="Calibri"/>
                <w:color w:val="000000"/>
                <w:sz w:val="22"/>
                <w:szCs w:val="22"/>
              </w:rPr>
            </w:pPr>
          </w:p>
          <w:p w:rsidR="00A64B0F" w:rsidRPr="00A64B0F" w:rsidP="00A64B0F" w14:paraId="7AACBD57" w14:textId="77777777">
            <w:pPr>
              <w:jc w:val="center"/>
              <w:rPr>
                <w:rFonts w:eastAsia="Calibri"/>
                <w:color w:val="000000"/>
                <w:sz w:val="22"/>
                <w:szCs w:val="22"/>
              </w:rPr>
            </w:pPr>
          </w:p>
          <w:p w:rsidR="00A64B0F" w:rsidRPr="00A64B0F" w:rsidP="00A64B0F" w14:paraId="4FE8ACD0" w14:textId="77777777">
            <w:pPr>
              <w:jc w:val="center"/>
              <w:rPr>
                <w:rFonts w:ascii="Calibri" w:eastAsia="Calibri" w:hAnsi="Calibri"/>
                <w:sz w:val="22"/>
                <w:szCs w:val="22"/>
              </w:rPr>
            </w:pPr>
            <w:r w:rsidRPr="00A64B0F">
              <w:rPr>
                <w:rFonts w:eastAsia="Calibri"/>
                <w:color w:val="000000"/>
                <w:sz w:val="22"/>
                <w:szCs w:val="22"/>
              </w:rPr>
              <w:t>100 </w:t>
            </w:r>
          </w:p>
        </w:tc>
        <w:tc>
          <w:tcPr>
            <w:tcW w:w="1170" w:type="dxa"/>
          </w:tcPr>
          <w:p w:rsidR="00A64B0F" w:rsidRPr="00A64B0F" w:rsidP="00A64B0F" w14:paraId="2C3A8B4B"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5CFE8D04"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2C74CB50" w14:textId="77777777">
            <w:pPr>
              <w:jc w:val="center"/>
              <w:rPr>
                <w:rFonts w:ascii="Calibri" w:eastAsia="Calibri" w:hAnsi="Calibri"/>
                <w:sz w:val="22"/>
                <w:szCs w:val="22"/>
              </w:rPr>
            </w:pPr>
            <w:r w:rsidRPr="00A64B0F">
              <w:rPr>
                <w:rFonts w:eastAsia="Calibri"/>
                <w:color w:val="000000"/>
                <w:sz w:val="22"/>
                <w:szCs w:val="22"/>
              </w:rPr>
              <w:t> </w:t>
            </w:r>
          </w:p>
          <w:p w:rsidR="00A64B0F" w:rsidRPr="00A64B0F" w:rsidP="00A64B0F" w14:paraId="17A89561" w14:textId="77777777">
            <w:pPr>
              <w:jc w:val="center"/>
              <w:rPr>
                <w:rFonts w:eastAsia="Calibri"/>
                <w:color w:val="000000"/>
                <w:sz w:val="22"/>
                <w:szCs w:val="22"/>
              </w:rPr>
            </w:pPr>
          </w:p>
          <w:p w:rsidR="00A64B0F" w:rsidRPr="00A64B0F" w:rsidP="00A64B0F" w14:paraId="3977717F" w14:textId="77777777">
            <w:pPr>
              <w:jc w:val="center"/>
              <w:rPr>
                <w:rFonts w:eastAsia="Calibri"/>
                <w:color w:val="000000"/>
                <w:sz w:val="22"/>
                <w:szCs w:val="22"/>
              </w:rPr>
            </w:pPr>
          </w:p>
          <w:p w:rsidR="00A64B0F" w:rsidRPr="00A64B0F" w:rsidP="00A64B0F" w14:paraId="3649E503" w14:textId="77777777">
            <w:pPr>
              <w:jc w:val="center"/>
              <w:rPr>
                <w:rFonts w:ascii="Calibri" w:eastAsia="Calibri" w:hAnsi="Calibri"/>
                <w:sz w:val="22"/>
                <w:szCs w:val="22"/>
              </w:rPr>
            </w:pPr>
            <w:r w:rsidRPr="00A64B0F">
              <w:rPr>
                <w:rFonts w:eastAsia="Calibri"/>
                <w:color w:val="000000"/>
                <w:sz w:val="22"/>
                <w:szCs w:val="22"/>
              </w:rPr>
              <w:t>100 </w:t>
            </w:r>
          </w:p>
        </w:tc>
      </w:tr>
    </w:tbl>
    <w:p w:rsidR="007C0725" w:rsidP="00692A6F" w14:paraId="375572A2" w14:textId="77777777">
      <w:pPr>
        <w:pStyle w:val="ListParagraph1"/>
        <w:ind w:left="0"/>
        <w:jc w:val="both"/>
        <w:rPr>
          <w:b/>
          <w:sz w:val="22"/>
          <w:szCs w:val="22"/>
        </w:rPr>
      </w:pPr>
    </w:p>
    <w:p w:rsidR="007D0FDF" w:rsidRPr="00AE0D8D" w:rsidP="00692A6F" w14:paraId="21BA8B84" w14:textId="77777777">
      <w:pPr>
        <w:pStyle w:val="ListParagraph1"/>
        <w:ind w:left="0"/>
        <w:jc w:val="both"/>
        <w:rPr>
          <w:b/>
          <w:sz w:val="22"/>
          <w:szCs w:val="22"/>
        </w:rPr>
      </w:pPr>
      <w:r w:rsidRPr="00AE0D8D">
        <w:rPr>
          <w:b/>
          <w:sz w:val="22"/>
          <w:szCs w:val="22"/>
        </w:rPr>
        <w:t>PRIHODI</w:t>
      </w:r>
    </w:p>
    <w:p w:rsidR="00950E55" w:rsidRPr="00AE0D8D" w:rsidP="00A83F06" w14:paraId="0C871ACD" w14:textId="77777777">
      <w:pPr>
        <w:jc w:val="both"/>
        <w:rPr>
          <w:b/>
          <w:sz w:val="22"/>
          <w:szCs w:val="22"/>
        </w:rPr>
      </w:pPr>
    </w:p>
    <w:p w:rsidR="00950E55" w:rsidRPr="00AE0D8D" w:rsidP="00950E55" w14:paraId="361BE7C4" w14:textId="54954F1C">
      <w:pPr>
        <w:jc w:val="both"/>
        <w:rPr>
          <w:sz w:val="22"/>
          <w:szCs w:val="22"/>
        </w:rPr>
      </w:pPr>
      <w:r>
        <w:rPr>
          <w:sz w:val="22"/>
          <w:szCs w:val="22"/>
        </w:rPr>
        <w:t>I</w:t>
      </w:r>
      <w:r w:rsidRPr="00AE0D8D" w:rsidR="00ED3B79">
        <w:rPr>
          <w:sz w:val="22"/>
          <w:szCs w:val="22"/>
        </w:rPr>
        <w:t>I</w:t>
      </w:r>
      <w:r w:rsidRPr="00AE0D8D">
        <w:rPr>
          <w:sz w:val="22"/>
          <w:szCs w:val="22"/>
        </w:rPr>
        <w:t xml:space="preserve">. Izmjenama i dopunama Financijskog plana Osnovne škole „Antun </w:t>
      </w:r>
      <w:r w:rsidRPr="00AE0D8D" w:rsidR="00777E38">
        <w:rPr>
          <w:sz w:val="22"/>
          <w:szCs w:val="22"/>
        </w:rPr>
        <w:t>Nemčić</w:t>
      </w:r>
      <w:r w:rsidRPr="00AE0D8D" w:rsidR="00777E38">
        <w:rPr>
          <w:sz w:val="22"/>
          <w:szCs w:val="22"/>
        </w:rPr>
        <w:t xml:space="preserve"> </w:t>
      </w:r>
      <w:r w:rsidRPr="00AE0D8D" w:rsidR="00777E38">
        <w:rPr>
          <w:sz w:val="22"/>
          <w:szCs w:val="22"/>
        </w:rPr>
        <w:t>Gostovinski</w:t>
      </w:r>
      <w:r w:rsidRPr="00AE0D8D" w:rsidR="00777E38">
        <w:rPr>
          <w:sz w:val="22"/>
          <w:szCs w:val="22"/>
        </w:rPr>
        <w:t xml:space="preserve">“ </w:t>
      </w:r>
      <w:r w:rsidRPr="00AE0D8D">
        <w:rPr>
          <w:sz w:val="22"/>
          <w:szCs w:val="22"/>
        </w:rPr>
        <w:t>predlaže</w:t>
      </w:r>
      <w:r w:rsidRPr="00AE0D8D" w:rsidR="00B33FD5">
        <w:rPr>
          <w:sz w:val="22"/>
          <w:szCs w:val="22"/>
        </w:rPr>
        <w:t xml:space="preserve"> se </w:t>
      </w:r>
      <w:r w:rsidRPr="00AE0D8D" w:rsidR="008D42E8">
        <w:rPr>
          <w:sz w:val="22"/>
          <w:szCs w:val="22"/>
        </w:rPr>
        <w:t xml:space="preserve">ukupno povećanje </w:t>
      </w:r>
      <w:r w:rsidRPr="00AE0D8D" w:rsidR="00777E38">
        <w:rPr>
          <w:sz w:val="22"/>
          <w:szCs w:val="22"/>
        </w:rPr>
        <w:t xml:space="preserve">prihoda </w:t>
      </w:r>
      <w:r w:rsidRPr="00AE0D8D">
        <w:rPr>
          <w:sz w:val="22"/>
          <w:szCs w:val="22"/>
        </w:rPr>
        <w:t xml:space="preserve">za </w:t>
      </w:r>
      <w:r w:rsidR="00500439">
        <w:rPr>
          <w:sz w:val="22"/>
          <w:szCs w:val="22"/>
        </w:rPr>
        <w:t>108.288,00</w:t>
      </w:r>
      <w:r w:rsidRPr="00AE0D8D" w:rsidR="00920FB0">
        <w:rPr>
          <w:sz w:val="22"/>
          <w:szCs w:val="22"/>
        </w:rPr>
        <w:t xml:space="preserve"> eura </w:t>
      </w:r>
      <w:r w:rsidRPr="00AE0D8D">
        <w:rPr>
          <w:sz w:val="22"/>
          <w:szCs w:val="22"/>
        </w:rPr>
        <w:t xml:space="preserve">te novi plan iznosi </w:t>
      </w:r>
      <w:r w:rsidR="00500439">
        <w:rPr>
          <w:sz w:val="22"/>
          <w:szCs w:val="22"/>
        </w:rPr>
        <w:t>3.007.551,00</w:t>
      </w:r>
      <w:r w:rsidRPr="00AE0D8D" w:rsidR="00920FB0">
        <w:rPr>
          <w:sz w:val="22"/>
          <w:szCs w:val="22"/>
        </w:rPr>
        <w:t xml:space="preserve"> eura</w:t>
      </w:r>
      <w:r w:rsidRPr="00AE0D8D" w:rsidR="007C4D23">
        <w:rPr>
          <w:sz w:val="22"/>
          <w:szCs w:val="22"/>
        </w:rPr>
        <w:t>,</w:t>
      </w:r>
      <w:r w:rsidRPr="00AE0D8D" w:rsidR="00920FB0">
        <w:rPr>
          <w:sz w:val="22"/>
          <w:szCs w:val="22"/>
        </w:rPr>
        <w:t xml:space="preserve"> </w:t>
      </w:r>
      <w:r w:rsidRPr="00AE0D8D">
        <w:rPr>
          <w:sz w:val="22"/>
          <w:szCs w:val="22"/>
        </w:rPr>
        <w:t>a promjene se  odnose  na slijedeće prihode:</w:t>
      </w:r>
    </w:p>
    <w:p w:rsidR="003D74C5" w:rsidRPr="00AE0D8D" w:rsidP="00950E55" w14:paraId="67971401" w14:textId="77777777">
      <w:pPr>
        <w:jc w:val="both"/>
        <w:rPr>
          <w:sz w:val="22"/>
          <w:szCs w:val="22"/>
        </w:rPr>
      </w:pPr>
    </w:p>
    <w:p w:rsidR="00EC0449" w:rsidRPr="00AE0D8D" w:rsidP="002B1F21" w14:paraId="29E76758" w14:textId="62A1A933">
      <w:pPr>
        <w:jc w:val="both"/>
        <w:rPr>
          <w:b/>
          <w:sz w:val="22"/>
          <w:szCs w:val="22"/>
        </w:rPr>
      </w:pPr>
      <w:r w:rsidRPr="00AE0D8D">
        <w:rPr>
          <w:b/>
          <w:sz w:val="22"/>
          <w:szCs w:val="22"/>
        </w:rPr>
        <w:t xml:space="preserve">Skupina prihoda 63 Pomoći iz inozemstva i od subjekata unutar općeg proračuna </w:t>
      </w:r>
      <w:r w:rsidRPr="00AE0D8D">
        <w:rPr>
          <w:sz w:val="22"/>
          <w:szCs w:val="22"/>
        </w:rPr>
        <w:t xml:space="preserve">bilježi korekciju za </w:t>
      </w:r>
      <w:r w:rsidR="00500439">
        <w:rPr>
          <w:sz w:val="22"/>
          <w:szCs w:val="22"/>
        </w:rPr>
        <w:t>37.682,00</w:t>
      </w:r>
      <w:r w:rsidRPr="00AE0D8D">
        <w:rPr>
          <w:sz w:val="22"/>
          <w:szCs w:val="22"/>
        </w:rPr>
        <w:t xml:space="preserve"> eura na više i iznosi 2.</w:t>
      </w:r>
      <w:r w:rsidR="00500439">
        <w:rPr>
          <w:sz w:val="22"/>
          <w:szCs w:val="22"/>
        </w:rPr>
        <w:t>401.337</w:t>
      </w:r>
      <w:r w:rsidRPr="00AE0D8D">
        <w:rPr>
          <w:sz w:val="22"/>
          <w:szCs w:val="22"/>
        </w:rPr>
        <w:t>,00 eura. Ova skupina prihoda sastoji se od slijedećih prihoda:</w:t>
      </w:r>
    </w:p>
    <w:p w:rsidR="00CD5728" w:rsidRPr="00AE0D8D" w:rsidP="002B1F21" w14:paraId="2D7473E9" w14:textId="38445A7A">
      <w:pPr>
        <w:jc w:val="both"/>
        <w:rPr>
          <w:sz w:val="22"/>
          <w:szCs w:val="22"/>
        </w:rPr>
      </w:pPr>
      <w:r w:rsidRPr="00AE0D8D">
        <w:rPr>
          <w:b/>
          <w:sz w:val="22"/>
          <w:szCs w:val="22"/>
        </w:rPr>
        <w:t xml:space="preserve">Podskupina 636 – pomoći proračunskim korisnicima iz proračuna koji im nije nadležan </w:t>
      </w:r>
      <w:r w:rsidRPr="00AE0D8D">
        <w:rPr>
          <w:sz w:val="22"/>
          <w:szCs w:val="22"/>
        </w:rPr>
        <w:t xml:space="preserve">bilježi korekciju </w:t>
      </w:r>
      <w:r w:rsidRPr="00AE0D8D" w:rsidR="00EC0449">
        <w:rPr>
          <w:sz w:val="22"/>
          <w:szCs w:val="22"/>
        </w:rPr>
        <w:t xml:space="preserve">za </w:t>
      </w:r>
      <w:r w:rsidR="00500439">
        <w:rPr>
          <w:sz w:val="22"/>
          <w:szCs w:val="22"/>
        </w:rPr>
        <w:t>2.372,00</w:t>
      </w:r>
      <w:r w:rsidRPr="00AE0D8D">
        <w:rPr>
          <w:sz w:val="22"/>
          <w:szCs w:val="22"/>
        </w:rPr>
        <w:t xml:space="preserve"> eura </w:t>
      </w:r>
      <w:r w:rsidRPr="00AE0D8D">
        <w:rPr>
          <w:sz w:val="22"/>
          <w:szCs w:val="22"/>
        </w:rPr>
        <w:t xml:space="preserve">na </w:t>
      </w:r>
      <w:r w:rsidR="00500439">
        <w:rPr>
          <w:sz w:val="22"/>
          <w:szCs w:val="22"/>
        </w:rPr>
        <w:t>niže</w:t>
      </w:r>
      <w:r w:rsidRPr="00AE0D8D">
        <w:rPr>
          <w:sz w:val="22"/>
          <w:szCs w:val="22"/>
        </w:rPr>
        <w:t xml:space="preserve"> tako da novi plan iznosi </w:t>
      </w:r>
      <w:r w:rsidRPr="00AE0D8D" w:rsidR="00EC0449">
        <w:rPr>
          <w:sz w:val="22"/>
          <w:szCs w:val="22"/>
        </w:rPr>
        <w:t>2.3</w:t>
      </w:r>
      <w:r w:rsidR="00500439">
        <w:rPr>
          <w:sz w:val="22"/>
          <w:szCs w:val="22"/>
        </w:rPr>
        <w:t>09.850</w:t>
      </w:r>
      <w:r w:rsidRPr="00AE0D8D" w:rsidR="00EC0449">
        <w:rPr>
          <w:sz w:val="22"/>
          <w:szCs w:val="22"/>
        </w:rPr>
        <w:t>,00</w:t>
      </w:r>
      <w:r w:rsidRPr="00AE0D8D">
        <w:rPr>
          <w:sz w:val="22"/>
          <w:szCs w:val="22"/>
        </w:rPr>
        <w:t xml:space="preserve"> eura</w:t>
      </w:r>
      <w:r w:rsidRPr="00AE0D8D">
        <w:rPr>
          <w:sz w:val="22"/>
          <w:szCs w:val="22"/>
        </w:rPr>
        <w:t xml:space="preserve">. </w:t>
      </w:r>
      <w:r w:rsidR="00500439">
        <w:rPr>
          <w:sz w:val="22"/>
          <w:szCs w:val="22"/>
        </w:rPr>
        <w:t xml:space="preserve">Do pada </w:t>
      </w:r>
      <w:r w:rsidRPr="00AE0D8D">
        <w:rPr>
          <w:sz w:val="22"/>
          <w:szCs w:val="22"/>
        </w:rPr>
        <w:t xml:space="preserve">prihoda </w:t>
      </w:r>
      <w:r w:rsidR="00500439">
        <w:rPr>
          <w:sz w:val="22"/>
          <w:szCs w:val="22"/>
        </w:rPr>
        <w:t>dolazi zbog smanjenja rashoda (te i ujedno i prihoda) za ostale rashode za zaposlene (razne pomoći i nagrade)</w:t>
      </w:r>
      <w:r w:rsidRPr="00AE0D8D" w:rsidR="00EC0449">
        <w:rPr>
          <w:sz w:val="22"/>
          <w:szCs w:val="22"/>
        </w:rPr>
        <w:t>.</w:t>
      </w:r>
      <w:r w:rsidRPr="00AE0D8D">
        <w:rPr>
          <w:sz w:val="22"/>
          <w:szCs w:val="22"/>
        </w:rPr>
        <w:t xml:space="preserve"> </w:t>
      </w:r>
    </w:p>
    <w:p w:rsidR="002B1F21" w:rsidRPr="00AE0D8D" w:rsidP="002B1F21" w14:paraId="678F7C6C" w14:textId="39D2B7DB">
      <w:pPr>
        <w:jc w:val="both"/>
        <w:rPr>
          <w:sz w:val="22"/>
          <w:szCs w:val="22"/>
        </w:rPr>
      </w:pPr>
      <w:r w:rsidRPr="00AE0D8D">
        <w:rPr>
          <w:b/>
          <w:sz w:val="22"/>
          <w:szCs w:val="22"/>
        </w:rPr>
        <w:t xml:space="preserve">Podskupina 638 – pomoći temeljem prijenosa EU sredstava </w:t>
      </w:r>
      <w:r w:rsidRPr="00AE0D8D" w:rsidR="00EC0449">
        <w:rPr>
          <w:sz w:val="22"/>
          <w:szCs w:val="22"/>
        </w:rPr>
        <w:t xml:space="preserve">bilježi </w:t>
      </w:r>
      <w:r w:rsidR="00500439">
        <w:rPr>
          <w:sz w:val="22"/>
          <w:szCs w:val="22"/>
        </w:rPr>
        <w:t>korekciju od 30.886,00 eura na više i novi plan iznosi 37.386,00 eura</w:t>
      </w:r>
      <w:r w:rsidRPr="00AE0D8D" w:rsidR="00EC0449">
        <w:rPr>
          <w:sz w:val="22"/>
          <w:szCs w:val="22"/>
        </w:rPr>
        <w:t>.</w:t>
      </w:r>
      <w:r w:rsidR="00500439">
        <w:rPr>
          <w:sz w:val="22"/>
          <w:szCs w:val="22"/>
        </w:rPr>
        <w:t xml:space="preserve"> Do povećanja dolazi zbog uplate prihoda za nastavak EU projekata.</w:t>
      </w:r>
    </w:p>
    <w:p w:rsidR="00826A81" w:rsidRPr="00AE0D8D" w:rsidP="00D4569E" w14:paraId="06A51FB8" w14:textId="261F0822">
      <w:pPr>
        <w:pStyle w:val="ListParagraph1"/>
        <w:ind w:left="0"/>
        <w:jc w:val="both"/>
        <w:rPr>
          <w:sz w:val="22"/>
          <w:szCs w:val="22"/>
        </w:rPr>
      </w:pPr>
      <w:r w:rsidRPr="00AE0D8D">
        <w:rPr>
          <w:b/>
          <w:sz w:val="22"/>
          <w:szCs w:val="22"/>
        </w:rPr>
        <w:t xml:space="preserve">Podskupina 639 – prijenosi između proračunskih korisnika istog proračuna </w:t>
      </w:r>
      <w:r w:rsidRPr="00AE0D8D">
        <w:rPr>
          <w:sz w:val="22"/>
          <w:szCs w:val="22"/>
        </w:rPr>
        <w:t xml:space="preserve">bilježi korekciju </w:t>
      </w:r>
      <w:r w:rsidRPr="00AE0D8D" w:rsidR="002A6C08">
        <w:rPr>
          <w:sz w:val="22"/>
          <w:szCs w:val="22"/>
        </w:rPr>
        <w:t xml:space="preserve">za </w:t>
      </w:r>
      <w:r w:rsidR="00500439">
        <w:rPr>
          <w:sz w:val="22"/>
          <w:szCs w:val="22"/>
        </w:rPr>
        <w:t xml:space="preserve">9.168,00 </w:t>
      </w:r>
      <w:r w:rsidRPr="00AE0D8D" w:rsidR="002A6C08">
        <w:rPr>
          <w:sz w:val="22"/>
          <w:szCs w:val="22"/>
        </w:rPr>
        <w:t xml:space="preserve">eura na više te novi plan iznosi </w:t>
      </w:r>
      <w:r w:rsidR="00500439">
        <w:rPr>
          <w:sz w:val="22"/>
          <w:szCs w:val="22"/>
        </w:rPr>
        <w:t>54.101</w:t>
      </w:r>
      <w:r w:rsidRPr="00AE0D8D" w:rsidR="00EC0449">
        <w:rPr>
          <w:sz w:val="22"/>
          <w:szCs w:val="22"/>
        </w:rPr>
        <w:t>,00</w:t>
      </w:r>
      <w:r w:rsidRPr="00AE0D8D" w:rsidR="002A6C08">
        <w:rPr>
          <w:sz w:val="22"/>
          <w:szCs w:val="22"/>
        </w:rPr>
        <w:t xml:space="preserve"> eura.</w:t>
      </w:r>
      <w:r w:rsidRPr="00AE0D8D" w:rsidR="00B755FF">
        <w:rPr>
          <w:sz w:val="22"/>
          <w:szCs w:val="22"/>
        </w:rPr>
        <w:t xml:space="preserve"> Do korekcije </w:t>
      </w:r>
      <w:r w:rsidRPr="00AE0D8D" w:rsidR="00730954">
        <w:rPr>
          <w:sz w:val="22"/>
          <w:szCs w:val="22"/>
        </w:rPr>
        <w:t xml:space="preserve">prihoda </w:t>
      </w:r>
      <w:r w:rsidRPr="00AE0D8D" w:rsidR="00B755FF">
        <w:rPr>
          <w:sz w:val="22"/>
          <w:szCs w:val="22"/>
        </w:rPr>
        <w:t xml:space="preserve">je došlo zbog </w:t>
      </w:r>
      <w:r w:rsidRPr="00AE0D8D" w:rsidR="002A6C08">
        <w:rPr>
          <w:sz w:val="22"/>
          <w:szCs w:val="22"/>
        </w:rPr>
        <w:t xml:space="preserve">većih </w:t>
      </w:r>
      <w:r w:rsidRPr="00AE0D8D" w:rsidR="00730954">
        <w:rPr>
          <w:sz w:val="22"/>
          <w:szCs w:val="22"/>
        </w:rPr>
        <w:t xml:space="preserve">rashoda za </w:t>
      </w:r>
      <w:r w:rsidRPr="00AE0D8D" w:rsidR="002A6C08">
        <w:rPr>
          <w:sz w:val="22"/>
          <w:szCs w:val="22"/>
        </w:rPr>
        <w:t xml:space="preserve">plaće i ostale naknade </w:t>
      </w:r>
      <w:r w:rsidRPr="00AE0D8D" w:rsidR="00730954">
        <w:rPr>
          <w:sz w:val="22"/>
          <w:szCs w:val="22"/>
        </w:rPr>
        <w:t>pomoćnika u nastavi</w:t>
      </w:r>
      <w:r w:rsidR="00500439">
        <w:rPr>
          <w:sz w:val="22"/>
          <w:szCs w:val="22"/>
        </w:rPr>
        <w:t xml:space="preserve"> te sheme školskog mlijeka i voća.</w:t>
      </w:r>
    </w:p>
    <w:p w:rsidR="00730954" w:rsidRPr="00AE0D8D" w:rsidP="00D4569E" w14:paraId="07BE7937" w14:textId="77777777">
      <w:pPr>
        <w:pStyle w:val="ListParagraph1"/>
        <w:ind w:left="0"/>
        <w:jc w:val="both"/>
        <w:rPr>
          <w:sz w:val="22"/>
          <w:szCs w:val="22"/>
        </w:rPr>
      </w:pPr>
    </w:p>
    <w:p w:rsidR="00BC06F5" w:rsidRPr="00AE0D8D" w:rsidP="00D4569E" w14:paraId="313CDC44" w14:textId="685F6380">
      <w:pPr>
        <w:pStyle w:val="ListParagraph1"/>
        <w:ind w:left="0"/>
        <w:jc w:val="both"/>
        <w:rPr>
          <w:sz w:val="22"/>
          <w:szCs w:val="22"/>
        </w:rPr>
      </w:pPr>
      <w:r w:rsidRPr="00AE0D8D">
        <w:rPr>
          <w:b/>
          <w:sz w:val="22"/>
          <w:szCs w:val="22"/>
        </w:rPr>
        <w:t xml:space="preserve">Skupina 65 </w:t>
      </w:r>
      <w:r w:rsidRPr="00AE0D8D">
        <w:rPr>
          <w:sz w:val="22"/>
          <w:szCs w:val="22"/>
        </w:rPr>
        <w:t>koju čini</w:t>
      </w:r>
      <w:r w:rsidRPr="00AE0D8D">
        <w:rPr>
          <w:b/>
          <w:sz w:val="22"/>
          <w:szCs w:val="22"/>
        </w:rPr>
        <w:t xml:space="preserve"> </w:t>
      </w:r>
      <w:r w:rsidRPr="00AE0D8D" w:rsidR="00730954">
        <w:rPr>
          <w:b/>
          <w:sz w:val="22"/>
          <w:szCs w:val="22"/>
        </w:rPr>
        <w:t xml:space="preserve">Podskupina 652 – prihodi po posebnim propisima </w:t>
      </w:r>
      <w:r w:rsidRPr="00AE0D8D" w:rsidR="00730954">
        <w:rPr>
          <w:sz w:val="22"/>
          <w:szCs w:val="22"/>
        </w:rPr>
        <w:t>biljež</w:t>
      </w:r>
      <w:r w:rsidRPr="00AE0D8D" w:rsidR="008E57D5">
        <w:rPr>
          <w:sz w:val="22"/>
          <w:szCs w:val="22"/>
        </w:rPr>
        <w:t>i</w:t>
      </w:r>
      <w:r w:rsidRPr="00AE0D8D" w:rsidR="00730954">
        <w:rPr>
          <w:sz w:val="22"/>
          <w:szCs w:val="22"/>
        </w:rPr>
        <w:t xml:space="preserve"> korekciju</w:t>
      </w:r>
      <w:r w:rsidRPr="00AE0D8D">
        <w:rPr>
          <w:sz w:val="22"/>
          <w:szCs w:val="22"/>
        </w:rPr>
        <w:t xml:space="preserve"> za</w:t>
      </w:r>
      <w:r w:rsidR="00500439">
        <w:rPr>
          <w:sz w:val="22"/>
          <w:szCs w:val="22"/>
        </w:rPr>
        <w:t xml:space="preserve"> 2.000</w:t>
      </w:r>
      <w:r w:rsidRPr="00AE0D8D">
        <w:rPr>
          <w:sz w:val="22"/>
          <w:szCs w:val="22"/>
        </w:rPr>
        <w:t xml:space="preserve">,00 </w:t>
      </w:r>
      <w:r w:rsidRPr="00AE0D8D" w:rsidR="002A6C08">
        <w:rPr>
          <w:sz w:val="22"/>
          <w:szCs w:val="22"/>
        </w:rPr>
        <w:t>eura na niže</w:t>
      </w:r>
      <w:r w:rsidRPr="00AE0D8D">
        <w:rPr>
          <w:sz w:val="22"/>
          <w:szCs w:val="22"/>
        </w:rPr>
        <w:t xml:space="preserve"> te novi plan iznosi </w:t>
      </w:r>
      <w:r w:rsidR="00500439">
        <w:rPr>
          <w:sz w:val="22"/>
          <w:szCs w:val="22"/>
        </w:rPr>
        <w:t>45.</w:t>
      </w:r>
      <w:r w:rsidRPr="00AE0D8D">
        <w:rPr>
          <w:sz w:val="22"/>
          <w:szCs w:val="22"/>
        </w:rPr>
        <w:t>488,00</w:t>
      </w:r>
      <w:r w:rsidRPr="00AE0D8D" w:rsidR="002A6C08">
        <w:rPr>
          <w:sz w:val="22"/>
          <w:szCs w:val="22"/>
        </w:rPr>
        <w:t xml:space="preserve"> eura</w:t>
      </w:r>
      <w:r w:rsidRPr="00AE0D8D">
        <w:rPr>
          <w:sz w:val="22"/>
          <w:szCs w:val="22"/>
        </w:rPr>
        <w:t xml:space="preserve">. </w:t>
      </w:r>
      <w:r w:rsidRPr="00AE0D8D" w:rsidR="002A6C08">
        <w:rPr>
          <w:sz w:val="22"/>
          <w:szCs w:val="22"/>
        </w:rPr>
        <w:t xml:space="preserve">Prihodi po posebnim propisima se odnose </w:t>
      </w:r>
      <w:r w:rsidRPr="00AE0D8D">
        <w:rPr>
          <w:sz w:val="22"/>
          <w:szCs w:val="22"/>
        </w:rPr>
        <w:t xml:space="preserve">na prihode za produženi boravak i </w:t>
      </w:r>
      <w:r w:rsidRPr="00AE0D8D" w:rsidR="002A6C08">
        <w:rPr>
          <w:sz w:val="22"/>
          <w:szCs w:val="22"/>
        </w:rPr>
        <w:t xml:space="preserve"> pri</w:t>
      </w:r>
      <w:r w:rsidRPr="00AE0D8D">
        <w:rPr>
          <w:sz w:val="22"/>
          <w:szCs w:val="22"/>
        </w:rPr>
        <w:t xml:space="preserve">hode za osiguranje učenika a </w:t>
      </w:r>
      <w:r w:rsidR="00500439">
        <w:rPr>
          <w:sz w:val="22"/>
          <w:szCs w:val="22"/>
        </w:rPr>
        <w:t xml:space="preserve">do </w:t>
      </w:r>
      <w:r w:rsidRPr="00AE0D8D">
        <w:rPr>
          <w:sz w:val="22"/>
          <w:szCs w:val="22"/>
        </w:rPr>
        <w:t xml:space="preserve">pada planiranog iznosa prihoda dolazi zbog </w:t>
      </w:r>
      <w:r w:rsidR="00500439">
        <w:rPr>
          <w:sz w:val="22"/>
          <w:szCs w:val="22"/>
        </w:rPr>
        <w:t xml:space="preserve">manjih rashoda za prehranu u sklopu usluge produženog boravka. </w:t>
      </w:r>
    </w:p>
    <w:p w:rsidR="002A6C08" w:rsidRPr="00AE0D8D" w:rsidP="00D4569E" w14:paraId="06DAF9C5" w14:textId="77777777">
      <w:pPr>
        <w:pStyle w:val="ListParagraph1"/>
        <w:ind w:left="0"/>
        <w:jc w:val="both"/>
        <w:rPr>
          <w:sz w:val="22"/>
          <w:szCs w:val="22"/>
        </w:rPr>
      </w:pPr>
    </w:p>
    <w:p w:rsidR="008E57D5" w:rsidRPr="00AE0D8D" w:rsidP="00D4569E" w14:paraId="19AC9E9C" w14:textId="503DA8BB">
      <w:pPr>
        <w:pStyle w:val="ListParagraph1"/>
        <w:ind w:left="0"/>
        <w:jc w:val="both"/>
        <w:rPr>
          <w:sz w:val="22"/>
          <w:szCs w:val="22"/>
        </w:rPr>
      </w:pPr>
      <w:r>
        <w:rPr>
          <w:b/>
          <w:sz w:val="22"/>
          <w:szCs w:val="22"/>
        </w:rPr>
        <w:t>S</w:t>
      </w:r>
      <w:r w:rsidRPr="00AE0D8D" w:rsidR="00B14DC1">
        <w:rPr>
          <w:b/>
          <w:sz w:val="22"/>
          <w:szCs w:val="22"/>
        </w:rPr>
        <w:t xml:space="preserve">kupina 66 </w:t>
      </w:r>
      <w:r w:rsidRPr="00AE0D8D" w:rsidR="00B14DC1">
        <w:rPr>
          <w:sz w:val="22"/>
          <w:szCs w:val="22"/>
        </w:rPr>
        <w:t>bilježi korekciju</w:t>
      </w:r>
      <w:r w:rsidRPr="00AE0D8D" w:rsidR="00B14DC1">
        <w:rPr>
          <w:b/>
          <w:sz w:val="22"/>
          <w:szCs w:val="22"/>
        </w:rPr>
        <w:t xml:space="preserve"> </w:t>
      </w:r>
      <w:r w:rsidRPr="00AE0D8D" w:rsidR="00B14DC1">
        <w:rPr>
          <w:sz w:val="22"/>
          <w:szCs w:val="22"/>
        </w:rPr>
        <w:t xml:space="preserve">za </w:t>
      </w:r>
      <w:r w:rsidR="00500439">
        <w:rPr>
          <w:sz w:val="22"/>
          <w:szCs w:val="22"/>
        </w:rPr>
        <w:t>3.653,00</w:t>
      </w:r>
      <w:r w:rsidRPr="00AE0D8D" w:rsidR="00B14DC1">
        <w:rPr>
          <w:sz w:val="22"/>
          <w:szCs w:val="22"/>
        </w:rPr>
        <w:t xml:space="preserve"> eura na</w:t>
      </w:r>
      <w:r w:rsidRPr="00AE0D8D" w:rsidR="00B14DC1">
        <w:rPr>
          <w:b/>
          <w:sz w:val="22"/>
          <w:szCs w:val="22"/>
        </w:rPr>
        <w:t xml:space="preserve"> </w:t>
      </w:r>
      <w:r w:rsidRPr="00AE0D8D" w:rsidR="00B14DC1">
        <w:rPr>
          <w:sz w:val="22"/>
          <w:szCs w:val="22"/>
        </w:rPr>
        <w:t xml:space="preserve">više te </w:t>
      </w:r>
      <w:r w:rsidR="00500439">
        <w:rPr>
          <w:sz w:val="22"/>
          <w:szCs w:val="22"/>
        </w:rPr>
        <w:t xml:space="preserve">novi plan </w:t>
      </w:r>
      <w:r w:rsidRPr="00AE0D8D" w:rsidR="00B14DC1">
        <w:rPr>
          <w:sz w:val="22"/>
          <w:szCs w:val="22"/>
        </w:rPr>
        <w:t xml:space="preserve">iznosi </w:t>
      </w:r>
      <w:r w:rsidR="00500439">
        <w:rPr>
          <w:sz w:val="22"/>
          <w:szCs w:val="22"/>
        </w:rPr>
        <w:t>7.589,00 eura.</w:t>
      </w:r>
      <w:r w:rsidRPr="00AE0D8D" w:rsidR="00B14DC1">
        <w:rPr>
          <w:sz w:val="22"/>
          <w:szCs w:val="22"/>
        </w:rPr>
        <w:t xml:space="preserve"> Ova skupina prihoda sastoji se od dvije podskupine:</w:t>
      </w:r>
      <w:r w:rsidRPr="00AE0D8D" w:rsidR="00B14DC1">
        <w:rPr>
          <w:b/>
          <w:sz w:val="22"/>
          <w:szCs w:val="22"/>
        </w:rPr>
        <w:t xml:space="preserve">  Podskupina 661 – prihodi od prodaje proizvoda i robe te pruženih usluga</w:t>
      </w:r>
      <w:r w:rsidRPr="00AE0D8D" w:rsidR="00B14DC1">
        <w:rPr>
          <w:sz w:val="22"/>
          <w:szCs w:val="22"/>
        </w:rPr>
        <w:t xml:space="preserve"> i bilježi korekciju za 5</w:t>
      </w:r>
      <w:r>
        <w:rPr>
          <w:sz w:val="22"/>
          <w:szCs w:val="22"/>
        </w:rPr>
        <w:t>0</w:t>
      </w:r>
      <w:r w:rsidRPr="00AE0D8D" w:rsidR="00B14DC1">
        <w:rPr>
          <w:sz w:val="22"/>
          <w:szCs w:val="22"/>
        </w:rPr>
        <w:t>,00 eura na više te novi plan iznosi 1.4</w:t>
      </w:r>
      <w:r>
        <w:rPr>
          <w:sz w:val="22"/>
          <w:szCs w:val="22"/>
        </w:rPr>
        <w:t>6</w:t>
      </w:r>
      <w:r w:rsidRPr="00AE0D8D" w:rsidR="00B14DC1">
        <w:rPr>
          <w:sz w:val="22"/>
          <w:szCs w:val="22"/>
        </w:rPr>
        <w:t xml:space="preserve">5,00 eura, zbog dodatnih prihoda za iznajmljivanje prostora škole. </w:t>
      </w:r>
      <w:r w:rsidRPr="00AE0D8D" w:rsidR="00B14DC1">
        <w:rPr>
          <w:b/>
          <w:sz w:val="22"/>
          <w:szCs w:val="22"/>
        </w:rPr>
        <w:t xml:space="preserve"> </w:t>
      </w:r>
      <w:r w:rsidRPr="00AE0D8D">
        <w:rPr>
          <w:b/>
          <w:sz w:val="22"/>
          <w:szCs w:val="22"/>
        </w:rPr>
        <w:t xml:space="preserve">Podskupina 663 – donacije od pravnih i fizičkih osoba </w:t>
      </w:r>
      <w:r w:rsidRPr="00AE0D8D">
        <w:rPr>
          <w:sz w:val="22"/>
          <w:szCs w:val="22"/>
        </w:rPr>
        <w:t xml:space="preserve">bilježi korekciju za </w:t>
      </w:r>
      <w:r>
        <w:rPr>
          <w:sz w:val="22"/>
          <w:szCs w:val="22"/>
        </w:rPr>
        <w:t>3.603,00</w:t>
      </w:r>
      <w:r w:rsidRPr="00AE0D8D" w:rsidR="002A6C08">
        <w:rPr>
          <w:sz w:val="22"/>
          <w:szCs w:val="22"/>
        </w:rPr>
        <w:t xml:space="preserve"> eura </w:t>
      </w:r>
      <w:r w:rsidRPr="00AE0D8D">
        <w:rPr>
          <w:sz w:val="22"/>
          <w:szCs w:val="22"/>
        </w:rPr>
        <w:t xml:space="preserve"> na </w:t>
      </w:r>
      <w:r w:rsidRPr="00AE0D8D" w:rsidR="00B14DC1">
        <w:rPr>
          <w:sz w:val="22"/>
          <w:szCs w:val="22"/>
        </w:rPr>
        <w:t>više</w:t>
      </w:r>
      <w:r w:rsidRPr="00AE0D8D">
        <w:rPr>
          <w:sz w:val="22"/>
          <w:szCs w:val="22"/>
        </w:rPr>
        <w:t xml:space="preserve"> te novi plan iznosi </w:t>
      </w:r>
      <w:r>
        <w:rPr>
          <w:sz w:val="22"/>
          <w:szCs w:val="22"/>
        </w:rPr>
        <w:t>6.124</w:t>
      </w:r>
      <w:r w:rsidRPr="00AE0D8D" w:rsidR="00B14DC1">
        <w:rPr>
          <w:sz w:val="22"/>
          <w:szCs w:val="22"/>
        </w:rPr>
        <w:t>,00 eura</w:t>
      </w:r>
      <w:r>
        <w:rPr>
          <w:sz w:val="22"/>
          <w:szCs w:val="22"/>
        </w:rPr>
        <w:t>.</w:t>
      </w:r>
      <w:r w:rsidRPr="00AE0D8D" w:rsidR="00B14DC1">
        <w:rPr>
          <w:sz w:val="22"/>
          <w:szCs w:val="22"/>
        </w:rPr>
        <w:t xml:space="preserve"> </w:t>
      </w:r>
      <w:r>
        <w:rPr>
          <w:sz w:val="22"/>
          <w:szCs w:val="22"/>
        </w:rPr>
        <w:t xml:space="preserve"> Zbog povećanja prihoda u skupini 663 došlo je zbog većih tekućih donacija za financiranje odlaska učenika na natjecanje u Hannover te kapitalnih donacija za nabavu kamere za filmsku skupinu i donacije knjiga za školsku knjižnicu.</w:t>
      </w:r>
    </w:p>
    <w:p w:rsidR="00D4569E" w:rsidRPr="00AE0D8D" w:rsidP="000176CF" w14:paraId="0E4D8850" w14:textId="77777777">
      <w:pPr>
        <w:pStyle w:val="ListParagraph1"/>
        <w:ind w:left="0"/>
        <w:jc w:val="both"/>
        <w:rPr>
          <w:b/>
          <w:sz w:val="22"/>
          <w:szCs w:val="22"/>
        </w:rPr>
      </w:pPr>
    </w:p>
    <w:p w:rsidR="009873D3" w:rsidRPr="00AE0D8D" w:rsidP="000176CF" w14:paraId="4F731D09" w14:textId="54900689">
      <w:pPr>
        <w:pStyle w:val="ListParagraph1"/>
        <w:ind w:left="0"/>
        <w:jc w:val="both"/>
        <w:rPr>
          <w:sz w:val="22"/>
          <w:szCs w:val="22"/>
        </w:rPr>
      </w:pPr>
      <w:r w:rsidRPr="00AE0D8D">
        <w:rPr>
          <w:b/>
          <w:sz w:val="22"/>
          <w:szCs w:val="22"/>
        </w:rPr>
        <w:t>Podskupina 671 – prihodi iz nadležnog proračuna za financiranje redovne djelatnosti proračunskih korisnika</w:t>
      </w:r>
      <w:r w:rsidRPr="00AE0D8D">
        <w:rPr>
          <w:sz w:val="22"/>
          <w:szCs w:val="22"/>
        </w:rPr>
        <w:t xml:space="preserve"> </w:t>
      </w:r>
      <w:r w:rsidRPr="00AE0D8D" w:rsidR="000176CF">
        <w:rPr>
          <w:sz w:val="22"/>
          <w:szCs w:val="22"/>
        </w:rPr>
        <w:t xml:space="preserve">bilježi korekciju za </w:t>
      </w:r>
      <w:r w:rsidR="000C3D67">
        <w:rPr>
          <w:sz w:val="22"/>
          <w:szCs w:val="22"/>
        </w:rPr>
        <w:t>68.953,00</w:t>
      </w:r>
      <w:r w:rsidRPr="00AE0D8D" w:rsidR="00961B4D">
        <w:rPr>
          <w:sz w:val="22"/>
          <w:szCs w:val="22"/>
        </w:rPr>
        <w:t xml:space="preserve"> eura</w:t>
      </w:r>
      <w:r w:rsidRPr="00AE0D8D" w:rsidR="000176CF">
        <w:rPr>
          <w:sz w:val="22"/>
          <w:szCs w:val="22"/>
        </w:rPr>
        <w:t xml:space="preserve"> na </w:t>
      </w:r>
      <w:r w:rsidRPr="00AE0D8D" w:rsidR="004E0D28">
        <w:rPr>
          <w:sz w:val="22"/>
          <w:szCs w:val="22"/>
        </w:rPr>
        <w:t>više</w:t>
      </w:r>
      <w:r w:rsidRPr="00AE0D8D" w:rsidR="00D1541B">
        <w:rPr>
          <w:sz w:val="22"/>
          <w:szCs w:val="22"/>
        </w:rPr>
        <w:t xml:space="preserve"> tako da novi plan iznosi </w:t>
      </w:r>
      <w:r w:rsidR="000C3D67">
        <w:rPr>
          <w:sz w:val="22"/>
          <w:szCs w:val="22"/>
        </w:rPr>
        <w:t>553.137</w:t>
      </w:r>
      <w:r w:rsidRPr="00AE0D8D" w:rsidR="00961B4D">
        <w:rPr>
          <w:sz w:val="22"/>
          <w:szCs w:val="22"/>
        </w:rPr>
        <w:t>,00 eura</w:t>
      </w:r>
      <w:r w:rsidRPr="00AE0D8D" w:rsidR="000176CF">
        <w:rPr>
          <w:sz w:val="22"/>
          <w:szCs w:val="22"/>
        </w:rPr>
        <w:t xml:space="preserve">. </w:t>
      </w:r>
      <w:r w:rsidRPr="00AE0D8D" w:rsidR="00893BD4">
        <w:rPr>
          <w:sz w:val="22"/>
          <w:szCs w:val="22"/>
        </w:rPr>
        <w:t xml:space="preserve">Do rasta dolazi zbog povećanja prihoda za financiranje rashoda plaća pomoćnika u nastavi i učiteljica u produženom boravku te </w:t>
      </w:r>
      <w:r w:rsidR="000C3D67">
        <w:rPr>
          <w:sz w:val="22"/>
          <w:szCs w:val="22"/>
        </w:rPr>
        <w:t>za usluge tekućeg i investicijskog održavanja (promjena parketa u sportskoj dvorani Branimir).</w:t>
      </w:r>
    </w:p>
    <w:p w:rsidR="00D84560" w:rsidRPr="00AE0D8D" w:rsidP="007836A3" w14:paraId="0E2DB00C" w14:textId="77777777">
      <w:pPr>
        <w:pStyle w:val="ListParagraph1"/>
        <w:ind w:left="0"/>
        <w:rPr>
          <w:b/>
          <w:sz w:val="22"/>
          <w:szCs w:val="22"/>
        </w:rPr>
      </w:pPr>
    </w:p>
    <w:p w:rsidR="00893BD4" w:rsidRPr="00AE0D8D" w:rsidP="007836A3" w14:paraId="09C784AB" w14:textId="77777777">
      <w:pPr>
        <w:pStyle w:val="ListParagraph1"/>
        <w:ind w:left="0"/>
        <w:rPr>
          <w:b/>
          <w:sz w:val="22"/>
          <w:szCs w:val="22"/>
        </w:rPr>
      </w:pPr>
    </w:p>
    <w:p w:rsidR="004A2A52" w:rsidRPr="00AE0D8D" w:rsidP="007836A3" w14:paraId="46395276" w14:textId="77777777">
      <w:pPr>
        <w:pStyle w:val="ListParagraph1"/>
        <w:ind w:left="0"/>
        <w:rPr>
          <w:b/>
          <w:sz w:val="22"/>
          <w:szCs w:val="22"/>
        </w:rPr>
      </w:pPr>
      <w:r w:rsidRPr="00AE0D8D">
        <w:rPr>
          <w:b/>
          <w:sz w:val="22"/>
          <w:szCs w:val="22"/>
        </w:rPr>
        <w:t xml:space="preserve">VIŠAK/MANJAK PRIHODA </w:t>
      </w:r>
    </w:p>
    <w:p w:rsidR="00990C48" w:rsidRPr="00AE0D8D" w:rsidP="007836A3" w14:paraId="201D5781" w14:textId="77777777">
      <w:pPr>
        <w:pStyle w:val="ListParagraph1"/>
        <w:ind w:left="0"/>
        <w:rPr>
          <w:b/>
          <w:sz w:val="22"/>
          <w:szCs w:val="22"/>
        </w:rPr>
      </w:pPr>
    </w:p>
    <w:p w:rsidR="005D66DB" w:rsidRPr="000C3D67" w:rsidP="005D66DB" w14:paraId="028F96FE" w14:textId="0C3EF836">
      <w:pPr>
        <w:pStyle w:val="ListParagraph1"/>
        <w:ind w:left="0"/>
        <w:jc w:val="both"/>
        <w:rPr>
          <w:sz w:val="22"/>
          <w:szCs w:val="22"/>
        </w:rPr>
      </w:pPr>
      <w:r w:rsidRPr="000C3D67">
        <w:rPr>
          <w:sz w:val="22"/>
          <w:szCs w:val="22"/>
        </w:rPr>
        <w:t>Prema Odluci o raspodjeli rezultata, viškovi i manjkovi raspoređuju se prema izvorima financiranja te  višak prihoda poslovanja iznosi 38.840,00 eura. Manjak prihoda poslovanja iznosi 49.342,00 eura. Manjak prihoda od nefinancijske imovine iznosi 20.519,00 eura. Ukupni manjak prihoda iznosi 31.021,00 eura a prihod za sve metodološke manjkove je uplaćen u siječnju 2024. godine.</w:t>
      </w:r>
      <w:r w:rsidRPr="000C3D67" w:rsidR="0009084C">
        <w:rPr>
          <w:sz w:val="22"/>
          <w:szCs w:val="22"/>
        </w:rPr>
        <w:t xml:space="preserve"> Radi usklađivanja metodoloških manjkova sa </w:t>
      </w:r>
      <w:r w:rsidRPr="000C3D67" w:rsidR="00B95B7E">
        <w:rPr>
          <w:sz w:val="22"/>
          <w:szCs w:val="22"/>
        </w:rPr>
        <w:t>podacima u financijskom planu Grada</w:t>
      </w:r>
      <w:r w:rsidRPr="000C3D67" w:rsidR="0009084C">
        <w:rPr>
          <w:sz w:val="22"/>
          <w:szCs w:val="22"/>
        </w:rPr>
        <w:t xml:space="preserve"> </w:t>
      </w:r>
      <w:r w:rsidRPr="000C3D67" w:rsidR="00B95B7E">
        <w:rPr>
          <w:sz w:val="22"/>
          <w:szCs w:val="22"/>
        </w:rPr>
        <w:t xml:space="preserve"> </w:t>
      </w:r>
      <w:r w:rsidRPr="000C3D67" w:rsidR="0009084C">
        <w:rPr>
          <w:sz w:val="22"/>
          <w:szCs w:val="22"/>
        </w:rPr>
        <w:t xml:space="preserve">(zbog razlika u zaokruživanju </w:t>
      </w:r>
      <w:r w:rsidRPr="000C3D67" w:rsidR="00B95B7E">
        <w:rPr>
          <w:sz w:val="22"/>
          <w:szCs w:val="22"/>
        </w:rPr>
        <w:t xml:space="preserve"> </w:t>
      </w:r>
      <w:r w:rsidRPr="000C3D67" w:rsidR="0009084C">
        <w:rPr>
          <w:sz w:val="22"/>
          <w:szCs w:val="22"/>
        </w:rPr>
        <w:t xml:space="preserve">iznosa s obzirom da se podaci u financijske planove unose u eurima a ne u </w:t>
      </w:r>
      <w:r w:rsidRPr="000C3D67" w:rsidR="0009084C">
        <w:rPr>
          <w:sz w:val="22"/>
          <w:szCs w:val="22"/>
        </w:rPr>
        <w:t>eurocentima</w:t>
      </w:r>
      <w:r w:rsidRPr="000C3D67" w:rsidR="0009084C">
        <w:rPr>
          <w:sz w:val="22"/>
          <w:szCs w:val="22"/>
        </w:rPr>
        <w:t>)</w:t>
      </w:r>
      <w:r w:rsidRPr="000C3D67" w:rsidR="00B95B7E">
        <w:rPr>
          <w:sz w:val="22"/>
          <w:szCs w:val="22"/>
        </w:rPr>
        <w:t xml:space="preserve"> dolazi do korekcije ukupnog manjka prihoda za četiri eura, te planirani manjak prihoda iznosi 31.017,00 eura. Radi se isključivo o korekciji planiranog iznosa manjka dok su stvarni iznosi manjkova i viškova knjižena u iznosima u skladu sa Odlukom o raspodjeli rezultata. </w:t>
      </w:r>
    </w:p>
    <w:p w:rsidR="005D66DB" w:rsidRPr="000C3D67" w:rsidP="005D66DB" w14:paraId="59A04E1C" w14:textId="77777777">
      <w:pPr>
        <w:pStyle w:val="ListParagraph1"/>
        <w:ind w:left="0"/>
        <w:jc w:val="both"/>
        <w:rPr>
          <w:sz w:val="22"/>
          <w:szCs w:val="22"/>
        </w:rPr>
      </w:pPr>
    </w:p>
    <w:p w:rsidR="00067216" w:rsidRPr="000C3D67" w:rsidP="00B521EE" w14:paraId="75E17F15" w14:textId="77777777">
      <w:pPr>
        <w:jc w:val="both"/>
        <w:rPr>
          <w:iCs/>
          <w:sz w:val="22"/>
          <w:szCs w:val="22"/>
          <w:lang w:eastAsia="en-US"/>
        </w:rPr>
      </w:pPr>
    </w:p>
    <w:p w:rsidR="007836A3" w:rsidRPr="000C3D67" w:rsidP="007836A3" w14:paraId="66D54396" w14:textId="77777777">
      <w:pPr>
        <w:pStyle w:val="ListParagraph1"/>
        <w:ind w:left="0"/>
        <w:rPr>
          <w:b/>
          <w:sz w:val="22"/>
          <w:szCs w:val="22"/>
        </w:rPr>
      </w:pPr>
      <w:r w:rsidRPr="000C3D67">
        <w:rPr>
          <w:b/>
          <w:sz w:val="22"/>
          <w:szCs w:val="22"/>
        </w:rPr>
        <w:t xml:space="preserve">3. Zakonske i druge podloge na kojima se zasniva program rada Škole </w:t>
      </w:r>
    </w:p>
    <w:p w:rsidR="00B36BB4" w:rsidRPr="000C3D67" w:rsidP="007836A3" w14:paraId="1E8EAE2E" w14:textId="77777777">
      <w:pPr>
        <w:pStyle w:val="ListParagraph1"/>
        <w:ind w:left="0"/>
        <w:rPr>
          <w:b/>
          <w:sz w:val="22"/>
          <w:szCs w:val="22"/>
        </w:rPr>
      </w:pPr>
    </w:p>
    <w:p w:rsidR="00A908F7" w:rsidRPr="000C3D67" w:rsidP="00A908F7" w14:paraId="6E4A2462" w14:textId="77777777">
      <w:pPr>
        <w:jc w:val="both"/>
        <w:rPr>
          <w:sz w:val="22"/>
          <w:szCs w:val="22"/>
        </w:rPr>
      </w:pPr>
      <w:r w:rsidRPr="000C3D67">
        <w:rPr>
          <w:sz w:val="22"/>
          <w:szCs w:val="22"/>
        </w:rPr>
        <w:t>Zakon o odgoju i obrazovanju u osnovnoj i srednjoj školi („Narodne Novine“ broj</w:t>
      </w:r>
    </w:p>
    <w:p w:rsidR="00A908F7" w:rsidRPr="000C3D67" w:rsidP="00A908F7" w14:paraId="2D62B259" w14:textId="77777777">
      <w:pPr>
        <w:ind w:left="705"/>
        <w:jc w:val="both"/>
        <w:rPr>
          <w:sz w:val="22"/>
          <w:szCs w:val="22"/>
        </w:rPr>
      </w:pPr>
      <w:r w:rsidRPr="000C3D67">
        <w:rPr>
          <w:sz w:val="22"/>
          <w:szCs w:val="22"/>
        </w:rPr>
        <w:t>87/08, 86/09, 92/10, 105/10, 90/11, 5/12, 16/12, 86/12, 126/12, 94/13, 152/14, 07/17, 68/18, 98/19, 64/20, 151/22,</w:t>
      </w:r>
      <w:r w:rsidRPr="000C3D67">
        <w:t xml:space="preserve"> </w:t>
      </w:r>
      <w:r w:rsidRPr="000C3D67">
        <w:rPr>
          <w:sz w:val="22"/>
          <w:szCs w:val="22"/>
        </w:rPr>
        <w:t>155/23, 156/23),</w:t>
      </w:r>
    </w:p>
    <w:p w:rsidR="00A908F7" w:rsidRPr="000C3D67" w:rsidP="00A908F7" w14:paraId="3E60C5CA" w14:textId="77777777">
      <w:pPr>
        <w:numPr>
          <w:ilvl w:val="0"/>
          <w:numId w:val="11"/>
        </w:numPr>
        <w:spacing w:after="160" w:line="259" w:lineRule="auto"/>
        <w:contextualSpacing/>
        <w:jc w:val="both"/>
        <w:rPr>
          <w:sz w:val="22"/>
          <w:szCs w:val="22"/>
        </w:rPr>
      </w:pPr>
      <w:r w:rsidRPr="000C3D67">
        <w:rPr>
          <w:sz w:val="22"/>
          <w:szCs w:val="22"/>
        </w:rPr>
        <w:t>Zakon o ustanovama („Narodne Novine“ broj 76/93, 29/97, 47/99, 35/08, 127/19 i 151/22),</w:t>
      </w:r>
    </w:p>
    <w:p w:rsidR="00A908F7" w:rsidRPr="000C3D67" w:rsidP="00A908F7" w14:paraId="2190BED6" w14:textId="77777777">
      <w:pPr>
        <w:numPr>
          <w:ilvl w:val="0"/>
          <w:numId w:val="11"/>
        </w:numPr>
        <w:spacing w:after="160" w:line="259" w:lineRule="auto"/>
        <w:contextualSpacing/>
        <w:jc w:val="both"/>
        <w:rPr>
          <w:sz w:val="22"/>
          <w:szCs w:val="22"/>
        </w:rPr>
      </w:pPr>
      <w:r w:rsidRPr="000C3D67">
        <w:rPr>
          <w:sz w:val="22"/>
          <w:szCs w:val="22"/>
        </w:rPr>
        <w:t>Zakon o radu („Narodne novine“ broj 93/14, 127/17, 98/19, 151/22 i 64/23),</w:t>
      </w:r>
    </w:p>
    <w:p w:rsidR="00A908F7" w:rsidRPr="000C3D67" w:rsidP="00A908F7" w14:paraId="48F5D329" w14:textId="77777777">
      <w:pPr>
        <w:numPr>
          <w:ilvl w:val="0"/>
          <w:numId w:val="11"/>
        </w:numPr>
        <w:spacing w:after="160" w:line="259" w:lineRule="auto"/>
        <w:contextualSpacing/>
        <w:jc w:val="both"/>
        <w:rPr>
          <w:sz w:val="22"/>
          <w:szCs w:val="22"/>
        </w:rPr>
      </w:pPr>
      <w:r w:rsidRPr="000C3D67">
        <w:rPr>
          <w:sz w:val="22"/>
          <w:szCs w:val="22"/>
        </w:rPr>
        <w:t>Zakon o proračunu („Narodne Novine“ broj 144/21),</w:t>
      </w:r>
    </w:p>
    <w:p w:rsidR="00A908F7" w:rsidRPr="000C3D67" w:rsidP="00A908F7" w14:paraId="19B2A74F" w14:textId="77777777">
      <w:pPr>
        <w:numPr>
          <w:ilvl w:val="0"/>
          <w:numId w:val="11"/>
        </w:numPr>
        <w:spacing w:after="160" w:line="259" w:lineRule="auto"/>
        <w:contextualSpacing/>
        <w:jc w:val="both"/>
        <w:rPr>
          <w:sz w:val="22"/>
          <w:szCs w:val="22"/>
        </w:rPr>
      </w:pPr>
      <w:r w:rsidRPr="000C3D67">
        <w:rPr>
          <w:sz w:val="22"/>
          <w:szCs w:val="22"/>
        </w:rPr>
        <w:t>Pravilnik o proračunskim  kvalifikacijama („Narodne Novine“ broj 4/24),</w:t>
      </w:r>
    </w:p>
    <w:p w:rsidR="00A908F7" w:rsidRPr="000C3D67" w:rsidP="00A908F7" w14:paraId="75C94C40" w14:textId="77777777">
      <w:pPr>
        <w:numPr>
          <w:ilvl w:val="0"/>
          <w:numId w:val="11"/>
        </w:numPr>
        <w:spacing w:after="160" w:line="259" w:lineRule="auto"/>
        <w:contextualSpacing/>
        <w:jc w:val="both"/>
        <w:rPr>
          <w:sz w:val="22"/>
          <w:szCs w:val="22"/>
        </w:rPr>
      </w:pPr>
      <w:r w:rsidRPr="000C3D67">
        <w:rPr>
          <w:sz w:val="22"/>
          <w:szCs w:val="22"/>
        </w:rPr>
        <w:t>Pravilnik o proračunskom računovodstvu i računskom planu („Narodne Novine“ broj,  158/23),</w:t>
      </w:r>
    </w:p>
    <w:p w:rsidR="00A908F7" w:rsidRPr="000C3D67" w:rsidP="00A908F7" w14:paraId="467F2930" w14:textId="77777777">
      <w:pPr>
        <w:numPr>
          <w:ilvl w:val="0"/>
          <w:numId w:val="11"/>
        </w:numPr>
        <w:spacing w:after="160" w:line="259" w:lineRule="auto"/>
        <w:contextualSpacing/>
        <w:jc w:val="both"/>
        <w:rPr>
          <w:sz w:val="22"/>
          <w:szCs w:val="22"/>
        </w:rPr>
      </w:pPr>
      <w:r w:rsidRPr="000C3D67">
        <w:rPr>
          <w:sz w:val="22"/>
          <w:szCs w:val="22"/>
        </w:rPr>
        <w:t>Pravilnik o polugodišnjem i godišnjem izvještaju o izvršenju proračuna („Narodne novine“ broj 85/23),</w:t>
      </w:r>
    </w:p>
    <w:p w:rsidR="00A908F7" w:rsidRPr="000C3D67" w:rsidP="00A908F7" w14:paraId="175BECAF" w14:textId="77777777">
      <w:pPr>
        <w:numPr>
          <w:ilvl w:val="0"/>
          <w:numId w:val="11"/>
        </w:numPr>
        <w:spacing w:after="160" w:line="259" w:lineRule="auto"/>
        <w:contextualSpacing/>
        <w:jc w:val="both"/>
        <w:rPr>
          <w:sz w:val="22"/>
          <w:szCs w:val="22"/>
        </w:rPr>
      </w:pPr>
      <w:r w:rsidRPr="000C3D67">
        <w:rPr>
          <w:sz w:val="22"/>
          <w:szCs w:val="22"/>
        </w:rPr>
        <w:t>Godišnji plan i program rada Škole za školsku 2024./2025. godinu i Školski kurikulum za 2024./2025. godinu,</w:t>
      </w:r>
    </w:p>
    <w:p w:rsidR="00A908F7" w:rsidRPr="000C3D67" w:rsidP="00A908F7" w14:paraId="3C93ABAC" w14:textId="77777777">
      <w:pPr>
        <w:numPr>
          <w:ilvl w:val="0"/>
          <w:numId w:val="11"/>
        </w:numPr>
        <w:spacing w:after="160" w:line="259" w:lineRule="auto"/>
        <w:contextualSpacing/>
        <w:jc w:val="both"/>
        <w:rPr>
          <w:sz w:val="22"/>
          <w:szCs w:val="22"/>
        </w:rPr>
      </w:pPr>
      <w:r w:rsidRPr="000C3D67">
        <w:rPr>
          <w:sz w:val="22"/>
          <w:szCs w:val="22"/>
        </w:rPr>
        <w:t>Pravilnik o provedbi Nacionalne strategije za provedbu Školske sheme voća i povrća te mlijeka i mliječnih proizvoda od školske godine 2023./2024. do školske godine 2028./2029.</w:t>
      </w:r>
    </w:p>
    <w:p w:rsidR="00A908F7" w:rsidRPr="000C3D67" w:rsidP="00A908F7" w14:paraId="082DC4DF" w14:textId="77777777">
      <w:pPr>
        <w:numPr>
          <w:ilvl w:val="0"/>
          <w:numId w:val="11"/>
        </w:numPr>
        <w:spacing w:after="160" w:line="259" w:lineRule="auto"/>
        <w:contextualSpacing/>
        <w:jc w:val="both"/>
        <w:rPr>
          <w:sz w:val="22"/>
          <w:szCs w:val="22"/>
        </w:rPr>
      </w:pPr>
      <w:r w:rsidRPr="000C3D67">
        <w:rPr>
          <w:sz w:val="22"/>
          <w:szCs w:val="22"/>
        </w:rPr>
        <w:t>Državni pedagoški standard osnovnoškolskog sustava odgoja i obrazovanja („Narodne novine“ broj 63/2008),</w:t>
      </w:r>
    </w:p>
    <w:p w:rsidR="00A908F7" w:rsidRPr="000C3D67" w:rsidP="00A908F7" w14:paraId="5EE65B41" w14:textId="77777777">
      <w:pPr>
        <w:numPr>
          <w:ilvl w:val="0"/>
          <w:numId w:val="11"/>
        </w:numPr>
        <w:spacing w:after="160" w:line="259" w:lineRule="auto"/>
        <w:contextualSpacing/>
        <w:jc w:val="both"/>
        <w:rPr>
          <w:sz w:val="22"/>
          <w:szCs w:val="22"/>
        </w:rPr>
      </w:pPr>
      <w:r w:rsidRPr="000C3D67">
        <w:rPr>
          <w:sz w:val="22"/>
          <w:szCs w:val="22"/>
        </w:rPr>
        <w:t>Pravilnik o pomoćnicima u nastavi i stručnim komunikacijskim posrednicima („Narodne novine“ broj 85/24),</w:t>
      </w:r>
    </w:p>
    <w:p w:rsidR="00A908F7" w:rsidRPr="000C3D67" w:rsidP="00A908F7" w14:paraId="4647A7F3" w14:textId="77777777">
      <w:pPr>
        <w:numPr>
          <w:ilvl w:val="0"/>
          <w:numId w:val="11"/>
        </w:numPr>
        <w:spacing w:after="160" w:line="259" w:lineRule="auto"/>
        <w:contextualSpacing/>
        <w:jc w:val="both"/>
        <w:rPr>
          <w:sz w:val="22"/>
          <w:szCs w:val="22"/>
        </w:rPr>
      </w:pPr>
      <w:r w:rsidRPr="000C3D67">
        <w:rPr>
          <w:sz w:val="22"/>
          <w:szCs w:val="22"/>
        </w:rPr>
        <w:t>i drugi provedbeni propisi.</w:t>
      </w:r>
    </w:p>
    <w:p w:rsidR="00A908F7" w:rsidRPr="000C3D67" w:rsidP="00A908F7" w14:paraId="4602FF3A" w14:textId="77777777">
      <w:pPr>
        <w:jc w:val="both"/>
        <w:rPr>
          <w:sz w:val="22"/>
          <w:szCs w:val="22"/>
        </w:rPr>
      </w:pPr>
    </w:p>
    <w:p w:rsidR="00A908F7" w:rsidRPr="000C3D67" w:rsidP="00A908F7" w14:paraId="7C0627C3" w14:textId="77777777">
      <w:pPr>
        <w:jc w:val="both"/>
        <w:rPr>
          <w:rFonts w:ascii="Calibri" w:hAnsi="Calibri"/>
          <w:sz w:val="22"/>
          <w:szCs w:val="22"/>
          <w:lang w:eastAsia="en-US"/>
        </w:rPr>
      </w:pPr>
      <w:r w:rsidRPr="000C3D67">
        <w:rPr>
          <w:sz w:val="22"/>
          <w:szCs w:val="22"/>
        </w:rPr>
        <w:t>Osim navedenih zakona i pravilnika temeljem kojih škola obavlja svoju odgojno-obrazovnu djelatnost,  škola posluje i prema svojim općim aktima :</w:t>
      </w:r>
      <w:r w:rsidRPr="000C3D67">
        <w:rPr>
          <w:rFonts w:ascii="Calibri" w:hAnsi="Calibri"/>
          <w:sz w:val="22"/>
          <w:szCs w:val="22"/>
          <w:lang w:eastAsia="en-US"/>
        </w:rPr>
        <w:t xml:space="preserve"> </w:t>
      </w:r>
    </w:p>
    <w:p w:rsidR="00A908F7" w:rsidRPr="00A908F7" w:rsidP="00A908F7" w14:paraId="13305FED" w14:textId="77777777">
      <w:pPr>
        <w:ind w:left="720"/>
        <w:contextualSpacing/>
        <w:jc w:val="both"/>
        <w:rPr>
          <w:sz w:val="22"/>
          <w:szCs w:val="22"/>
          <w:highlight w:val="yellow"/>
        </w:rPr>
      </w:pPr>
    </w:p>
    <w:p w:rsidR="00A908F7" w:rsidRPr="000C3D67" w:rsidP="00A908F7" w14:paraId="41DCB2C8" w14:textId="77777777">
      <w:pPr>
        <w:numPr>
          <w:ilvl w:val="0"/>
          <w:numId w:val="12"/>
        </w:numPr>
        <w:contextualSpacing/>
        <w:jc w:val="both"/>
        <w:rPr>
          <w:sz w:val="22"/>
          <w:szCs w:val="22"/>
        </w:rPr>
      </w:pPr>
      <w:r w:rsidRPr="000C3D67">
        <w:rPr>
          <w:sz w:val="22"/>
          <w:szCs w:val="22"/>
        </w:rPr>
        <w:t>Statut škole</w:t>
      </w:r>
    </w:p>
    <w:p w:rsidR="00A908F7" w:rsidRPr="000C3D67" w:rsidP="00A908F7" w14:paraId="4AC37886" w14:textId="77777777">
      <w:pPr>
        <w:numPr>
          <w:ilvl w:val="0"/>
          <w:numId w:val="12"/>
        </w:numPr>
        <w:contextualSpacing/>
        <w:jc w:val="both"/>
        <w:rPr>
          <w:sz w:val="22"/>
          <w:szCs w:val="22"/>
        </w:rPr>
      </w:pPr>
      <w:r w:rsidRPr="000C3D67">
        <w:rPr>
          <w:sz w:val="22"/>
          <w:szCs w:val="22"/>
        </w:rPr>
        <w:t>Pravilnik o radu,</w:t>
      </w:r>
    </w:p>
    <w:p w:rsidR="00A908F7" w:rsidRPr="000C3D67" w:rsidP="00A908F7" w14:paraId="47F38CAA" w14:textId="77777777">
      <w:pPr>
        <w:numPr>
          <w:ilvl w:val="0"/>
          <w:numId w:val="12"/>
        </w:numPr>
        <w:contextualSpacing/>
        <w:jc w:val="both"/>
        <w:rPr>
          <w:sz w:val="22"/>
          <w:szCs w:val="22"/>
        </w:rPr>
      </w:pPr>
      <w:r w:rsidRPr="000C3D67">
        <w:rPr>
          <w:sz w:val="22"/>
          <w:szCs w:val="22"/>
        </w:rPr>
        <w:t>Pravilnik o zaštiti na radu,</w:t>
      </w:r>
    </w:p>
    <w:p w:rsidR="00A908F7" w:rsidRPr="000C3D67" w:rsidP="00A908F7" w14:paraId="65682362" w14:textId="77777777">
      <w:pPr>
        <w:numPr>
          <w:ilvl w:val="0"/>
          <w:numId w:val="12"/>
        </w:numPr>
        <w:contextualSpacing/>
        <w:jc w:val="both"/>
        <w:rPr>
          <w:sz w:val="22"/>
          <w:szCs w:val="22"/>
        </w:rPr>
      </w:pPr>
      <w:r w:rsidRPr="000C3D67">
        <w:rPr>
          <w:sz w:val="22"/>
          <w:szCs w:val="22"/>
        </w:rPr>
        <w:t>Pravilnik o videonadzoru,</w:t>
      </w:r>
    </w:p>
    <w:p w:rsidR="00A908F7" w:rsidRPr="000C3D67" w:rsidP="00A908F7" w14:paraId="67224755" w14:textId="77777777">
      <w:pPr>
        <w:numPr>
          <w:ilvl w:val="0"/>
          <w:numId w:val="12"/>
        </w:numPr>
        <w:contextualSpacing/>
        <w:jc w:val="both"/>
        <w:rPr>
          <w:sz w:val="22"/>
          <w:szCs w:val="22"/>
        </w:rPr>
      </w:pPr>
      <w:r w:rsidRPr="000C3D67">
        <w:rPr>
          <w:sz w:val="22"/>
          <w:szCs w:val="22"/>
        </w:rPr>
        <w:t>Pravilnik o radu školske knjižnice,</w:t>
      </w:r>
    </w:p>
    <w:p w:rsidR="00A908F7" w:rsidRPr="000C3D67" w:rsidP="00A908F7" w14:paraId="291774D4" w14:textId="77777777">
      <w:pPr>
        <w:numPr>
          <w:ilvl w:val="0"/>
          <w:numId w:val="12"/>
        </w:numPr>
        <w:contextualSpacing/>
        <w:jc w:val="both"/>
        <w:rPr>
          <w:sz w:val="22"/>
          <w:szCs w:val="22"/>
        </w:rPr>
      </w:pPr>
      <w:r w:rsidRPr="000C3D67">
        <w:rPr>
          <w:sz w:val="22"/>
          <w:szCs w:val="22"/>
        </w:rPr>
        <w:t>Kućni red škole,</w:t>
      </w:r>
    </w:p>
    <w:p w:rsidR="00A908F7" w:rsidRPr="000C3D67" w:rsidP="00A908F7" w14:paraId="03E9A08B" w14:textId="77777777">
      <w:pPr>
        <w:numPr>
          <w:ilvl w:val="0"/>
          <w:numId w:val="12"/>
        </w:numPr>
        <w:contextualSpacing/>
        <w:jc w:val="both"/>
        <w:rPr>
          <w:sz w:val="22"/>
          <w:szCs w:val="22"/>
        </w:rPr>
      </w:pPr>
      <w:r w:rsidRPr="000C3D67">
        <w:rPr>
          <w:sz w:val="22"/>
          <w:szCs w:val="22"/>
        </w:rPr>
        <w:t xml:space="preserve">Pravilnik o sistematizaciji radnih mjesta u OŠ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p>
    <w:p w:rsidR="00A908F7" w:rsidRPr="000C3D67" w:rsidP="00A908F7" w14:paraId="34C09876" w14:textId="77777777">
      <w:pPr>
        <w:numPr>
          <w:ilvl w:val="0"/>
          <w:numId w:val="15"/>
        </w:numPr>
        <w:contextualSpacing/>
        <w:jc w:val="both"/>
        <w:rPr>
          <w:sz w:val="22"/>
          <w:szCs w:val="22"/>
        </w:rPr>
      </w:pPr>
      <w:r w:rsidRPr="000C3D67">
        <w:rPr>
          <w:sz w:val="22"/>
          <w:szCs w:val="22"/>
        </w:rPr>
        <w:t xml:space="preserve">Pravila za upravljanje dokumentarnim gradivom Osnovne škole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p>
    <w:p w:rsidR="00A908F7" w:rsidRPr="000C3D67" w:rsidP="00A908F7" w14:paraId="5BA5C7E6" w14:textId="77777777">
      <w:pPr>
        <w:numPr>
          <w:ilvl w:val="0"/>
          <w:numId w:val="15"/>
        </w:numPr>
        <w:contextualSpacing/>
        <w:jc w:val="both"/>
        <w:rPr>
          <w:sz w:val="22"/>
          <w:szCs w:val="22"/>
        </w:rPr>
      </w:pPr>
      <w:r w:rsidRPr="000C3D67">
        <w:rPr>
          <w:sz w:val="22"/>
          <w:szCs w:val="22"/>
        </w:rPr>
        <w:t xml:space="preserve">Pravilnik o načinu i postupku zapošljavanja u Osnovnoj školi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p>
    <w:p w:rsidR="00A908F7" w:rsidRPr="000C3D67" w:rsidP="00A908F7" w14:paraId="01F2A504" w14:textId="77777777">
      <w:pPr>
        <w:numPr>
          <w:ilvl w:val="0"/>
          <w:numId w:val="13"/>
        </w:numPr>
        <w:contextualSpacing/>
        <w:jc w:val="both"/>
        <w:rPr>
          <w:sz w:val="22"/>
          <w:szCs w:val="22"/>
        </w:rPr>
      </w:pPr>
      <w:r w:rsidRPr="000C3D67">
        <w:rPr>
          <w:sz w:val="22"/>
          <w:szCs w:val="22"/>
        </w:rPr>
        <w:t>Etički kodeks neposrednih nositelja odgojno-obrazovne djelatnosti,</w:t>
      </w:r>
    </w:p>
    <w:p w:rsidR="00A908F7" w:rsidRPr="000C3D67" w:rsidP="00A908F7" w14:paraId="54B1317D" w14:textId="77777777">
      <w:pPr>
        <w:numPr>
          <w:ilvl w:val="0"/>
          <w:numId w:val="13"/>
        </w:numPr>
        <w:contextualSpacing/>
        <w:jc w:val="both"/>
        <w:rPr>
          <w:sz w:val="22"/>
          <w:szCs w:val="22"/>
        </w:rPr>
      </w:pPr>
      <w:r w:rsidRPr="000C3D67">
        <w:rPr>
          <w:sz w:val="22"/>
          <w:szCs w:val="22"/>
        </w:rPr>
        <w:t xml:space="preserve">Pravilnik o provedbi postupaka jednostavne nabave u OŠ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p>
    <w:p w:rsidR="00A908F7" w:rsidRPr="000C3D67" w:rsidP="00A908F7" w14:paraId="2CC47A9B" w14:textId="77777777">
      <w:pPr>
        <w:numPr>
          <w:ilvl w:val="0"/>
          <w:numId w:val="13"/>
        </w:numPr>
        <w:contextualSpacing/>
        <w:jc w:val="both"/>
        <w:rPr>
          <w:sz w:val="22"/>
          <w:szCs w:val="22"/>
        </w:rPr>
      </w:pPr>
      <w:r w:rsidRPr="000C3D67">
        <w:rPr>
          <w:sz w:val="22"/>
          <w:szCs w:val="22"/>
        </w:rPr>
        <w:t xml:space="preserve">Pravilnik o načinu korištenja i davanja u najam školskog prostora Osnovne škole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p>
    <w:p w:rsidR="00A908F7" w:rsidRPr="000C3D67" w:rsidP="00A908F7" w14:paraId="08A04FE6" w14:textId="77777777">
      <w:pPr>
        <w:numPr>
          <w:ilvl w:val="0"/>
          <w:numId w:val="13"/>
        </w:numPr>
        <w:contextualSpacing/>
        <w:jc w:val="both"/>
        <w:rPr>
          <w:sz w:val="22"/>
          <w:szCs w:val="22"/>
        </w:rPr>
      </w:pPr>
      <w:r w:rsidRPr="000C3D67">
        <w:rPr>
          <w:sz w:val="22"/>
          <w:szCs w:val="22"/>
        </w:rPr>
        <w:t>Pravilnik o promicanju spoznaja o štetnosti duhanskih proizvoda i drugim općim aktima sukladno zakonskim odredbama.</w:t>
      </w:r>
    </w:p>
    <w:p w:rsidR="00A908F7" w:rsidRPr="000C3D67" w:rsidP="00A908F7" w14:paraId="0925D7E4" w14:textId="77777777">
      <w:pPr>
        <w:jc w:val="both"/>
        <w:rPr>
          <w:b/>
          <w:sz w:val="22"/>
          <w:szCs w:val="22"/>
        </w:rPr>
      </w:pPr>
    </w:p>
    <w:p w:rsidR="00D84560" w:rsidRPr="000C3D67" w:rsidP="008C74E5" w14:paraId="64738816" w14:textId="77777777">
      <w:pPr>
        <w:contextualSpacing/>
        <w:jc w:val="both"/>
        <w:rPr>
          <w:rFonts w:eastAsia="Calibri"/>
          <w:b/>
          <w:sz w:val="22"/>
          <w:szCs w:val="22"/>
        </w:rPr>
      </w:pPr>
    </w:p>
    <w:p w:rsidR="007836A3" w:rsidRPr="000C3D67" w:rsidP="007836A3" w14:paraId="3F3892ED" w14:textId="77777777">
      <w:pPr>
        <w:jc w:val="both"/>
        <w:rPr>
          <w:b/>
          <w:sz w:val="22"/>
          <w:szCs w:val="22"/>
        </w:rPr>
      </w:pPr>
      <w:r w:rsidRPr="000C3D67">
        <w:rPr>
          <w:b/>
          <w:sz w:val="22"/>
          <w:szCs w:val="22"/>
        </w:rPr>
        <w:t>4. Usklađenost ciljeva, strategije i programa s dokumentima dugoročnog razvoja</w:t>
      </w:r>
    </w:p>
    <w:p w:rsidR="008E7D07" w:rsidRPr="000C3D67" w:rsidP="007836A3" w14:paraId="78696D41" w14:textId="77777777">
      <w:pPr>
        <w:jc w:val="both"/>
        <w:rPr>
          <w:b/>
          <w:sz w:val="22"/>
          <w:szCs w:val="22"/>
        </w:rPr>
      </w:pPr>
    </w:p>
    <w:p w:rsidR="00A908F7" w:rsidRPr="000C3D67" w:rsidP="00A908F7" w14:paraId="116BCABB" w14:textId="0AB3CF41">
      <w:pPr>
        <w:spacing w:before="120" w:after="120"/>
        <w:jc w:val="both"/>
        <w:rPr>
          <w:sz w:val="22"/>
          <w:szCs w:val="22"/>
        </w:rPr>
      </w:pPr>
      <w:r w:rsidRPr="000C3D67">
        <w:rPr>
          <w:sz w:val="22"/>
          <w:szCs w:val="22"/>
        </w:rPr>
        <w:t>Školske ustanove donose godišnje operativne planove</w:t>
      </w:r>
      <w:r w:rsidR="008C74E5">
        <w:rPr>
          <w:sz w:val="22"/>
          <w:szCs w:val="22"/>
        </w:rPr>
        <w:t xml:space="preserve">, </w:t>
      </w:r>
      <w:r w:rsidRPr="000C3D67">
        <w:rPr>
          <w:sz w:val="22"/>
          <w:szCs w:val="22"/>
        </w:rPr>
        <w:t xml:space="preserve">Godišnji plan i program rada za školsku 2024./2025. godinu i Školski kurikulum OŠ „Antun </w:t>
      </w:r>
      <w:r w:rsidRPr="000C3D67">
        <w:rPr>
          <w:sz w:val="22"/>
          <w:szCs w:val="22"/>
        </w:rPr>
        <w:t>Nemčić</w:t>
      </w:r>
      <w:r w:rsidRPr="000C3D67">
        <w:rPr>
          <w:sz w:val="22"/>
          <w:szCs w:val="22"/>
        </w:rPr>
        <w:t xml:space="preserve"> </w:t>
      </w:r>
      <w:r w:rsidRPr="000C3D67">
        <w:rPr>
          <w:sz w:val="22"/>
          <w:szCs w:val="22"/>
        </w:rPr>
        <w:t>Gostovinski</w:t>
      </w:r>
      <w:r w:rsidRPr="000C3D67">
        <w:rPr>
          <w:sz w:val="22"/>
          <w:szCs w:val="22"/>
        </w:rPr>
        <w:t>“ Koprivnica</w:t>
      </w:r>
      <w:r w:rsidR="008C74E5">
        <w:rPr>
          <w:sz w:val="22"/>
          <w:szCs w:val="22"/>
        </w:rPr>
        <w:t xml:space="preserve"> za</w:t>
      </w:r>
      <w:r w:rsidRPr="000C3D67">
        <w:rPr>
          <w:sz w:val="22"/>
          <w:szCs w:val="22"/>
        </w:rPr>
        <w:t xml:space="preserve"> školsk</w:t>
      </w:r>
      <w:r w:rsidR="008C74E5">
        <w:rPr>
          <w:sz w:val="22"/>
          <w:szCs w:val="22"/>
        </w:rPr>
        <w:t xml:space="preserve">u </w:t>
      </w:r>
      <w:r w:rsidRPr="000C3D67">
        <w:rPr>
          <w:sz w:val="22"/>
          <w:szCs w:val="22"/>
        </w:rPr>
        <w:t>godin</w:t>
      </w:r>
      <w:r w:rsidR="008C74E5">
        <w:rPr>
          <w:sz w:val="22"/>
          <w:szCs w:val="22"/>
        </w:rPr>
        <w:t>u</w:t>
      </w:r>
      <w:r w:rsidRPr="000C3D67">
        <w:rPr>
          <w:sz w:val="22"/>
          <w:szCs w:val="22"/>
        </w:rPr>
        <w:t xml:space="preserve"> 2024./2025.</w:t>
      </w:r>
      <w:r w:rsidR="008C74E5">
        <w:rPr>
          <w:sz w:val="22"/>
          <w:szCs w:val="22"/>
        </w:rPr>
        <w:t>,</w:t>
      </w:r>
      <w:r w:rsidRPr="000C3D67">
        <w:rPr>
          <w:sz w:val="22"/>
          <w:szCs w:val="22"/>
        </w:rPr>
        <w:t xml:space="preserve"> prema Nastavnom planu i programu za osnovnu školu koji je donijelo Ministarstvo znanosti i obrazovanja.</w:t>
      </w:r>
    </w:p>
    <w:p w:rsidR="00A908F7" w:rsidRPr="000C3D67" w:rsidP="00A908F7" w14:paraId="6F4D1171" w14:textId="77777777">
      <w:pPr>
        <w:spacing w:before="120" w:after="120"/>
        <w:jc w:val="both"/>
        <w:rPr>
          <w:sz w:val="22"/>
          <w:szCs w:val="22"/>
        </w:rPr>
      </w:pPr>
      <w:r w:rsidRPr="000C3D67">
        <w:rPr>
          <w:sz w:val="22"/>
          <w:szCs w:val="22"/>
        </w:rPr>
        <w:t xml:space="preserve">Strateške  planove donosi Ministarstvo i Grad Koprivnica. Vertikalna usklađenja ciljeva i programa Ministarstva, Grada Koprivnice s programima škole nisu još provedena. </w:t>
      </w:r>
    </w:p>
    <w:p w:rsidR="00A908F7" w:rsidRPr="000C3D67" w:rsidP="00A908F7" w14:paraId="7AA30E03" w14:textId="77777777">
      <w:pPr>
        <w:spacing w:before="120" w:after="120"/>
        <w:jc w:val="both"/>
        <w:rPr>
          <w:sz w:val="22"/>
          <w:szCs w:val="22"/>
        </w:rPr>
      </w:pPr>
      <w:r w:rsidRPr="000C3D67">
        <w:rPr>
          <w:sz w:val="22"/>
          <w:szCs w:val="22"/>
        </w:rPr>
        <w:t>Također planovi se donose za nastavnu, a ne za fiskalnu godinu, to je uzrok mnogim odstupanjima u izvršenju financijskih planova, odnosno pomak određenih aktivnosti iz jednog u drugo polugodište uzrokuje promjene u izvršenju financijskog plana za dvije fiskalne godine.</w:t>
      </w:r>
    </w:p>
    <w:p w:rsidR="00A908F7" w:rsidRPr="000C3D67" w:rsidP="00A908F7" w14:paraId="5C5D93EE" w14:textId="77777777">
      <w:pPr>
        <w:ind w:left="708"/>
        <w:rPr>
          <w:sz w:val="22"/>
          <w:szCs w:val="22"/>
        </w:rPr>
      </w:pPr>
    </w:p>
    <w:p w:rsidR="00A908F7" w:rsidRPr="000C3D67" w:rsidP="00A908F7" w14:paraId="0D0101A2" w14:textId="77777777">
      <w:pPr>
        <w:jc w:val="both"/>
        <w:rPr>
          <w:sz w:val="22"/>
          <w:szCs w:val="22"/>
        </w:rPr>
      </w:pPr>
      <w:r w:rsidRPr="000C3D67">
        <w:rPr>
          <w:sz w:val="22"/>
          <w:szCs w:val="22"/>
        </w:rPr>
        <w:t>Prioritet Škole je kvalitetno obrazovanje i odgoj učenika što ostvarujemo:</w:t>
      </w:r>
    </w:p>
    <w:p w:rsidR="00A908F7" w:rsidRPr="000C3D67" w:rsidP="00A908F7" w14:paraId="7AA8541A" w14:textId="77777777">
      <w:pPr>
        <w:numPr>
          <w:ilvl w:val="0"/>
          <w:numId w:val="33"/>
        </w:numPr>
        <w:jc w:val="both"/>
        <w:rPr>
          <w:sz w:val="22"/>
          <w:szCs w:val="22"/>
        </w:rPr>
      </w:pPr>
      <w:r w:rsidRPr="000C3D67">
        <w:rPr>
          <w:sz w:val="22"/>
          <w:szCs w:val="22"/>
        </w:rPr>
        <w:t>stalnim usavršavanjem nastavnika (seminari, stručni skupovi), praćenjem metodičkih, informatičkih i drugih trendova u odgoju i obrazovanju te podizanjem nastavnog standarda na višu razinu,</w:t>
      </w:r>
    </w:p>
    <w:p w:rsidR="00A908F7" w:rsidRPr="000C3D67" w:rsidP="00A908F7" w14:paraId="26AF68C0" w14:textId="77777777">
      <w:pPr>
        <w:numPr>
          <w:ilvl w:val="0"/>
          <w:numId w:val="33"/>
        </w:numPr>
        <w:jc w:val="both"/>
        <w:rPr>
          <w:sz w:val="22"/>
          <w:szCs w:val="22"/>
        </w:rPr>
      </w:pPr>
      <w:r w:rsidRPr="000C3D67">
        <w:rPr>
          <w:sz w:val="22"/>
          <w:szCs w:val="22"/>
        </w:rPr>
        <w:t>poticanjem učenika na izražavanje kreativnosti, nadarenosti i sposobnosti kroz uključivanje u slobodne aktivnosti, natjecanja, sudjelovanje na literarnim i likovnim natječajima, kroz školske projekte, priredbe te manifestacije u školi i šire,</w:t>
      </w:r>
    </w:p>
    <w:p w:rsidR="00A908F7" w:rsidRPr="000C3D67" w:rsidP="00A908F7" w14:paraId="3252589B" w14:textId="77777777">
      <w:pPr>
        <w:numPr>
          <w:ilvl w:val="0"/>
          <w:numId w:val="33"/>
        </w:numPr>
        <w:jc w:val="both"/>
        <w:rPr>
          <w:sz w:val="22"/>
          <w:szCs w:val="22"/>
        </w:rPr>
      </w:pPr>
      <w:r w:rsidRPr="000C3D67">
        <w:rPr>
          <w:sz w:val="22"/>
          <w:szCs w:val="22"/>
        </w:rPr>
        <w:t>poticanje za sudjelovanje na sportskim aktivnostima, uključivanje kroz natjecanja na školskoj razini i šire,</w:t>
      </w:r>
    </w:p>
    <w:p w:rsidR="00A908F7" w:rsidRPr="000C3D67" w:rsidP="00A908F7" w14:paraId="1C1DF765" w14:textId="77777777">
      <w:pPr>
        <w:numPr>
          <w:ilvl w:val="0"/>
          <w:numId w:val="33"/>
        </w:numPr>
        <w:jc w:val="both"/>
        <w:rPr>
          <w:sz w:val="22"/>
          <w:szCs w:val="22"/>
        </w:rPr>
      </w:pPr>
      <w:r w:rsidRPr="000C3D67">
        <w:rPr>
          <w:sz w:val="22"/>
          <w:szCs w:val="22"/>
        </w:rPr>
        <w:t>poticanje otvorene komunikacije povećanjem uključenosti obitelji, lokalne zajednice, socijalnih i drugih partnera u jačanju preventivne uloge škole naspram društveno neprihvatljivih oblika ponašanja,</w:t>
      </w:r>
    </w:p>
    <w:p w:rsidR="00A908F7" w:rsidRPr="000C3D67" w:rsidP="00A908F7" w14:paraId="44A8A34D" w14:textId="77777777">
      <w:pPr>
        <w:numPr>
          <w:ilvl w:val="0"/>
          <w:numId w:val="33"/>
        </w:numPr>
        <w:jc w:val="both"/>
        <w:rPr>
          <w:sz w:val="22"/>
          <w:szCs w:val="22"/>
        </w:rPr>
      </w:pPr>
      <w:r w:rsidRPr="000C3D67">
        <w:rPr>
          <w:sz w:val="22"/>
          <w:szCs w:val="22"/>
        </w:rPr>
        <w:t>razvijanje navike cjeloživotnog učenja, usvajanja zdravih životnih navika, razvoj kompletne mlade osobe s razvijenim samopoštovanjem i građanskom sviješću,</w:t>
      </w:r>
    </w:p>
    <w:p w:rsidR="00A908F7" w:rsidRPr="000C3D67" w:rsidP="00A908F7" w14:paraId="148D9100" w14:textId="77777777">
      <w:pPr>
        <w:numPr>
          <w:ilvl w:val="0"/>
          <w:numId w:val="33"/>
        </w:numPr>
        <w:jc w:val="both"/>
        <w:rPr>
          <w:sz w:val="22"/>
          <w:szCs w:val="22"/>
        </w:rPr>
      </w:pPr>
      <w:r w:rsidRPr="000C3D67">
        <w:rPr>
          <w:sz w:val="22"/>
          <w:szCs w:val="22"/>
        </w:rPr>
        <w:t>organiziranje zajedničkih aktivnosti učenika i učitelja tijekom izvannastavnih aktivnosti, na organizaciji u upoznavanju kulturne i duhovne baštine.</w:t>
      </w:r>
    </w:p>
    <w:p w:rsidR="00A908F7" w:rsidRPr="000C3D67" w:rsidP="00A908F7" w14:paraId="1600602E" w14:textId="77777777">
      <w:pPr>
        <w:numPr>
          <w:ilvl w:val="0"/>
          <w:numId w:val="33"/>
        </w:numPr>
        <w:jc w:val="both"/>
        <w:rPr>
          <w:sz w:val="22"/>
          <w:szCs w:val="22"/>
        </w:rPr>
      </w:pPr>
      <w:r w:rsidRPr="000C3D67">
        <w:rPr>
          <w:sz w:val="22"/>
          <w:szCs w:val="22"/>
        </w:rPr>
        <w:t>realizacija dijela programa u suradnji s ustanovama, eminentnim  stručnjacima i umjetnicima.</w:t>
      </w:r>
    </w:p>
    <w:p w:rsidR="00A908F7" w:rsidRPr="000C3D67" w:rsidP="00A908F7" w14:paraId="27767A83" w14:textId="77777777">
      <w:pPr>
        <w:jc w:val="both"/>
        <w:rPr>
          <w:b/>
          <w:sz w:val="22"/>
          <w:szCs w:val="22"/>
        </w:rPr>
      </w:pPr>
    </w:p>
    <w:p w:rsidR="00EE3439" w:rsidRPr="000C3D67" w:rsidP="00895387" w14:paraId="529F0B30" w14:textId="77777777">
      <w:pPr>
        <w:rPr>
          <w:sz w:val="22"/>
          <w:szCs w:val="22"/>
        </w:rPr>
      </w:pPr>
    </w:p>
    <w:p w:rsidR="00EE3439" w:rsidRPr="000C3D67" w:rsidP="00895387" w14:paraId="3A7D1D75" w14:textId="77777777">
      <w:pPr>
        <w:rPr>
          <w:sz w:val="22"/>
          <w:szCs w:val="22"/>
        </w:rPr>
      </w:pPr>
    </w:p>
    <w:p w:rsidR="00EE3439" w:rsidRPr="000C3D67" w:rsidP="00895387" w14:paraId="6CDFF65B" w14:textId="77777777">
      <w:pPr>
        <w:rPr>
          <w:sz w:val="22"/>
          <w:szCs w:val="22"/>
        </w:rPr>
      </w:pPr>
    </w:p>
    <w:p w:rsidR="00EE3439" w:rsidRPr="000C3D67" w:rsidP="00895387" w14:paraId="66FAEDA1" w14:textId="77777777">
      <w:pPr>
        <w:rPr>
          <w:sz w:val="22"/>
          <w:szCs w:val="22"/>
        </w:rPr>
      </w:pPr>
    </w:p>
    <w:p w:rsidR="00C75F2D" w:rsidRPr="000C3D67" w:rsidP="00895387" w14:paraId="437B1AF8" w14:textId="77777777">
      <w:pPr>
        <w:rPr>
          <w:sz w:val="22"/>
          <w:szCs w:val="22"/>
        </w:rPr>
      </w:pPr>
      <w:r w:rsidRPr="000C3D67">
        <w:rPr>
          <w:sz w:val="22"/>
          <w:szCs w:val="22"/>
        </w:rPr>
        <w:t xml:space="preserve">       </w:t>
      </w:r>
      <w:r w:rsidRPr="000C3D67" w:rsidR="008E7D07">
        <w:rPr>
          <w:sz w:val="22"/>
          <w:szCs w:val="22"/>
        </w:rPr>
        <w:t xml:space="preserve">  </w:t>
      </w:r>
      <w:r w:rsidRPr="000C3D67">
        <w:rPr>
          <w:sz w:val="22"/>
          <w:szCs w:val="22"/>
        </w:rPr>
        <w:t xml:space="preserve"> V</w:t>
      </w:r>
      <w:r w:rsidRPr="000C3D67" w:rsidR="008D7D40">
        <w:rPr>
          <w:sz w:val="22"/>
          <w:szCs w:val="22"/>
        </w:rPr>
        <w:t>oditeljica računovodstva:</w:t>
      </w:r>
      <w:r w:rsidRPr="000C3D67">
        <w:rPr>
          <w:sz w:val="22"/>
          <w:szCs w:val="22"/>
        </w:rPr>
        <w:t xml:space="preserve">    </w:t>
      </w:r>
      <w:r w:rsidRPr="000C3D67" w:rsidR="008D7D40">
        <w:rPr>
          <w:sz w:val="22"/>
          <w:szCs w:val="22"/>
        </w:rPr>
        <w:t xml:space="preserve">           </w:t>
      </w:r>
      <w:r w:rsidRPr="000C3D67">
        <w:rPr>
          <w:sz w:val="22"/>
          <w:szCs w:val="22"/>
        </w:rPr>
        <w:t xml:space="preserve"> </w:t>
      </w:r>
      <w:r w:rsidRPr="000C3D67" w:rsidR="008D7D40">
        <w:rPr>
          <w:sz w:val="22"/>
          <w:szCs w:val="22"/>
        </w:rPr>
        <w:t xml:space="preserve"> </w:t>
      </w:r>
      <w:r w:rsidRPr="000C3D67" w:rsidR="004D3565">
        <w:rPr>
          <w:sz w:val="22"/>
          <w:szCs w:val="22"/>
        </w:rPr>
        <w:tab/>
      </w:r>
      <w:r w:rsidRPr="000C3D67" w:rsidR="004D3565">
        <w:rPr>
          <w:sz w:val="22"/>
          <w:szCs w:val="22"/>
        </w:rPr>
        <w:tab/>
      </w:r>
      <w:r w:rsidRPr="000C3D67" w:rsidR="004D3565">
        <w:rPr>
          <w:sz w:val="22"/>
          <w:szCs w:val="22"/>
        </w:rPr>
        <w:tab/>
      </w:r>
      <w:r w:rsidRPr="000C3D67" w:rsidR="004D3565">
        <w:rPr>
          <w:sz w:val="22"/>
          <w:szCs w:val="22"/>
        </w:rPr>
        <w:tab/>
      </w:r>
      <w:r w:rsidRPr="000C3D67" w:rsidR="004D3565">
        <w:rPr>
          <w:sz w:val="22"/>
          <w:szCs w:val="22"/>
        </w:rPr>
        <w:tab/>
        <w:t xml:space="preserve">   </w:t>
      </w:r>
      <w:r w:rsidRPr="000C3D67" w:rsidR="008D7D40">
        <w:rPr>
          <w:sz w:val="22"/>
          <w:szCs w:val="22"/>
        </w:rPr>
        <w:t>Ravnatelj</w:t>
      </w:r>
      <w:r w:rsidRPr="000C3D67">
        <w:rPr>
          <w:sz w:val="22"/>
          <w:szCs w:val="22"/>
        </w:rPr>
        <w:t xml:space="preserve"> škole</w:t>
      </w:r>
      <w:r w:rsidRPr="000C3D67">
        <w:rPr>
          <w:sz w:val="22"/>
          <w:szCs w:val="22"/>
        </w:rPr>
        <w:t>:</w:t>
      </w:r>
      <w:r w:rsidRPr="000C3D67" w:rsidR="008D7D40">
        <w:rPr>
          <w:sz w:val="22"/>
          <w:szCs w:val="22"/>
        </w:rPr>
        <w:t xml:space="preserve">              </w:t>
      </w:r>
      <w:r w:rsidRPr="000C3D67" w:rsidR="004D3565">
        <w:rPr>
          <w:sz w:val="22"/>
          <w:szCs w:val="22"/>
        </w:rPr>
        <w:t xml:space="preserve">   </w:t>
      </w:r>
      <w:r w:rsidRPr="000C3D67" w:rsidR="008D7D40">
        <w:rPr>
          <w:sz w:val="22"/>
          <w:szCs w:val="22"/>
        </w:rPr>
        <w:t xml:space="preserve"> </w:t>
      </w:r>
    </w:p>
    <w:p w:rsidR="00C75F2D" w:rsidRPr="000C3D67" w:rsidP="00086297" w14:paraId="64C681FF" w14:textId="77777777">
      <w:pPr>
        <w:rPr>
          <w:sz w:val="22"/>
          <w:szCs w:val="22"/>
        </w:rPr>
      </w:pPr>
      <w:r w:rsidRPr="000C3D67">
        <w:rPr>
          <w:sz w:val="22"/>
          <w:szCs w:val="22"/>
        </w:rPr>
        <w:t xml:space="preserve">   </w:t>
      </w:r>
      <w:r w:rsidRPr="000C3D67" w:rsidR="001859D4">
        <w:rPr>
          <w:sz w:val="22"/>
          <w:szCs w:val="22"/>
        </w:rPr>
        <w:t xml:space="preserve">          </w:t>
      </w:r>
      <w:r w:rsidRPr="000C3D67" w:rsidR="00895387">
        <w:rPr>
          <w:sz w:val="22"/>
          <w:szCs w:val="22"/>
        </w:rPr>
        <w:t xml:space="preserve">Kristina Rizk, </w:t>
      </w:r>
      <w:r w:rsidRPr="000C3D67" w:rsidR="00895387">
        <w:rPr>
          <w:sz w:val="22"/>
          <w:szCs w:val="22"/>
        </w:rPr>
        <w:t>dipl.oec</w:t>
      </w:r>
      <w:r w:rsidRPr="000C3D67" w:rsidR="00895387">
        <w:rPr>
          <w:sz w:val="22"/>
          <w:szCs w:val="22"/>
        </w:rPr>
        <w:t>.</w:t>
      </w:r>
      <w:r w:rsidRPr="000C3D67" w:rsidR="001859D4">
        <w:rPr>
          <w:sz w:val="22"/>
          <w:szCs w:val="22"/>
        </w:rPr>
        <w:tab/>
      </w:r>
      <w:r w:rsidRPr="000C3D67" w:rsidR="001859D4">
        <w:rPr>
          <w:sz w:val="22"/>
          <w:szCs w:val="22"/>
        </w:rPr>
        <w:tab/>
      </w:r>
      <w:r w:rsidRPr="000C3D67" w:rsidR="00EC06D9">
        <w:rPr>
          <w:sz w:val="22"/>
          <w:szCs w:val="22"/>
        </w:rPr>
        <w:t xml:space="preserve">  </w:t>
      </w:r>
      <w:r w:rsidRPr="000C3D67" w:rsidR="008D7D40">
        <w:rPr>
          <w:sz w:val="22"/>
          <w:szCs w:val="22"/>
        </w:rPr>
        <w:t xml:space="preserve">  </w:t>
      </w:r>
      <w:r w:rsidRPr="000C3D67" w:rsidR="004D3565">
        <w:rPr>
          <w:sz w:val="22"/>
          <w:szCs w:val="22"/>
        </w:rPr>
        <w:tab/>
      </w:r>
      <w:r w:rsidRPr="000C3D67" w:rsidR="004D3565">
        <w:rPr>
          <w:sz w:val="22"/>
          <w:szCs w:val="22"/>
        </w:rPr>
        <w:tab/>
      </w:r>
      <w:r w:rsidRPr="000C3D67" w:rsidR="004D3565">
        <w:rPr>
          <w:sz w:val="22"/>
          <w:szCs w:val="22"/>
        </w:rPr>
        <w:tab/>
      </w:r>
      <w:r w:rsidRPr="000C3D67" w:rsidR="004D3565">
        <w:rPr>
          <w:sz w:val="22"/>
          <w:szCs w:val="22"/>
        </w:rPr>
        <w:tab/>
      </w:r>
      <w:r w:rsidRPr="000C3D67" w:rsidR="004D3565">
        <w:rPr>
          <w:sz w:val="22"/>
          <w:szCs w:val="22"/>
        </w:rPr>
        <w:tab/>
      </w:r>
      <w:r w:rsidRPr="000C3D67" w:rsidR="00EC06D9">
        <w:rPr>
          <w:sz w:val="22"/>
          <w:szCs w:val="22"/>
        </w:rPr>
        <w:t xml:space="preserve"> </w:t>
      </w:r>
      <w:r w:rsidRPr="000C3D67" w:rsidR="008D7D40">
        <w:rPr>
          <w:sz w:val="22"/>
          <w:szCs w:val="22"/>
        </w:rPr>
        <w:t>Darko Sočev, prof.</w:t>
      </w:r>
      <w:r w:rsidRPr="000C3D67" w:rsidR="008D7D40">
        <w:rPr>
          <w:sz w:val="22"/>
          <w:szCs w:val="22"/>
        </w:rPr>
        <w:tab/>
      </w:r>
      <w:r w:rsidRPr="000C3D67" w:rsidR="008D7D40">
        <w:rPr>
          <w:sz w:val="22"/>
          <w:szCs w:val="22"/>
        </w:rPr>
        <w:tab/>
      </w:r>
      <w:r w:rsidRPr="000C3D67" w:rsidR="00C132A1">
        <w:rPr>
          <w:sz w:val="22"/>
          <w:szCs w:val="22"/>
        </w:rPr>
        <w:t xml:space="preserve">      </w:t>
      </w:r>
    </w:p>
    <w:p w:rsidR="00C75F2D" w:rsidRPr="000C3D67" w14:paraId="2E75EEAD" w14:textId="77777777">
      <w:pPr>
        <w:rPr>
          <w:sz w:val="22"/>
          <w:szCs w:val="22"/>
        </w:rPr>
      </w:pPr>
    </w:p>
    <w:p w:rsidR="00AA793C" w:rsidRPr="000C3D67" w14:paraId="7D5230EB" w14:textId="77777777">
      <w:pPr>
        <w:rPr>
          <w:sz w:val="22"/>
          <w:szCs w:val="22"/>
        </w:rPr>
      </w:pPr>
    </w:p>
    <w:p w:rsidR="004D3565" w:rsidRPr="000C3D67" w:rsidP="004D3565" w14:paraId="552BB1EA" w14:textId="77777777">
      <w:pPr>
        <w:pStyle w:val="ListParagraph"/>
        <w:ind w:left="5676" w:firstLine="696"/>
        <w:jc w:val="both"/>
        <w:rPr>
          <w:sz w:val="22"/>
          <w:szCs w:val="22"/>
        </w:rPr>
      </w:pPr>
    </w:p>
    <w:p w:rsidR="000F71BB" w:rsidRPr="000C3D67" w:rsidP="004D3565" w14:paraId="0855324E" w14:textId="77777777">
      <w:pPr>
        <w:pStyle w:val="ListParagraph"/>
        <w:ind w:left="5676" w:firstLine="696"/>
        <w:jc w:val="both"/>
        <w:rPr>
          <w:sz w:val="22"/>
          <w:szCs w:val="22"/>
        </w:rPr>
      </w:pPr>
      <w:r w:rsidRPr="000C3D67">
        <w:rPr>
          <w:sz w:val="22"/>
          <w:szCs w:val="22"/>
        </w:rPr>
        <w:t xml:space="preserve">Predsjednik </w:t>
      </w:r>
      <w:r w:rsidRPr="000C3D67" w:rsidR="005B17B4">
        <w:rPr>
          <w:sz w:val="22"/>
          <w:szCs w:val="22"/>
        </w:rPr>
        <w:t>Š</w:t>
      </w:r>
      <w:r w:rsidRPr="000C3D67">
        <w:rPr>
          <w:sz w:val="22"/>
          <w:szCs w:val="22"/>
        </w:rPr>
        <w:t>kolskog odbora:</w:t>
      </w:r>
    </w:p>
    <w:p w:rsidR="004D3565" w:rsidRPr="00EC06D9" w:rsidP="004D3565" w14:paraId="47779B13" w14:textId="77777777">
      <w:pPr>
        <w:pStyle w:val="ListParagraph"/>
        <w:ind w:left="6384" w:firstLine="696"/>
        <w:jc w:val="both"/>
        <w:rPr>
          <w:b/>
          <w:bCs/>
          <w:sz w:val="22"/>
          <w:szCs w:val="22"/>
          <w:u w:val="single"/>
        </w:rPr>
      </w:pPr>
      <w:r w:rsidRPr="000C3D67">
        <w:rPr>
          <w:sz w:val="22"/>
          <w:szCs w:val="22"/>
        </w:rPr>
        <w:t>Goran Višak, prof.</w:t>
      </w:r>
    </w:p>
    <w:sectPr w:rsidSect="000C3D67">
      <w:footerReference w:type="default" r:id="rId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02347754"/>
      <w:docPartObj>
        <w:docPartGallery w:val="Page Numbers (Bottom of Page)"/>
        <w:docPartUnique/>
      </w:docPartObj>
    </w:sdtPr>
    <w:sdtContent>
      <w:p w:rsidR="00991D46" w14:paraId="26496F3D" w14:textId="77777777">
        <w:pPr>
          <w:pStyle w:val="Footer"/>
          <w:jc w:val="right"/>
        </w:pPr>
        <w:r>
          <w:fldChar w:fldCharType="begin"/>
        </w:r>
        <w:r>
          <w:instrText>PAGE   \* MERGEFORMAT</w:instrText>
        </w:r>
        <w:r>
          <w:fldChar w:fldCharType="separate"/>
        </w:r>
        <w:r w:rsidR="000C3D67">
          <w:rPr>
            <w:noProof/>
          </w:rPr>
          <w:t>12</w:t>
        </w:r>
        <w:r>
          <w:fldChar w:fldCharType="end"/>
        </w:r>
      </w:p>
    </w:sdtContent>
  </w:sdt>
  <w:p w:rsidR="00991D46" w14:paraId="6A3D3B91"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7E7C96"/>
    <w:multiLevelType w:val="hybridMultilevel"/>
    <w:tmpl w:val="F6A8179E"/>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1034AB7"/>
    <w:multiLevelType w:val="hybridMultilevel"/>
    <w:tmpl w:val="8D40608C"/>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nsid w:val="12F6162C"/>
    <w:multiLevelType w:val="hybridMultilevel"/>
    <w:tmpl w:val="71C650F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77174F8"/>
    <w:multiLevelType w:val="hybridMultilevel"/>
    <w:tmpl w:val="4D9A8090"/>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0B27C47"/>
    <w:multiLevelType w:val="hybridMultilevel"/>
    <w:tmpl w:val="DB74A406"/>
    <w:lvl w:ilvl="0">
      <w:start w:va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1EF013F"/>
    <w:multiLevelType w:val="hybridMultilevel"/>
    <w:tmpl w:val="46C21800"/>
    <w:lvl w:ilvl="0">
      <w:start w:val="0"/>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6">
    <w:nsid w:val="24CF44A8"/>
    <w:multiLevelType w:val="hybridMultilevel"/>
    <w:tmpl w:val="A8A2F126"/>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6293570"/>
    <w:multiLevelType w:val="hybridMultilevel"/>
    <w:tmpl w:val="BBBA8816"/>
    <w:lvl w:ilvl="0">
      <w:start w:val="0"/>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
    <w:nsid w:val="263B63D3"/>
    <w:multiLevelType w:val="hybridMultilevel"/>
    <w:tmpl w:val="E0327874"/>
    <w:lvl w:ilvl="0">
      <w:start w:val="1"/>
      <w:numFmt w:val="decimal"/>
      <w:lvlText w:val="%1."/>
      <w:lvlJc w:val="left"/>
      <w:pPr>
        <w:ind w:left="1185" w:hanging="360"/>
      </w:pPr>
    </w:lvl>
    <w:lvl w:ilvl="1" w:tentative="1">
      <w:start w:val="1"/>
      <w:numFmt w:val="lowerLetter"/>
      <w:lvlText w:val="%2."/>
      <w:lvlJc w:val="left"/>
      <w:pPr>
        <w:ind w:left="1905" w:hanging="360"/>
      </w:pPr>
    </w:lvl>
    <w:lvl w:ilvl="2" w:tentative="1">
      <w:start w:val="1"/>
      <w:numFmt w:val="lowerRoman"/>
      <w:lvlText w:val="%3."/>
      <w:lvlJc w:val="right"/>
      <w:pPr>
        <w:ind w:left="2625" w:hanging="180"/>
      </w:pPr>
    </w:lvl>
    <w:lvl w:ilvl="3" w:tentative="1">
      <w:start w:val="1"/>
      <w:numFmt w:val="decimal"/>
      <w:lvlText w:val="%4."/>
      <w:lvlJc w:val="left"/>
      <w:pPr>
        <w:ind w:left="3345" w:hanging="360"/>
      </w:pPr>
    </w:lvl>
    <w:lvl w:ilvl="4" w:tentative="1">
      <w:start w:val="1"/>
      <w:numFmt w:val="lowerLetter"/>
      <w:lvlText w:val="%5."/>
      <w:lvlJc w:val="left"/>
      <w:pPr>
        <w:ind w:left="4065" w:hanging="360"/>
      </w:pPr>
    </w:lvl>
    <w:lvl w:ilvl="5" w:tentative="1">
      <w:start w:val="1"/>
      <w:numFmt w:val="lowerRoman"/>
      <w:lvlText w:val="%6."/>
      <w:lvlJc w:val="right"/>
      <w:pPr>
        <w:ind w:left="4785" w:hanging="180"/>
      </w:pPr>
    </w:lvl>
    <w:lvl w:ilvl="6" w:tentative="1">
      <w:start w:val="1"/>
      <w:numFmt w:val="decimal"/>
      <w:lvlText w:val="%7."/>
      <w:lvlJc w:val="left"/>
      <w:pPr>
        <w:ind w:left="5505" w:hanging="360"/>
      </w:pPr>
    </w:lvl>
    <w:lvl w:ilvl="7" w:tentative="1">
      <w:start w:val="1"/>
      <w:numFmt w:val="lowerLetter"/>
      <w:lvlText w:val="%8."/>
      <w:lvlJc w:val="left"/>
      <w:pPr>
        <w:ind w:left="6225" w:hanging="360"/>
      </w:pPr>
    </w:lvl>
    <w:lvl w:ilvl="8" w:tentative="1">
      <w:start w:val="1"/>
      <w:numFmt w:val="lowerRoman"/>
      <w:lvlText w:val="%9."/>
      <w:lvlJc w:val="right"/>
      <w:pPr>
        <w:ind w:left="6945" w:hanging="180"/>
      </w:pPr>
    </w:lvl>
  </w:abstractNum>
  <w:abstractNum w:abstractNumId="9">
    <w:nsid w:val="2C7A7ECA"/>
    <w:multiLevelType w:val="hybridMultilevel"/>
    <w:tmpl w:val="4DE01314"/>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F4478AD"/>
    <w:multiLevelType w:val="hybridMultilevel"/>
    <w:tmpl w:val="A52C3BEE"/>
    <w:lvl w:ilvl="0">
      <w:start w:val="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0B42923"/>
    <w:multiLevelType w:val="hybridMultilevel"/>
    <w:tmpl w:val="C67C16DE"/>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12">
    <w:nsid w:val="3EDC30D5"/>
    <w:multiLevelType w:val="hybridMultilevel"/>
    <w:tmpl w:val="F6048A7C"/>
    <w:lvl w:ilvl="0">
      <w:start w:va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40DB590C"/>
    <w:multiLevelType w:val="hybridMultilevel"/>
    <w:tmpl w:val="B19887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44D55B1C"/>
    <w:multiLevelType w:val="hybridMultilevel"/>
    <w:tmpl w:val="45148B9A"/>
    <w:lvl w:ilvl="0">
      <w:start w:va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47F41B75"/>
    <w:multiLevelType w:val="hybridMultilevel"/>
    <w:tmpl w:val="5ED452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E2A6FCB"/>
    <w:multiLevelType w:val="hybridMultilevel"/>
    <w:tmpl w:val="D45C4998"/>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3286A5A"/>
    <w:multiLevelType w:val="hybridMultilevel"/>
    <w:tmpl w:val="F7F4CDAA"/>
    <w:lvl w:ilvl="0">
      <w:start w:va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573A0ADA"/>
    <w:multiLevelType w:val="hybridMultilevel"/>
    <w:tmpl w:val="9AE83196"/>
    <w:lvl w:ilvl="0">
      <w:start w:val="0"/>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586F5069"/>
    <w:multiLevelType w:val="hybridMultilevel"/>
    <w:tmpl w:val="10BE893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58B3102D"/>
    <w:multiLevelType w:val="hybridMultilevel"/>
    <w:tmpl w:val="941ECBAE"/>
    <w:lvl w:ilvl="0">
      <w:start w:val="3"/>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C4D3DB3"/>
    <w:multiLevelType w:val="hybridMultilevel"/>
    <w:tmpl w:val="A92C92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5605ECE"/>
    <w:multiLevelType w:val="hybridMultilevel"/>
    <w:tmpl w:val="931E6D7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7F937BF9"/>
    <w:multiLevelType w:val="hybridMultilevel"/>
    <w:tmpl w:val="792CE9C2"/>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3"/>
  </w:num>
  <w:num w:numId="4">
    <w:abstractNumId w:val="22"/>
  </w:num>
  <w:num w:numId="5">
    <w:abstractNumId w:val="11"/>
  </w:num>
  <w:num w:numId="6">
    <w:abstractNumId w:val="1"/>
  </w:num>
  <w:num w:numId="7">
    <w:abstractNumId w:val="2"/>
  </w:num>
  <w:num w:numId="8">
    <w:abstractNumId w:val="8"/>
  </w:num>
  <w:num w:numId="9">
    <w:abstractNumId w:val="5"/>
  </w:num>
  <w:num w:numId="10">
    <w:abstractNumId w:val="7"/>
  </w:num>
  <w:num w:numId="11">
    <w:abstractNumId w:val="14"/>
  </w:num>
  <w:num w:numId="12">
    <w:abstractNumId w:val="4"/>
  </w:num>
  <w:num w:numId="13">
    <w:abstractNumId w:val="17"/>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19"/>
  </w:num>
  <w:num w:numId="18">
    <w:abstractNumId w:val="14"/>
  </w:num>
  <w:num w:numId="19">
    <w:abstractNumId w:val="4"/>
  </w:num>
  <w:num w:numId="20">
    <w:abstractNumId w:val="10"/>
  </w:num>
  <w:num w:numId="21">
    <w:abstractNumId w:val="17"/>
  </w:num>
  <w:num w:numId="22">
    <w:abstractNumId w:val="20"/>
  </w:num>
  <w:num w:numId="23">
    <w:abstractNumId w:val="23"/>
  </w:num>
  <w:num w:numId="24">
    <w:abstractNumId w:val="16"/>
  </w:num>
  <w:num w:numId="25">
    <w:abstractNumId w:val="3"/>
  </w:num>
  <w:num w:numId="26">
    <w:abstractNumId w:val="14"/>
  </w:num>
  <w:num w:numId="27">
    <w:abstractNumId w:val="4"/>
  </w:num>
  <w:num w:numId="28">
    <w:abstractNumId w:val="10"/>
  </w:num>
  <w:num w:numId="29">
    <w:abstractNumId w:val="17"/>
  </w:num>
  <w:num w:numId="30">
    <w:abstractNumId w:val="6"/>
  </w:num>
  <w:num w:numId="31">
    <w:abstractNumId w:val="18"/>
  </w:num>
  <w:num w:numId="32">
    <w:abstractNumId w:val="2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29D"/>
    <w:rsid w:val="00005139"/>
    <w:rsid w:val="00011477"/>
    <w:rsid w:val="00012A76"/>
    <w:rsid w:val="00013209"/>
    <w:rsid w:val="00013D4F"/>
    <w:rsid w:val="00015F2D"/>
    <w:rsid w:val="00016E21"/>
    <w:rsid w:val="000176CF"/>
    <w:rsid w:val="000176D9"/>
    <w:rsid w:val="00017FDD"/>
    <w:rsid w:val="0002652F"/>
    <w:rsid w:val="00042B91"/>
    <w:rsid w:val="00043059"/>
    <w:rsid w:val="00043D16"/>
    <w:rsid w:val="00044399"/>
    <w:rsid w:val="00046F64"/>
    <w:rsid w:val="00050EE3"/>
    <w:rsid w:val="0006117A"/>
    <w:rsid w:val="00061C28"/>
    <w:rsid w:val="000656A2"/>
    <w:rsid w:val="0006609D"/>
    <w:rsid w:val="00067216"/>
    <w:rsid w:val="00072C64"/>
    <w:rsid w:val="0007329C"/>
    <w:rsid w:val="000744D2"/>
    <w:rsid w:val="00075BD1"/>
    <w:rsid w:val="00076D62"/>
    <w:rsid w:val="000806D3"/>
    <w:rsid w:val="00085103"/>
    <w:rsid w:val="00085A44"/>
    <w:rsid w:val="00086297"/>
    <w:rsid w:val="00086CEF"/>
    <w:rsid w:val="000876F4"/>
    <w:rsid w:val="0009084C"/>
    <w:rsid w:val="000A198F"/>
    <w:rsid w:val="000A1AC6"/>
    <w:rsid w:val="000B0D1D"/>
    <w:rsid w:val="000B20E3"/>
    <w:rsid w:val="000B4B31"/>
    <w:rsid w:val="000C0A7F"/>
    <w:rsid w:val="000C0EE6"/>
    <w:rsid w:val="000C2FDE"/>
    <w:rsid w:val="000C3D67"/>
    <w:rsid w:val="000C60A1"/>
    <w:rsid w:val="000C69F0"/>
    <w:rsid w:val="000C7E72"/>
    <w:rsid w:val="000D221A"/>
    <w:rsid w:val="000D23FC"/>
    <w:rsid w:val="000D3AD5"/>
    <w:rsid w:val="000D5023"/>
    <w:rsid w:val="000D7CD3"/>
    <w:rsid w:val="000E0C13"/>
    <w:rsid w:val="000E17B0"/>
    <w:rsid w:val="000E4B66"/>
    <w:rsid w:val="000E7964"/>
    <w:rsid w:val="000F71BB"/>
    <w:rsid w:val="0010384E"/>
    <w:rsid w:val="00107B42"/>
    <w:rsid w:val="00110EAE"/>
    <w:rsid w:val="00113F82"/>
    <w:rsid w:val="00124D8B"/>
    <w:rsid w:val="00124EE1"/>
    <w:rsid w:val="001278B0"/>
    <w:rsid w:val="00131B96"/>
    <w:rsid w:val="00132E83"/>
    <w:rsid w:val="00133CFC"/>
    <w:rsid w:val="00154296"/>
    <w:rsid w:val="001669DD"/>
    <w:rsid w:val="00170125"/>
    <w:rsid w:val="00172FB1"/>
    <w:rsid w:val="0018085C"/>
    <w:rsid w:val="0018099A"/>
    <w:rsid w:val="001820AF"/>
    <w:rsid w:val="001859D4"/>
    <w:rsid w:val="00185A51"/>
    <w:rsid w:val="001864C0"/>
    <w:rsid w:val="00193868"/>
    <w:rsid w:val="001A026D"/>
    <w:rsid w:val="001A1E6D"/>
    <w:rsid w:val="001A7895"/>
    <w:rsid w:val="001B1231"/>
    <w:rsid w:val="001B5AC5"/>
    <w:rsid w:val="001C4BBA"/>
    <w:rsid w:val="001D34FE"/>
    <w:rsid w:val="001D4191"/>
    <w:rsid w:val="001D6350"/>
    <w:rsid w:val="001D693B"/>
    <w:rsid w:val="001E0054"/>
    <w:rsid w:val="001E0E38"/>
    <w:rsid w:val="001E2132"/>
    <w:rsid w:val="001F148D"/>
    <w:rsid w:val="001F1C2C"/>
    <w:rsid w:val="001F2607"/>
    <w:rsid w:val="001F4712"/>
    <w:rsid w:val="001F5224"/>
    <w:rsid w:val="00201712"/>
    <w:rsid w:val="00204CE2"/>
    <w:rsid w:val="0021253A"/>
    <w:rsid w:val="00214B94"/>
    <w:rsid w:val="00224AF9"/>
    <w:rsid w:val="00224EF6"/>
    <w:rsid w:val="00226F02"/>
    <w:rsid w:val="00232FCE"/>
    <w:rsid w:val="00233678"/>
    <w:rsid w:val="00234144"/>
    <w:rsid w:val="00242C20"/>
    <w:rsid w:val="002448FB"/>
    <w:rsid w:val="00253E95"/>
    <w:rsid w:val="00254B27"/>
    <w:rsid w:val="00254C6D"/>
    <w:rsid w:val="0026120B"/>
    <w:rsid w:val="00282228"/>
    <w:rsid w:val="0028252A"/>
    <w:rsid w:val="00282999"/>
    <w:rsid w:val="0028434D"/>
    <w:rsid w:val="002A0FEF"/>
    <w:rsid w:val="002A46E5"/>
    <w:rsid w:val="002A6C08"/>
    <w:rsid w:val="002A6C78"/>
    <w:rsid w:val="002B0F3B"/>
    <w:rsid w:val="002B1F21"/>
    <w:rsid w:val="002C0C9E"/>
    <w:rsid w:val="002C0F5C"/>
    <w:rsid w:val="002C367F"/>
    <w:rsid w:val="002C58F2"/>
    <w:rsid w:val="002C773A"/>
    <w:rsid w:val="002C7C91"/>
    <w:rsid w:val="002D01C6"/>
    <w:rsid w:val="002D01E4"/>
    <w:rsid w:val="002D2884"/>
    <w:rsid w:val="002D2926"/>
    <w:rsid w:val="002D429D"/>
    <w:rsid w:val="002D608E"/>
    <w:rsid w:val="002E7DC8"/>
    <w:rsid w:val="002F059A"/>
    <w:rsid w:val="002F0A56"/>
    <w:rsid w:val="002F724B"/>
    <w:rsid w:val="002F75EB"/>
    <w:rsid w:val="00316263"/>
    <w:rsid w:val="003174A0"/>
    <w:rsid w:val="00320547"/>
    <w:rsid w:val="00326495"/>
    <w:rsid w:val="0033156A"/>
    <w:rsid w:val="00332DBC"/>
    <w:rsid w:val="00333CE2"/>
    <w:rsid w:val="003403C2"/>
    <w:rsid w:val="0034190E"/>
    <w:rsid w:val="0034504D"/>
    <w:rsid w:val="003517CE"/>
    <w:rsid w:val="00351E28"/>
    <w:rsid w:val="00351F40"/>
    <w:rsid w:val="0035663A"/>
    <w:rsid w:val="00360C78"/>
    <w:rsid w:val="003806B9"/>
    <w:rsid w:val="00380877"/>
    <w:rsid w:val="003853CF"/>
    <w:rsid w:val="0039137F"/>
    <w:rsid w:val="0039285C"/>
    <w:rsid w:val="00394AC5"/>
    <w:rsid w:val="003A5F44"/>
    <w:rsid w:val="003A7C2D"/>
    <w:rsid w:val="003B0194"/>
    <w:rsid w:val="003B78EE"/>
    <w:rsid w:val="003C0105"/>
    <w:rsid w:val="003C400B"/>
    <w:rsid w:val="003D1E1A"/>
    <w:rsid w:val="003D4786"/>
    <w:rsid w:val="003D74C5"/>
    <w:rsid w:val="003D7EC2"/>
    <w:rsid w:val="003E39E1"/>
    <w:rsid w:val="00405B63"/>
    <w:rsid w:val="00405BB7"/>
    <w:rsid w:val="00415AC6"/>
    <w:rsid w:val="004175E6"/>
    <w:rsid w:val="00420078"/>
    <w:rsid w:val="004228FF"/>
    <w:rsid w:val="00430F41"/>
    <w:rsid w:val="00433DC8"/>
    <w:rsid w:val="00435BEB"/>
    <w:rsid w:val="004449FA"/>
    <w:rsid w:val="00444E7E"/>
    <w:rsid w:val="00445F47"/>
    <w:rsid w:val="00446C9D"/>
    <w:rsid w:val="004536E0"/>
    <w:rsid w:val="00455182"/>
    <w:rsid w:val="004555FA"/>
    <w:rsid w:val="00460B42"/>
    <w:rsid w:val="00461D17"/>
    <w:rsid w:val="00462F06"/>
    <w:rsid w:val="00464976"/>
    <w:rsid w:val="00465517"/>
    <w:rsid w:val="004659AB"/>
    <w:rsid w:val="0046617B"/>
    <w:rsid w:val="0047286F"/>
    <w:rsid w:val="00472E44"/>
    <w:rsid w:val="00472F8B"/>
    <w:rsid w:val="004756E3"/>
    <w:rsid w:val="00476C1A"/>
    <w:rsid w:val="004819E4"/>
    <w:rsid w:val="00483E6D"/>
    <w:rsid w:val="0049080A"/>
    <w:rsid w:val="0049754C"/>
    <w:rsid w:val="004A0DA6"/>
    <w:rsid w:val="004A2A52"/>
    <w:rsid w:val="004A4F5C"/>
    <w:rsid w:val="004B2C73"/>
    <w:rsid w:val="004B51FA"/>
    <w:rsid w:val="004B7642"/>
    <w:rsid w:val="004B77B7"/>
    <w:rsid w:val="004C6618"/>
    <w:rsid w:val="004D3565"/>
    <w:rsid w:val="004D69AA"/>
    <w:rsid w:val="004D72A7"/>
    <w:rsid w:val="004E0D28"/>
    <w:rsid w:val="004F025C"/>
    <w:rsid w:val="004F0E8F"/>
    <w:rsid w:val="004F27AD"/>
    <w:rsid w:val="004F443D"/>
    <w:rsid w:val="004F4962"/>
    <w:rsid w:val="004F5758"/>
    <w:rsid w:val="004F64F6"/>
    <w:rsid w:val="00500439"/>
    <w:rsid w:val="00504D18"/>
    <w:rsid w:val="00514867"/>
    <w:rsid w:val="005204DB"/>
    <w:rsid w:val="00525718"/>
    <w:rsid w:val="00533385"/>
    <w:rsid w:val="00541BB7"/>
    <w:rsid w:val="0054382A"/>
    <w:rsid w:val="005470E1"/>
    <w:rsid w:val="00553391"/>
    <w:rsid w:val="0055626C"/>
    <w:rsid w:val="00557CDC"/>
    <w:rsid w:val="00560801"/>
    <w:rsid w:val="0056324A"/>
    <w:rsid w:val="00566069"/>
    <w:rsid w:val="00566DBF"/>
    <w:rsid w:val="0057328A"/>
    <w:rsid w:val="00573CB5"/>
    <w:rsid w:val="005740C2"/>
    <w:rsid w:val="00575018"/>
    <w:rsid w:val="005806BC"/>
    <w:rsid w:val="00587B21"/>
    <w:rsid w:val="00596737"/>
    <w:rsid w:val="005A4424"/>
    <w:rsid w:val="005A7B12"/>
    <w:rsid w:val="005B17B4"/>
    <w:rsid w:val="005B7660"/>
    <w:rsid w:val="005C034F"/>
    <w:rsid w:val="005C07D7"/>
    <w:rsid w:val="005C0F3F"/>
    <w:rsid w:val="005C4D58"/>
    <w:rsid w:val="005C745E"/>
    <w:rsid w:val="005D1B51"/>
    <w:rsid w:val="005D1D32"/>
    <w:rsid w:val="005D3B58"/>
    <w:rsid w:val="005D463C"/>
    <w:rsid w:val="005D53F2"/>
    <w:rsid w:val="005D66DB"/>
    <w:rsid w:val="005E1D9F"/>
    <w:rsid w:val="005E203F"/>
    <w:rsid w:val="005E43FF"/>
    <w:rsid w:val="005E59E6"/>
    <w:rsid w:val="005E6F4C"/>
    <w:rsid w:val="005F084B"/>
    <w:rsid w:val="005F6A64"/>
    <w:rsid w:val="00601E32"/>
    <w:rsid w:val="006035B5"/>
    <w:rsid w:val="00605E5B"/>
    <w:rsid w:val="006102D5"/>
    <w:rsid w:val="00614EBF"/>
    <w:rsid w:val="00616830"/>
    <w:rsid w:val="006170A9"/>
    <w:rsid w:val="0062596D"/>
    <w:rsid w:val="006263CC"/>
    <w:rsid w:val="00626F12"/>
    <w:rsid w:val="00630989"/>
    <w:rsid w:val="00632BC6"/>
    <w:rsid w:val="00641CAE"/>
    <w:rsid w:val="00643504"/>
    <w:rsid w:val="00643D54"/>
    <w:rsid w:val="0065167F"/>
    <w:rsid w:val="00651D46"/>
    <w:rsid w:val="0065305F"/>
    <w:rsid w:val="00657FE8"/>
    <w:rsid w:val="00667266"/>
    <w:rsid w:val="00677011"/>
    <w:rsid w:val="00677C1D"/>
    <w:rsid w:val="00683652"/>
    <w:rsid w:val="00691272"/>
    <w:rsid w:val="00692A6F"/>
    <w:rsid w:val="006A1AC6"/>
    <w:rsid w:val="006A27A6"/>
    <w:rsid w:val="006A48EC"/>
    <w:rsid w:val="006B588C"/>
    <w:rsid w:val="006B735E"/>
    <w:rsid w:val="006C2AAB"/>
    <w:rsid w:val="006C62D5"/>
    <w:rsid w:val="006D27DC"/>
    <w:rsid w:val="006D5232"/>
    <w:rsid w:val="006E2ED3"/>
    <w:rsid w:val="006F0367"/>
    <w:rsid w:val="006F0CDC"/>
    <w:rsid w:val="006F20F4"/>
    <w:rsid w:val="006F4459"/>
    <w:rsid w:val="006F56BE"/>
    <w:rsid w:val="00700353"/>
    <w:rsid w:val="00706DDA"/>
    <w:rsid w:val="00710D28"/>
    <w:rsid w:val="007119F1"/>
    <w:rsid w:val="007125E8"/>
    <w:rsid w:val="0071671A"/>
    <w:rsid w:val="00730954"/>
    <w:rsid w:val="0073142C"/>
    <w:rsid w:val="00731893"/>
    <w:rsid w:val="00731AA8"/>
    <w:rsid w:val="007322D9"/>
    <w:rsid w:val="00736D2E"/>
    <w:rsid w:val="00740519"/>
    <w:rsid w:val="00743449"/>
    <w:rsid w:val="00753286"/>
    <w:rsid w:val="007552F4"/>
    <w:rsid w:val="007556C1"/>
    <w:rsid w:val="00757056"/>
    <w:rsid w:val="00763C00"/>
    <w:rsid w:val="00765F28"/>
    <w:rsid w:val="00771F09"/>
    <w:rsid w:val="00777E38"/>
    <w:rsid w:val="007836A3"/>
    <w:rsid w:val="00791578"/>
    <w:rsid w:val="007972AD"/>
    <w:rsid w:val="007976B5"/>
    <w:rsid w:val="007A0036"/>
    <w:rsid w:val="007A219F"/>
    <w:rsid w:val="007A4CD2"/>
    <w:rsid w:val="007A532C"/>
    <w:rsid w:val="007A6EF4"/>
    <w:rsid w:val="007A789C"/>
    <w:rsid w:val="007A7928"/>
    <w:rsid w:val="007B20F1"/>
    <w:rsid w:val="007B2FE7"/>
    <w:rsid w:val="007B4E90"/>
    <w:rsid w:val="007C0725"/>
    <w:rsid w:val="007C1708"/>
    <w:rsid w:val="007C1763"/>
    <w:rsid w:val="007C373E"/>
    <w:rsid w:val="007C408C"/>
    <w:rsid w:val="007C4B0B"/>
    <w:rsid w:val="007C4D23"/>
    <w:rsid w:val="007C50E0"/>
    <w:rsid w:val="007C5BB3"/>
    <w:rsid w:val="007C7FD7"/>
    <w:rsid w:val="007D09E9"/>
    <w:rsid w:val="007D0FDF"/>
    <w:rsid w:val="007D7BC7"/>
    <w:rsid w:val="007E1E9A"/>
    <w:rsid w:val="007F2ADF"/>
    <w:rsid w:val="007F7CCD"/>
    <w:rsid w:val="00802096"/>
    <w:rsid w:val="008023D2"/>
    <w:rsid w:val="00806161"/>
    <w:rsid w:val="008126FF"/>
    <w:rsid w:val="00813523"/>
    <w:rsid w:val="00814E1B"/>
    <w:rsid w:val="00815631"/>
    <w:rsid w:val="00820EEA"/>
    <w:rsid w:val="00820FD1"/>
    <w:rsid w:val="008212D0"/>
    <w:rsid w:val="00821DEB"/>
    <w:rsid w:val="00826A81"/>
    <w:rsid w:val="00827973"/>
    <w:rsid w:val="008311D4"/>
    <w:rsid w:val="00831FFC"/>
    <w:rsid w:val="00840FF7"/>
    <w:rsid w:val="00841877"/>
    <w:rsid w:val="00845BCD"/>
    <w:rsid w:val="0084648A"/>
    <w:rsid w:val="00846EBA"/>
    <w:rsid w:val="0085373A"/>
    <w:rsid w:val="008568EB"/>
    <w:rsid w:val="0085750D"/>
    <w:rsid w:val="00860DAD"/>
    <w:rsid w:val="00865440"/>
    <w:rsid w:val="00865495"/>
    <w:rsid w:val="0086679A"/>
    <w:rsid w:val="008737B0"/>
    <w:rsid w:val="00875671"/>
    <w:rsid w:val="00876B28"/>
    <w:rsid w:val="00877B0E"/>
    <w:rsid w:val="00883200"/>
    <w:rsid w:val="00884C6E"/>
    <w:rsid w:val="008852C3"/>
    <w:rsid w:val="00893BD4"/>
    <w:rsid w:val="0089475F"/>
    <w:rsid w:val="00894FD5"/>
    <w:rsid w:val="00895387"/>
    <w:rsid w:val="008977DF"/>
    <w:rsid w:val="00897F59"/>
    <w:rsid w:val="008A185E"/>
    <w:rsid w:val="008A4C70"/>
    <w:rsid w:val="008B499B"/>
    <w:rsid w:val="008B5F0E"/>
    <w:rsid w:val="008C745E"/>
    <w:rsid w:val="008C74E5"/>
    <w:rsid w:val="008D243C"/>
    <w:rsid w:val="008D42E8"/>
    <w:rsid w:val="008D46CA"/>
    <w:rsid w:val="008D7D40"/>
    <w:rsid w:val="008E20F0"/>
    <w:rsid w:val="008E57D5"/>
    <w:rsid w:val="008E7694"/>
    <w:rsid w:val="008E7D07"/>
    <w:rsid w:val="008F02F0"/>
    <w:rsid w:val="008F7CF2"/>
    <w:rsid w:val="009066A8"/>
    <w:rsid w:val="009148F7"/>
    <w:rsid w:val="009162A4"/>
    <w:rsid w:val="00917C04"/>
    <w:rsid w:val="00920E20"/>
    <w:rsid w:val="00920FB0"/>
    <w:rsid w:val="00921420"/>
    <w:rsid w:val="009236B9"/>
    <w:rsid w:val="00927AB8"/>
    <w:rsid w:val="00930BBC"/>
    <w:rsid w:val="009317AA"/>
    <w:rsid w:val="00933EAD"/>
    <w:rsid w:val="009355A7"/>
    <w:rsid w:val="009376D9"/>
    <w:rsid w:val="0094129D"/>
    <w:rsid w:val="00942327"/>
    <w:rsid w:val="00943F91"/>
    <w:rsid w:val="00950E0D"/>
    <w:rsid w:val="00950E55"/>
    <w:rsid w:val="00954D16"/>
    <w:rsid w:val="0095523A"/>
    <w:rsid w:val="00955BE0"/>
    <w:rsid w:val="00956CEF"/>
    <w:rsid w:val="00956F6D"/>
    <w:rsid w:val="0096090F"/>
    <w:rsid w:val="00960F10"/>
    <w:rsid w:val="00961B4D"/>
    <w:rsid w:val="00963624"/>
    <w:rsid w:val="00981BB0"/>
    <w:rsid w:val="00985A68"/>
    <w:rsid w:val="009873D3"/>
    <w:rsid w:val="00990C48"/>
    <w:rsid w:val="00991D46"/>
    <w:rsid w:val="0099325C"/>
    <w:rsid w:val="00996A2B"/>
    <w:rsid w:val="009A151C"/>
    <w:rsid w:val="009A27D7"/>
    <w:rsid w:val="009A68EB"/>
    <w:rsid w:val="009B0B36"/>
    <w:rsid w:val="009B5894"/>
    <w:rsid w:val="009D03C5"/>
    <w:rsid w:val="009D12A4"/>
    <w:rsid w:val="009D4CD3"/>
    <w:rsid w:val="009D50CA"/>
    <w:rsid w:val="009D64C8"/>
    <w:rsid w:val="009D6B9F"/>
    <w:rsid w:val="009D7FAA"/>
    <w:rsid w:val="009E65BC"/>
    <w:rsid w:val="009E7905"/>
    <w:rsid w:val="009F425C"/>
    <w:rsid w:val="009F4308"/>
    <w:rsid w:val="009F45EC"/>
    <w:rsid w:val="00A00C8D"/>
    <w:rsid w:val="00A05775"/>
    <w:rsid w:val="00A05D89"/>
    <w:rsid w:val="00A0603C"/>
    <w:rsid w:val="00A06A7C"/>
    <w:rsid w:val="00A15D6B"/>
    <w:rsid w:val="00A205F7"/>
    <w:rsid w:val="00A21BC2"/>
    <w:rsid w:val="00A26793"/>
    <w:rsid w:val="00A26DBD"/>
    <w:rsid w:val="00A35281"/>
    <w:rsid w:val="00A37F2D"/>
    <w:rsid w:val="00A452FA"/>
    <w:rsid w:val="00A50CA8"/>
    <w:rsid w:val="00A5436D"/>
    <w:rsid w:val="00A64B0F"/>
    <w:rsid w:val="00A832F9"/>
    <w:rsid w:val="00A83F06"/>
    <w:rsid w:val="00A85A28"/>
    <w:rsid w:val="00A908F7"/>
    <w:rsid w:val="00A943D4"/>
    <w:rsid w:val="00A95DB7"/>
    <w:rsid w:val="00AA08BB"/>
    <w:rsid w:val="00AA1331"/>
    <w:rsid w:val="00AA302A"/>
    <w:rsid w:val="00AA793C"/>
    <w:rsid w:val="00AB0EEE"/>
    <w:rsid w:val="00AB6B8A"/>
    <w:rsid w:val="00AC4966"/>
    <w:rsid w:val="00AD23EB"/>
    <w:rsid w:val="00AD3279"/>
    <w:rsid w:val="00AD6DEF"/>
    <w:rsid w:val="00AE0934"/>
    <w:rsid w:val="00AE0D8D"/>
    <w:rsid w:val="00AF0DED"/>
    <w:rsid w:val="00AF4026"/>
    <w:rsid w:val="00AF5764"/>
    <w:rsid w:val="00AF6552"/>
    <w:rsid w:val="00AF69D1"/>
    <w:rsid w:val="00AF6A9F"/>
    <w:rsid w:val="00AF6EE3"/>
    <w:rsid w:val="00B009C6"/>
    <w:rsid w:val="00B016E5"/>
    <w:rsid w:val="00B0373C"/>
    <w:rsid w:val="00B05327"/>
    <w:rsid w:val="00B05C89"/>
    <w:rsid w:val="00B11A2F"/>
    <w:rsid w:val="00B12818"/>
    <w:rsid w:val="00B14DC1"/>
    <w:rsid w:val="00B236DF"/>
    <w:rsid w:val="00B24F53"/>
    <w:rsid w:val="00B33FD5"/>
    <w:rsid w:val="00B36BB4"/>
    <w:rsid w:val="00B4034E"/>
    <w:rsid w:val="00B426CF"/>
    <w:rsid w:val="00B521EE"/>
    <w:rsid w:val="00B53489"/>
    <w:rsid w:val="00B55C2E"/>
    <w:rsid w:val="00B5620C"/>
    <w:rsid w:val="00B604D7"/>
    <w:rsid w:val="00B65440"/>
    <w:rsid w:val="00B6592C"/>
    <w:rsid w:val="00B66C5D"/>
    <w:rsid w:val="00B70F5E"/>
    <w:rsid w:val="00B755FF"/>
    <w:rsid w:val="00B82A5B"/>
    <w:rsid w:val="00B8576F"/>
    <w:rsid w:val="00B95B7E"/>
    <w:rsid w:val="00BA12BA"/>
    <w:rsid w:val="00BA29A9"/>
    <w:rsid w:val="00BA2B8E"/>
    <w:rsid w:val="00BB1499"/>
    <w:rsid w:val="00BB3B68"/>
    <w:rsid w:val="00BB5B2E"/>
    <w:rsid w:val="00BB5E63"/>
    <w:rsid w:val="00BC06F5"/>
    <w:rsid w:val="00BC2E06"/>
    <w:rsid w:val="00BC55C8"/>
    <w:rsid w:val="00BC6219"/>
    <w:rsid w:val="00BC75C2"/>
    <w:rsid w:val="00BD3168"/>
    <w:rsid w:val="00BD462B"/>
    <w:rsid w:val="00BE11F9"/>
    <w:rsid w:val="00BE576E"/>
    <w:rsid w:val="00BE76B9"/>
    <w:rsid w:val="00BF156C"/>
    <w:rsid w:val="00C131F8"/>
    <w:rsid w:val="00C132A1"/>
    <w:rsid w:val="00C2097F"/>
    <w:rsid w:val="00C21C17"/>
    <w:rsid w:val="00C22BA0"/>
    <w:rsid w:val="00C269F8"/>
    <w:rsid w:val="00C328DF"/>
    <w:rsid w:val="00C40609"/>
    <w:rsid w:val="00C45088"/>
    <w:rsid w:val="00C46C6F"/>
    <w:rsid w:val="00C47570"/>
    <w:rsid w:val="00C632BB"/>
    <w:rsid w:val="00C73773"/>
    <w:rsid w:val="00C7416F"/>
    <w:rsid w:val="00C75F2D"/>
    <w:rsid w:val="00C772A9"/>
    <w:rsid w:val="00C803DC"/>
    <w:rsid w:val="00C82BED"/>
    <w:rsid w:val="00C83EB1"/>
    <w:rsid w:val="00C84345"/>
    <w:rsid w:val="00C87F07"/>
    <w:rsid w:val="00C92ED6"/>
    <w:rsid w:val="00C95742"/>
    <w:rsid w:val="00C96A80"/>
    <w:rsid w:val="00CA0B7F"/>
    <w:rsid w:val="00CA1ACB"/>
    <w:rsid w:val="00CA3F25"/>
    <w:rsid w:val="00CA48E0"/>
    <w:rsid w:val="00CB0531"/>
    <w:rsid w:val="00CB374F"/>
    <w:rsid w:val="00CC0384"/>
    <w:rsid w:val="00CC2770"/>
    <w:rsid w:val="00CC3C96"/>
    <w:rsid w:val="00CD4E4C"/>
    <w:rsid w:val="00CD52FC"/>
    <w:rsid w:val="00CD5728"/>
    <w:rsid w:val="00CD63A0"/>
    <w:rsid w:val="00CE37FF"/>
    <w:rsid w:val="00CE58E4"/>
    <w:rsid w:val="00CF0FBC"/>
    <w:rsid w:val="00CF25FC"/>
    <w:rsid w:val="00CF4154"/>
    <w:rsid w:val="00D1541B"/>
    <w:rsid w:val="00D15B32"/>
    <w:rsid w:val="00D17551"/>
    <w:rsid w:val="00D17B7F"/>
    <w:rsid w:val="00D40C1D"/>
    <w:rsid w:val="00D4351E"/>
    <w:rsid w:val="00D4569E"/>
    <w:rsid w:val="00D61AE5"/>
    <w:rsid w:val="00D662F6"/>
    <w:rsid w:val="00D70D75"/>
    <w:rsid w:val="00D73603"/>
    <w:rsid w:val="00D73FB5"/>
    <w:rsid w:val="00D74D48"/>
    <w:rsid w:val="00D7599A"/>
    <w:rsid w:val="00D77DF5"/>
    <w:rsid w:val="00D803E8"/>
    <w:rsid w:val="00D81F6A"/>
    <w:rsid w:val="00D82A9A"/>
    <w:rsid w:val="00D84560"/>
    <w:rsid w:val="00D919FA"/>
    <w:rsid w:val="00D9607F"/>
    <w:rsid w:val="00D963DC"/>
    <w:rsid w:val="00D964CF"/>
    <w:rsid w:val="00D968C4"/>
    <w:rsid w:val="00DA43CF"/>
    <w:rsid w:val="00DB07D0"/>
    <w:rsid w:val="00DB08E8"/>
    <w:rsid w:val="00DB28D5"/>
    <w:rsid w:val="00DB5C99"/>
    <w:rsid w:val="00DB63F9"/>
    <w:rsid w:val="00DB7D41"/>
    <w:rsid w:val="00DC5068"/>
    <w:rsid w:val="00DC5751"/>
    <w:rsid w:val="00DC627D"/>
    <w:rsid w:val="00DD633E"/>
    <w:rsid w:val="00DE0944"/>
    <w:rsid w:val="00DE0AB1"/>
    <w:rsid w:val="00DE15EC"/>
    <w:rsid w:val="00DE290B"/>
    <w:rsid w:val="00DE6C5C"/>
    <w:rsid w:val="00DF45FF"/>
    <w:rsid w:val="00DF589A"/>
    <w:rsid w:val="00E01FD4"/>
    <w:rsid w:val="00E02A6D"/>
    <w:rsid w:val="00E05B6E"/>
    <w:rsid w:val="00E065F0"/>
    <w:rsid w:val="00E14879"/>
    <w:rsid w:val="00E14CA2"/>
    <w:rsid w:val="00E33F0E"/>
    <w:rsid w:val="00E37EEB"/>
    <w:rsid w:val="00E43B83"/>
    <w:rsid w:val="00E45C58"/>
    <w:rsid w:val="00E52FC7"/>
    <w:rsid w:val="00E57BDB"/>
    <w:rsid w:val="00E61743"/>
    <w:rsid w:val="00E63246"/>
    <w:rsid w:val="00E6680D"/>
    <w:rsid w:val="00E70FBA"/>
    <w:rsid w:val="00E71B8F"/>
    <w:rsid w:val="00E8023D"/>
    <w:rsid w:val="00E84EF2"/>
    <w:rsid w:val="00EA0CEE"/>
    <w:rsid w:val="00EA130E"/>
    <w:rsid w:val="00EA1507"/>
    <w:rsid w:val="00EA2BA9"/>
    <w:rsid w:val="00EA3CD7"/>
    <w:rsid w:val="00EA3E7D"/>
    <w:rsid w:val="00EB20DA"/>
    <w:rsid w:val="00EB2881"/>
    <w:rsid w:val="00EB45BA"/>
    <w:rsid w:val="00EB6C3F"/>
    <w:rsid w:val="00EB6D50"/>
    <w:rsid w:val="00EB70AB"/>
    <w:rsid w:val="00EC0449"/>
    <w:rsid w:val="00EC06D9"/>
    <w:rsid w:val="00EC0952"/>
    <w:rsid w:val="00EC4771"/>
    <w:rsid w:val="00ED0C5C"/>
    <w:rsid w:val="00ED1031"/>
    <w:rsid w:val="00ED180F"/>
    <w:rsid w:val="00ED3B79"/>
    <w:rsid w:val="00EE22C9"/>
    <w:rsid w:val="00EE3439"/>
    <w:rsid w:val="00EE6C93"/>
    <w:rsid w:val="00EF47F2"/>
    <w:rsid w:val="00F05505"/>
    <w:rsid w:val="00F12D90"/>
    <w:rsid w:val="00F2428D"/>
    <w:rsid w:val="00F242DC"/>
    <w:rsid w:val="00F31B1A"/>
    <w:rsid w:val="00F32A5D"/>
    <w:rsid w:val="00F32B11"/>
    <w:rsid w:val="00F347B9"/>
    <w:rsid w:val="00F3675D"/>
    <w:rsid w:val="00F367ED"/>
    <w:rsid w:val="00F43A0C"/>
    <w:rsid w:val="00F5788C"/>
    <w:rsid w:val="00F65F34"/>
    <w:rsid w:val="00F66139"/>
    <w:rsid w:val="00F672FE"/>
    <w:rsid w:val="00F6788F"/>
    <w:rsid w:val="00F67F0A"/>
    <w:rsid w:val="00F70329"/>
    <w:rsid w:val="00F71B14"/>
    <w:rsid w:val="00F739BD"/>
    <w:rsid w:val="00F75E04"/>
    <w:rsid w:val="00F76969"/>
    <w:rsid w:val="00F945EB"/>
    <w:rsid w:val="00F97D5D"/>
    <w:rsid w:val="00FA469B"/>
    <w:rsid w:val="00FA61B3"/>
    <w:rsid w:val="00FB3F94"/>
    <w:rsid w:val="00FB500D"/>
    <w:rsid w:val="00FB7EE1"/>
    <w:rsid w:val="00FC0DEF"/>
    <w:rsid w:val="00FC235E"/>
    <w:rsid w:val="00FC45F0"/>
    <w:rsid w:val="00FD1009"/>
    <w:rsid w:val="00FD160C"/>
    <w:rsid w:val="00FE1291"/>
    <w:rsid w:val="00FE62EA"/>
    <w:rsid w:val="00FE7627"/>
    <w:rsid w:val="00FF0148"/>
    <w:rsid w:val="00FF14CC"/>
    <w:rsid w:val="00FF19A8"/>
    <w:rsid w:val="00FF3C6D"/>
    <w:rsid w:val="00FF448E"/>
  </w:rsids>
  <m:mathPr>
    <m:mathFont m:val="Cambria Math"/>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4049D42A"/>
  <w15:docId w15:val="{C67B2C6D-5D63-4312-94B1-BE106FCC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D429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D429D"/>
    <w:pPr>
      <w:ind w:left="720"/>
    </w:pPr>
  </w:style>
  <w:style w:type="paragraph" w:styleId="BalloonText">
    <w:name w:val="Balloon Text"/>
    <w:basedOn w:val="Normal"/>
    <w:link w:val="TekstbaloniaChar"/>
    <w:uiPriority w:val="99"/>
    <w:semiHidden/>
    <w:unhideWhenUsed/>
    <w:rsid w:val="00154296"/>
    <w:rPr>
      <w:rFonts w:ascii="Segoe UI" w:hAnsi="Segoe UI" w:cs="Segoe UI"/>
      <w:sz w:val="18"/>
      <w:szCs w:val="18"/>
    </w:rPr>
  </w:style>
  <w:style w:type="character" w:customStyle="1" w:styleId="TekstbaloniaChar">
    <w:name w:val="Tekst balončića Char"/>
    <w:basedOn w:val="DefaultParagraphFont"/>
    <w:link w:val="BalloonText"/>
    <w:uiPriority w:val="99"/>
    <w:semiHidden/>
    <w:rsid w:val="00154296"/>
    <w:rPr>
      <w:rFonts w:ascii="Segoe UI" w:eastAsia="Times New Roman" w:hAnsi="Segoe UI" w:cs="Segoe UI"/>
      <w:sz w:val="18"/>
      <w:szCs w:val="18"/>
    </w:rPr>
  </w:style>
  <w:style w:type="paragraph" w:customStyle="1" w:styleId="ListParagraph1">
    <w:name w:val="List Paragraph1"/>
    <w:basedOn w:val="Normal"/>
    <w:rsid w:val="007836A3"/>
    <w:pPr>
      <w:ind w:left="720"/>
    </w:pPr>
    <w:rPr>
      <w:rFonts w:eastAsia="Calibri"/>
    </w:rPr>
  </w:style>
  <w:style w:type="paragraph" w:styleId="Header">
    <w:name w:val="header"/>
    <w:basedOn w:val="Normal"/>
    <w:link w:val="ZaglavljeChar"/>
    <w:uiPriority w:val="99"/>
    <w:unhideWhenUsed/>
    <w:rsid w:val="001F5224"/>
    <w:pPr>
      <w:tabs>
        <w:tab w:val="center" w:pos="4536"/>
        <w:tab w:val="right" w:pos="9072"/>
      </w:tabs>
    </w:pPr>
  </w:style>
  <w:style w:type="character" w:customStyle="1" w:styleId="ZaglavljeChar">
    <w:name w:val="Zaglavlje Char"/>
    <w:basedOn w:val="DefaultParagraphFont"/>
    <w:link w:val="Header"/>
    <w:uiPriority w:val="99"/>
    <w:rsid w:val="001F5224"/>
    <w:rPr>
      <w:rFonts w:ascii="Times New Roman" w:eastAsia="Times New Roman" w:hAnsi="Times New Roman"/>
      <w:sz w:val="24"/>
      <w:szCs w:val="24"/>
    </w:rPr>
  </w:style>
  <w:style w:type="paragraph" w:styleId="Footer">
    <w:name w:val="footer"/>
    <w:basedOn w:val="Normal"/>
    <w:link w:val="PodnojeChar"/>
    <w:uiPriority w:val="99"/>
    <w:unhideWhenUsed/>
    <w:rsid w:val="001F5224"/>
    <w:pPr>
      <w:tabs>
        <w:tab w:val="center" w:pos="4536"/>
        <w:tab w:val="right" w:pos="9072"/>
      </w:tabs>
    </w:pPr>
  </w:style>
  <w:style w:type="character" w:customStyle="1" w:styleId="PodnojeChar">
    <w:name w:val="Podnožje Char"/>
    <w:basedOn w:val="DefaultParagraphFont"/>
    <w:link w:val="Footer"/>
    <w:uiPriority w:val="99"/>
    <w:rsid w:val="001F522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C28AB-1EB6-457C-8B1B-358FC111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4958</Words>
  <Characters>29849</Characters>
  <Application>Microsoft Office Word</Application>
  <DocSecurity>0</DocSecurity>
  <Lines>248</Lines>
  <Paragraphs>69</Paragraphs>
  <ScaleCrop>false</ScaleCrop>
  <HeadingPairs>
    <vt:vector size="2" baseType="variant">
      <vt:variant>
        <vt:lpstr>Naslov</vt:lpstr>
      </vt:variant>
      <vt:variant>
        <vt:i4>1</vt:i4>
      </vt:variant>
    </vt:vector>
  </HeadingPairs>
  <TitlesOfParts>
    <vt:vector size="1" baseType="lpstr">
      <vt:lpstr>OSNOVNA ŠKOLA „ĐURO ESTER“</vt:lpstr>
    </vt:vector>
  </TitlesOfParts>
  <Company/>
  <LinksUpToDate>false</LinksUpToDate>
  <CharactersWithSpaces>34738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OSNOVNA ŠKOLA „ĐURO ESTER“</dc:title>
  <dc:creator>Vesna</dc:creator>
  <cp:lastModifiedBy>Silvija Škutin</cp:lastModifiedBy>
  <cp:revision>2</cp:revision>
  <cp:lastPrinted>2024-11-21T12:40:00Z</cp:lastPrinted>
  <dcterms:created xsi:type="dcterms:W3CDTF">2024-12-02T10:01:00Z</dcterms:created>
  <dcterms:modified xsi:type="dcterms:W3CDTF">2024-12-02T10:01:00Z</dcterms:modified>
</cp:coreProperties>
</file>