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AF4CF" w14:textId="77777777" w:rsidR="00CE2AC8" w:rsidRDefault="00CE2AC8" w:rsidP="00CE2A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OBRAZLOŽENJE</w:t>
      </w:r>
    </w:p>
    <w:p w14:paraId="102E9CF7" w14:textId="77777777" w:rsidR="00CE2AC8" w:rsidRDefault="00CE2AC8" w:rsidP="00CE2AC8">
      <w:pPr>
        <w:pStyle w:val="Odlomakpopisa"/>
        <w:spacing w:before="160" w:after="160" w:line="252" w:lineRule="auto"/>
        <w:ind w:left="714" w:hanging="357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I. Zakonska osnova</w:t>
      </w:r>
    </w:p>
    <w:p w14:paraId="6233C664" w14:textId="77777777" w:rsidR="00C3427B" w:rsidRDefault="00C3427B" w:rsidP="00C3427B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Zakon o prostornom uređenju („Narodne novine“ </w:t>
      </w:r>
      <w:r>
        <w:t>broj 153/13, 65/17, 114/18, 39/19, 98/19 i 67/23</w:t>
      </w:r>
      <w:r>
        <w:rPr>
          <w:rFonts w:ascii="TimesNewRomanPSMT" w:hAnsi="TimesNewRomanPSMT" w:cs="TimesNewRomanPSMT"/>
          <w:color w:val="000000"/>
        </w:rPr>
        <w:t xml:space="preserve">) (u daljnjem tekstu: ZPU) </w:t>
      </w:r>
    </w:p>
    <w:p w14:paraId="774ED865" w14:textId="77777777" w:rsidR="00C3427B" w:rsidRDefault="00C3427B" w:rsidP="00C3427B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Odluka o izradi II. izmjena i dopuna Generalnog urbanističkog plana Koprivnice („Glasnik Grada Koprivnice“ broj 1/21)</w:t>
      </w:r>
    </w:p>
    <w:p w14:paraId="26D09460" w14:textId="641E6EAA" w:rsidR="00C3427B" w:rsidRDefault="00C3427B" w:rsidP="00C3427B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Članak </w:t>
      </w:r>
      <w:r w:rsidR="00FC2018">
        <w:rPr>
          <w:rFonts w:ascii="TimesNewRomanPSMT" w:hAnsi="TimesNewRomanPSMT" w:cs="TimesNewRomanPSMT"/>
          <w:color w:val="000000"/>
        </w:rPr>
        <w:t>40</w:t>
      </w:r>
      <w:r>
        <w:rPr>
          <w:rFonts w:ascii="TimesNewRomanPSMT" w:hAnsi="TimesNewRomanPSMT" w:cs="TimesNewRomanPSMT"/>
          <w:color w:val="000000"/>
        </w:rPr>
        <w:t>. Statuta Grada Koprivnice („Glasnik Grada Koprivnice“ broj 4/09, 1/12, 1/13, 3/13 – pročišćeni tekst, 1/18, 2/20 i 1/21).</w:t>
      </w:r>
    </w:p>
    <w:p w14:paraId="6BD800F3" w14:textId="77777777" w:rsidR="00CE2AC8" w:rsidRDefault="00CE2AC8" w:rsidP="00CE2AC8">
      <w:pPr>
        <w:pStyle w:val="Odlomakpopisa"/>
        <w:spacing w:before="160" w:after="160" w:line="252" w:lineRule="auto"/>
        <w:ind w:left="714" w:hanging="357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II. Ocjena stanja i osnovna pitanja</w:t>
      </w:r>
    </w:p>
    <w:p w14:paraId="58A96589" w14:textId="520A6E80" w:rsidR="00CE2AC8" w:rsidRDefault="00CE2AC8" w:rsidP="00CE2AC8">
      <w:pPr>
        <w:ind w:firstLine="709"/>
        <w:jc w:val="both"/>
      </w:pPr>
      <w:r>
        <w:t>Gradsko vijeće Grada Koprivnice je na sjednici održanoj 22. veljače 2021. godine donijelo Odluku o izradi II. izmjena i dopuna Generalnog urbanističkog plana Koprivnice KLASA:</w:t>
      </w:r>
      <w:r w:rsidR="007347B5">
        <w:t xml:space="preserve"> </w:t>
      </w:r>
      <w:r>
        <w:t>350-02/16-01/000</w:t>
      </w:r>
      <w:r w:rsidR="007347B5">
        <w:t>8</w:t>
      </w:r>
      <w:r>
        <w:t>, URBROJ: 2137/01-0</w:t>
      </w:r>
      <w:r w:rsidR="007347B5">
        <w:t>7</w:t>
      </w:r>
      <w:r>
        <w:t>-0</w:t>
      </w:r>
      <w:r w:rsidR="007347B5">
        <w:t>1</w:t>
      </w:r>
      <w:r>
        <w:t>/</w:t>
      </w:r>
      <w:r w:rsidR="007347B5">
        <w:t>4</w:t>
      </w:r>
      <w:r>
        <w:t>-</w:t>
      </w:r>
      <w:r w:rsidR="007347B5">
        <w:t>21</w:t>
      </w:r>
      <w:r>
        <w:t>-</w:t>
      </w:r>
      <w:r w:rsidR="007347B5">
        <w:t>102</w:t>
      </w:r>
      <w:r>
        <w:t xml:space="preserve"> od </w:t>
      </w:r>
      <w:r w:rsidR="007347B5">
        <w:t>22.02.2021.</w:t>
      </w:r>
      <w:r w:rsidR="0097420A">
        <w:t>.</w:t>
      </w:r>
    </w:p>
    <w:p w14:paraId="75A90AF7" w14:textId="17096E70" w:rsidR="00CE2AC8" w:rsidRPr="00CE2AC8" w:rsidRDefault="00CE2AC8" w:rsidP="00CE2AC8">
      <w:pPr>
        <w:ind w:firstLine="709"/>
        <w:jc w:val="both"/>
      </w:pPr>
      <w:r>
        <w:t xml:space="preserve">Grad Koprivnica je pokrenuo proceduru izrade II. izmjena i dopuna Generalnog urbanističkog plana Koprivnice uz utvrđenu potrebu provedbe postupka Strateške </w:t>
      </w:r>
      <w:r w:rsidRPr="00CE2AC8">
        <w:t>procjene utjecaja plana na okoliš, temeljem provedenog postupka ocjene o potrebi provedbe strateške procjene (OSPUO postupak) kojim se utvrdila potreba provedbe glavne ocjene sukladno posebnim propisima s područja zaštite od prirode, koja se provodi u sklopu postupka strateške procjene utjecaja II. izmjena i dopuna Generalnog urbanističkog plana Koprivnice na okoliš.</w:t>
      </w:r>
    </w:p>
    <w:p w14:paraId="71168988" w14:textId="17C9B022" w:rsidR="00CE2AC8" w:rsidRPr="00CE2AC8" w:rsidRDefault="00CE2AC8" w:rsidP="00CE2AC8">
      <w:pPr>
        <w:ind w:firstLine="709"/>
        <w:jc w:val="both"/>
      </w:pPr>
      <w:r w:rsidRPr="00CE2AC8">
        <w:t>U proteklom razdoblju usvojene su III. izmjene i dopune Prostornog plana uređenja Grada Koprivnice, te je nacrt prijedloga II. izmjena i dopuna Generalnog urbanističkog plana Koprivnice usklađen s navedenim prostornim planom kao prostornim planom lokalne razine, šireg obuhvata.</w:t>
      </w:r>
    </w:p>
    <w:p w14:paraId="08A72484" w14:textId="77777777" w:rsidR="00CE2AC8" w:rsidRPr="00CE2AC8" w:rsidRDefault="00CE2AC8" w:rsidP="00CE2AC8">
      <w:pPr>
        <w:ind w:firstLine="709"/>
        <w:jc w:val="both"/>
      </w:pPr>
      <w:r w:rsidRPr="00CE2AC8">
        <w:t xml:space="preserve">Radi uvrštavanja zelene infrastrukture u ZPU, najave programa s područja zelene tranzicije, boljeg sagledavanja mogućih utjecaja na okoliš, izrađene su za potrebe prostornih planova stručne podloge koje su korištene pri izradi predmetnih izmjena i dopuna, a to su, Strategija zelene urbane obnove Grada Koprivnice, Krajobrazna osnova Grada Koprivnice i Konzervatorska podloga Grada Koprivnice. </w:t>
      </w:r>
    </w:p>
    <w:p w14:paraId="5A285D26" w14:textId="77551E51" w:rsidR="00CE2AC8" w:rsidRDefault="00CE2AC8" w:rsidP="00CE2AC8">
      <w:pPr>
        <w:ind w:firstLine="709"/>
        <w:jc w:val="both"/>
      </w:pPr>
      <w:r>
        <w:t>Gradonačelnik Grada Koprivnice donio je Odluku o utvrđivanju Prijedloga II. izmjena i dopuna Generalnog urbanističkog plana Koprivnice i Strateške studije utjecaja II. izmjena i dopuna Generalnog urbanističkog plana Koprivnice na okoliš KLASA: 350-02/16-01/0008, URBROJ: 2137-1-07-01/3-24-146, od 17.12.2024., te je sukladno Prijedlogu plana provedena Javna rasprava sve prema, Obavijesti o javnoj raspravi o prijedlogu II. izmjena i dopuna Generalnog urbanističkog plana Koprivnice i Strateškoj studiji o utjecaju prijedloga II. izmjena i dopuna Generalnog urbanističkog plana Koprivnice na okoliš KLASA: 350-02/16-01/0008, URBROJ: 2137-1-07-01/3-24-148, od 17.12.2024..</w:t>
      </w:r>
    </w:p>
    <w:p w14:paraId="3354BA33" w14:textId="1DBA08D6" w:rsidR="00CE2AC8" w:rsidRDefault="00CE2AC8" w:rsidP="00CE2AC8">
      <w:pPr>
        <w:ind w:firstLine="709"/>
        <w:jc w:val="both"/>
      </w:pPr>
      <w:r>
        <w:t xml:space="preserve">Nakon provedene javne rasprave temeljem nacrta Izvješća s javne rasprave i nacrta konačnog prijedloga plana te završnog očitovanja ovlaštenika za izradu strateške studije utjecaja II. izmjena i dopuna Generalnog urbanističkog plana na okoliš, dobiveno je mišljenje o provedenoj strateškoj procjeni od </w:t>
      </w:r>
      <w:r w:rsidRPr="00CE2AC8">
        <w:rPr>
          <w:rStyle w:val="TijelotekstaChar"/>
        </w:rPr>
        <w:t>Upravnog odjela za prostorno uređenje, gradnju, zaštitu okoliša i zaštitu prirode Koprivničko križevačke županije</w:t>
      </w:r>
      <w:r>
        <w:t xml:space="preserve">, kao nadležnog upravnog tijela za zaštitu okoliša u županiji </w:t>
      </w:r>
      <w:r w:rsidRPr="00D86715">
        <w:t>KLASA</w:t>
      </w:r>
      <w:r w:rsidRPr="002235DF">
        <w:t xml:space="preserve">: </w:t>
      </w:r>
      <w:r w:rsidR="004844AF" w:rsidRPr="002235DF">
        <w:t>351-05/24-01/21</w:t>
      </w:r>
      <w:r w:rsidR="0083705D" w:rsidRPr="002235DF">
        <w:t>,</w:t>
      </w:r>
      <w:r w:rsidRPr="002235DF">
        <w:t xml:space="preserve"> URBROJ: </w:t>
      </w:r>
      <w:r w:rsidR="002235DF">
        <w:t>2137-05/03-25-8</w:t>
      </w:r>
      <w:r w:rsidR="0083705D">
        <w:t>,</w:t>
      </w:r>
      <w:r w:rsidRPr="00D86715">
        <w:t xml:space="preserve"> od </w:t>
      </w:r>
      <w:r w:rsidR="002235DF">
        <w:t>18. veljače 2025.</w:t>
      </w:r>
      <w:r>
        <w:t>.</w:t>
      </w:r>
    </w:p>
    <w:p w14:paraId="571B3BEC" w14:textId="2003D747" w:rsidR="00CE2AC8" w:rsidRPr="00CE2AC8" w:rsidRDefault="00CE2AC8" w:rsidP="00CE2AC8">
      <w:pPr>
        <w:ind w:firstLine="709"/>
        <w:jc w:val="both"/>
      </w:pPr>
      <w:r w:rsidRPr="00CE2AC8">
        <w:t>S obzirom da je provedena javna rasprava, izrađeno Izvješće o javnoj raspravi</w:t>
      </w:r>
      <w:r w:rsidR="002235DF">
        <w:t xml:space="preserve"> KLASA: 350-02/16-01/0008, URBROJ: 2137-1-07-01/3-2</w:t>
      </w:r>
      <w:r w:rsidR="002D5811">
        <w:t>5</w:t>
      </w:r>
      <w:r w:rsidR="002235DF">
        <w:t>-</w:t>
      </w:r>
      <w:r w:rsidR="002D5811">
        <w:t>202</w:t>
      </w:r>
      <w:r w:rsidR="002235DF">
        <w:t xml:space="preserve">, od </w:t>
      </w:r>
      <w:r w:rsidR="002D5811">
        <w:t>19</w:t>
      </w:r>
      <w:r w:rsidR="002235DF">
        <w:t>.</w:t>
      </w:r>
      <w:r w:rsidR="002D5811">
        <w:t>0</w:t>
      </w:r>
      <w:r w:rsidR="002235DF">
        <w:t>2.202</w:t>
      </w:r>
      <w:r w:rsidR="00BE14DE">
        <w:t>5</w:t>
      </w:r>
      <w:r w:rsidR="002235DF">
        <w:t>.</w:t>
      </w:r>
      <w:r w:rsidRPr="00CE2AC8">
        <w:t xml:space="preserve">, izrađen nacrt konačnog prijedloga plana, te je člankom 105. ZPU, propisano da gradonačelnik utvrđuje konačni prijedlog prostornog plana prije upućivanja konačnog prijedloga prostornog plana lokalne razine predstavničkom tijelu na donošenje, </w:t>
      </w:r>
      <w:r w:rsidR="00EC194E">
        <w:t>te s obzirom da su poslane</w:t>
      </w:r>
      <w:r w:rsidR="00ED2F39">
        <w:t xml:space="preserve"> pisane </w:t>
      </w:r>
      <w:r w:rsidR="001E6D6B">
        <w:t xml:space="preserve">obavijesti sudionicima javne rasprave sukladno čl. 106. ZPU, </w:t>
      </w:r>
      <w:r w:rsidR="00BE14DE">
        <w:t>i da</w:t>
      </w:r>
      <w:r w:rsidR="001E6D6B">
        <w:t xml:space="preserve"> </w:t>
      </w:r>
      <w:r w:rsidR="004E7925">
        <w:t xml:space="preserve">nije potrebno pribaviti mišljenje Zavoda za prostorno uređenje županije sukladno čl. </w:t>
      </w:r>
      <w:r w:rsidR="007D38F2">
        <w:t>107. st. 4. ZPU,</w:t>
      </w:r>
      <w:r w:rsidR="00EC194E">
        <w:t xml:space="preserve"> </w:t>
      </w:r>
      <w:r w:rsidRPr="00CE2AC8">
        <w:t xml:space="preserve">predlaže se donošenje </w:t>
      </w:r>
      <w:r w:rsidR="00132D7B">
        <w:t>Odluk</w:t>
      </w:r>
      <w:r w:rsidR="009D430C">
        <w:t>e</w:t>
      </w:r>
      <w:r w:rsidR="00132D7B">
        <w:t xml:space="preserve"> o </w:t>
      </w:r>
      <w:r w:rsidR="00852165">
        <w:t xml:space="preserve">II. izmjenama i </w:t>
      </w:r>
      <w:r w:rsidR="00FF5C69">
        <w:t xml:space="preserve">dopunama Odluke o </w:t>
      </w:r>
      <w:r w:rsidR="00132D7B">
        <w:t xml:space="preserve">donošenju </w:t>
      </w:r>
      <w:r w:rsidR="00FF5C69">
        <w:t>Generalnog urbanističkog plana Koprivnice</w:t>
      </w:r>
      <w:r w:rsidRPr="00CE2AC8">
        <w:t>.</w:t>
      </w:r>
    </w:p>
    <w:p w14:paraId="6DAE69BC" w14:textId="77777777" w:rsidR="00CE2AC8" w:rsidRPr="00CE2AC8" w:rsidRDefault="00CE2AC8" w:rsidP="00CE2AC8">
      <w:pPr>
        <w:ind w:firstLine="709"/>
        <w:jc w:val="both"/>
      </w:pPr>
    </w:p>
    <w:p w14:paraId="5346544A" w14:textId="77777777" w:rsidR="00CE2AC8" w:rsidRDefault="00CE2AC8" w:rsidP="00CE2AC8">
      <w:pPr>
        <w:pStyle w:val="Odlomakpopisa"/>
        <w:spacing w:before="160" w:after="160" w:line="252" w:lineRule="auto"/>
        <w:ind w:left="714" w:hanging="357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III. Potrebna sredstva za provedbu akta</w:t>
      </w:r>
    </w:p>
    <w:p w14:paraId="13DE20A7" w14:textId="77777777" w:rsidR="00CE2AC8" w:rsidRDefault="00CE2AC8" w:rsidP="00CE2AC8">
      <w:pPr>
        <w:spacing w:before="120"/>
        <w:ind w:firstLine="720"/>
        <w:rPr>
          <w:color w:val="000000"/>
        </w:rPr>
      </w:pPr>
      <w:r>
        <w:rPr>
          <w:color w:val="000000"/>
        </w:rPr>
        <w:t xml:space="preserve">Za izradu II. izmjena i dopuna Generalnog urbanističkog plana Koprivnice osigurana su sredstva u Proračunu Grada Koprivnice. </w:t>
      </w:r>
    </w:p>
    <w:p w14:paraId="3C7E2E21" w14:textId="4A60B7B8" w:rsidR="00CE2AC8" w:rsidRPr="00CE2AC8" w:rsidRDefault="00CE2AC8" w:rsidP="00CE2AC8">
      <w:pPr>
        <w:spacing w:before="120"/>
        <w:ind w:firstLine="720"/>
      </w:pPr>
      <w:r>
        <w:rPr>
          <w:color w:val="000000"/>
        </w:rPr>
        <w:t>S</w:t>
      </w:r>
      <w:r>
        <w:t xml:space="preserve">lijedom navedenog, predlaže se donošenje </w:t>
      </w:r>
      <w:r w:rsidR="002C4923">
        <w:t>Odluke o II. izmjenama i dopunama Odluke o donošenju Generalnog urbanističkog plana Koprivnice</w:t>
      </w:r>
      <w:r>
        <w:t>.</w:t>
      </w:r>
    </w:p>
    <w:p w14:paraId="7C8859ED" w14:textId="77777777" w:rsidR="00CE2AC8" w:rsidRDefault="00CE2AC8" w:rsidP="00CE2AC8"/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3773"/>
      </w:tblGrid>
      <w:tr w:rsidR="004A7F54" w14:paraId="1427A725" w14:textId="77777777" w:rsidTr="00E338B2">
        <w:tc>
          <w:tcPr>
            <w:tcW w:w="4395" w:type="dxa"/>
            <w:hideMark/>
          </w:tcPr>
          <w:tbl>
            <w:tblPr>
              <w:tblW w:w="3827" w:type="dxa"/>
              <w:tblLook w:val="04A0" w:firstRow="1" w:lastRow="0" w:firstColumn="1" w:lastColumn="0" w:noHBand="0" w:noVBand="1"/>
            </w:tblPr>
            <w:tblGrid>
              <w:gridCol w:w="3827"/>
            </w:tblGrid>
            <w:tr w:rsidR="004A7F54" w14:paraId="248D5EF5" w14:textId="77777777" w:rsidTr="00E338B2">
              <w:tc>
                <w:tcPr>
                  <w:tcW w:w="3827" w:type="dxa"/>
                  <w:hideMark/>
                </w:tcPr>
                <w:p w14:paraId="09588906" w14:textId="2903FA2C" w:rsidR="004A7F54" w:rsidRDefault="004A7F54" w:rsidP="00E338B2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5E80A42F" w14:textId="77777777" w:rsidR="004A7F54" w:rsidRDefault="004A7F54" w:rsidP="00E338B2">
            <w:pPr>
              <w:spacing w:after="160" w:line="256" w:lineRule="auto"/>
              <w:rPr>
                <w:rFonts w:asciiTheme="minorHAnsi" w:eastAsiaTheme="minorHAnsi" w:hAnsi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773" w:type="dxa"/>
          </w:tcPr>
          <w:p w14:paraId="08278E59" w14:textId="77777777" w:rsidR="004A7F54" w:rsidRDefault="004A7F54" w:rsidP="00E338B2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Predlagatelj akta:</w:t>
            </w:r>
          </w:p>
          <w:p w14:paraId="708C95B1" w14:textId="77777777" w:rsidR="004A7F54" w:rsidRDefault="004A7F54" w:rsidP="00E338B2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C578B54" w14:textId="77777777" w:rsidR="004A7F54" w:rsidRDefault="004A7F54" w:rsidP="00E338B2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GRADONAČELNIK</w:t>
            </w:r>
          </w:p>
          <w:p w14:paraId="2589023D" w14:textId="77777777" w:rsidR="004A7F54" w:rsidRDefault="004A7F54" w:rsidP="00E338B2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Mišel Jakšić, dipl. </w:t>
            </w:r>
            <w:proofErr w:type="spellStart"/>
            <w:r>
              <w:rPr>
                <w:kern w:val="2"/>
                <w:lang w:eastAsia="en-US"/>
                <w14:ligatures w14:val="standardContextual"/>
              </w:rPr>
              <w:t>oec</w:t>
            </w:r>
            <w:proofErr w:type="spellEnd"/>
            <w:r>
              <w:rPr>
                <w:kern w:val="2"/>
                <w:lang w:eastAsia="en-US"/>
                <w14:ligatures w14:val="standardContextual"/>
              </w:rPr>
              <w:t>.</w:t>
            </w:r>
          </w:p>
        </w:tc>
      </w:tr>
    </w:tbl>
    <w:p w14:paraId="102D9828" w14:textId="77777777" w:rsidR="00CE2AC8" w:rsidRDefault="00CE2AC8" w:rsidP="00CE2AC8"/>
    <w:p w14:paraId="5CBB7B2B" w14:textId="28332535" w:rsidR="00611B44" w:rsidRPr="00CE2AC8" w:rsidRDefault="00611B44" w:rsidP="00CE2AC8"/>
    <w:sectPr w:rsidR="00611B44" w:rsidRPr="00CE2AC8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917E7" w14:textId="77777777" w:rsidR="00991ADF" w:rsidRDefault="00991ADF" w:rsidP="008E4B08">
      <w:r>
        <w:separator/>
      </w:r>
    </w:p>
  </w:endnote>
  <w:endnote w:type="continuationSeparator" w:id="0">
    <w:p w14:paraId="2AEE73BE" w14:textId="77777777" w:rsidR="00991ADF" w:rsidRDefault="00991ADF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163B6" w14:textId="77777777" w:rsidR="00991ADF" w:rsidRDefault="00991ADF" w:rsidP="008E4B08">
      <w:r>
        <w:separator/>
      </w:r>
    </w:p>
  </w:footnote>
  <w:footnote w:type="continuationSeparator" w:id="0">
    <w:p w14:paraId="02E102F2" w14:textId="77777777" w:rsidR="00991ADF" w:rsidRDefault="00991ADF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305CC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2D7B"/>
    <w:rsid w:val="001501E5"/>
    <w:rsid w:val="001A2F64"/>
    <w:rsid w:val="001B7795"/>
    <w:rsid w:val="001D627E"/>
    <w:rsid w:val="001E01B9"/>
    <w:rsid w:val="001E5EE1"/>
    <w:rsid w:val="001E6D6B"/>
    <w:rsid w:val="001F3335"/>
    <w:rsid w:val="002235DF"/>
    <w:rsid w:val="00281F0A"/>
    <w:rsid w:val="002A4233"/>
    <w:rsid w:val="002C1AA1"/>
    <w:rsid w:val="002C4923"/>
    <w:rsid w:val="002D5811"/>
    <w:rsid w:val="002D73C0"/>
    <w:rsid w:val="002F06F8"/>
    <w:rsid w:val="003502B7"/>
    <w:rsid w:val="00353ACF"/>
    <w:rsid w:val="0035697F"/>
    <w:rsid w:val="003B07B2"/>
    <w:rsid w:val="003C0B73"/>
    <w:rsid w:val="003C3CC4"/>
    <w:rsid w:val="003C7570"/>
    <w:rsid w:val="003D5D0A"/>
    <w:rsid w:val="004354B0"/>
    <w:rsid w:val="004466BF"/>
    <w:rsid w:val="00446CED"/>
    <w:rsid w:val="0045196B"/>
    <w:rsid w:val="004844AF"/>
    <w:rsid w:val="004A789B"/>
    <w:rsid w:val="004A7F54"/>
    <w:rsid w:val="004E39B9"/>
    <w:rsid w:val="004E7925"/>
    <w:rsid w:val="004F5EAB"/>
    <w:rsid w:val="00513260"/>
    <w:rsid w:val="0051330C"/>
    <w:rsid w:val="00543AE6"/>
    <w:rsid w:val="00565618"/>
    <w:rsid w:val="00580686"/>
    <w:rsid w:val="00590216"/>
    <w:rsid w:val="00597812"/>
    <w:rsid w:val="005B57EF"/>
    <w:rsid w:val="00611B44"/>
    <w:rsid w:val="0061291E"/>
    <w:rsid w:val="00635D83"/>
    <w:rsid w:val="00636B90"/>
    <w:rsid w:val="00640486"/>
    <w:rsid w:val="00647CB6"/>
    <w:rsid w:val="00655080"/>
    <w:rsid w:val="00661DCA"/>
    <w:rsid w:val="006712B7"/>
    <w:rsid w:val="006921E6"/>
    <w:rsid w:val="007204B5"/>
    <w:rsid w:val="0072201D"/>
    <w:rsid w:val="007347B5"/>
    <w:rsid w:val="00772C92"/>
    <w:rsid w:val="0078495E"/>
    <w:rsid w:val="007D38F2"/>
    <w:rsid w:val="007E51EC"/>
    <w:rsid w:val="007F22FD"/>
    <w:rsid w:val="007F3D13"/>
    <w:rsid w:val="007F41AB"/>
    <w:rsid w:val="00835D8A"/>
    <w:rsid w:val="0083705D"/>
    <w:rsid w:val="00852165"/>
    <w:rsid w:val="00856A74"/>
    <w:rsid w:val="00857B8E"/>
    <w:rsid w:val="00862CC1"/>
    <w:rsid w:val="00876372"/>
    <w:rsid w:val="008770A6"/>
    <w:rsid w:val="008E4B08"/>
    <w:rsid w:val="0090739C"/>
    <w:rsid w:val="0093724D"/>
    <w:rsid w:val="0097420A"/>
    <w:rsid w:val="00987945"/>
    <w:rsid w:val="00991ADF"/>
    <w:rsid w:val="009B6D94"/>
    <w:rsid w:val="009D430C"/>
    <w:rsid w:val="009D4CD1"/>
    <w:rsid w:val="009F199D"/>
    <w:rsid w:val="00A1543D"/>
    <w:rsid w:val="00A32554"/>
    <w:rsid w:val="00A837C0"/>
    <w:rsid w:val="00AD5620"/>
    <w:rsid w:val="00AE3F9F"/>
    <w:rsid w:val="00AE7275"/>
    <w:rsid w:val="00AF53D8"/>
    <w:rsid w:val="00B005AE"/>
    <w:rsid w:val="00B25E9D"/>
    <w:rsid w:val="00B356AC"/>
    <w:rsid w:val="00B375EA"/>
    <w:rsid w:val="00B4739E"/>
    <w:rsid w:val="00B7391D"/>
    <w:rsid w:val="00B97A31"/>
    <w:rsid w:val="00BA3790"/>
    <w:rsid w:val="00BE14DE"/>
    <w:rsid w:val="00C01F62"/>
    <w:rsid w:val="00C25A85"/>
    <w:rsid w:val="00C3427B"/>
    <w:rsid w:val="00C34B71"/>
    <w:rsid w:val="00C42921"/>
    <w:rsid w:val="00C64046"/>
    <w:rsid w:val="00C82211"/>
    <w:rsid w:val="00C8267C"/>
    <w:rsid w:val="00CC2AB8"/>
    <w:rsid w:val="00CD7D6A"/>
    <w:rsid w:val="00CE2AC8"/>
    <w:rsid w:val="00D012D4"/>
    <w:rsid w:val="00D06D37"/>
    <w:rsid w:val="00D07BAC"/>
    <w:rsid w:val="00D354EC"/>
    <w:rsid w:val="00D408DF"/>
    <w:rsid w:val="00D4466B"/>
    <w:rsid w:val="00D479D4"/>
    <w:rsid w:val="00D52D77"/>
    <w:rsid w:val="00D600B3"/>
    <w:rsid w:val="00D86715"/>
    <w:rsid w:val="00D911FC"/>
    <w:rsid w:val="00DB4E95"/>
    <w:rsid w:val="00DD1A53"/>
    <w:rsid w:val="00DF3A81"/>
    <w:rsid w:val="00E13394"/>
    <w:rsid w:val="00E3458D"/>
    <w:rsid w:val="00E939E8"/>
    <w:rsid w:val="00EC0865"/>
    <w:rsid w:val="00EC194E"/>
    <w:rsid w:val="00ED2F39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C2018"/>
    <w:rsid w:val="00FD4E28"/>
    <w:rsid w:val="00FF4B11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2AC8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CE2AC8"/>
    <w:pPr>
      <w:spacing w:line="276" w:lineRule="auto"/>
      <w:ind w:left="720"/>
      <w:contextualSpacing/>
    </w:pPr>
    <w:rPr>
      <w:rFonts w:eastAsia="Calibr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63</cp:revision>
  <cp:lastPrinted>2025-02-21T14:58:00Z</cp:lastPrinted>
  <dcterms:created xsi:type="dcterms:W3CDTF">2022-03-18T08:30:00Z</dcterms:created>
  <dcterms:modified xsi:type="dcterms:W3CDTF">2025-02-21T14:58:00Z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