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FD878D" w14:textId="77777777" w:rsidR="00AC2879" w:rsidRDefault="00AC2879" w:rsidP="00AC2879">
      <w:pPr>
        <w:jc w:val="center"/>
        <w:rPr>
          <w:b/>
        </w:rPr>
      </w:pPr>
      <w:r>
        <w:rPr>
          <w:b/>
        </w:rPr>
        <w:t>O B R A Z L O Ž E NJ E</w:t>
      </w:r>
    </w:p>
    <w:p w14:paraId="7445DAC0" w14:textId="77777777" w:rsidR="00AC2879" w:rsidRDefault="00AC2879" w:rsidP="00AC2879">
      <w:pPr>
        <w:rPr>
          <w:b/>
        </w:rPr>
      </w:pPr>
    </w:p>
    <w:p w14:paraId="36E5F03C" w14:textId="77777777" w:rsidR="00AC2879" w:rsidRDefault="00AC2879" w:rsidP="00AC2879">
      <w:pPr>
        <w:tabs>
          <w:tab w:val="left" w:pos="8004"/>
        </w:tabs>
      </w:pPr>
    </w:p>
    <w:p w14:paraId="2E3E0AA2" w14:textId="77777777" w:rsidR="00AC2879" w:rsidRDefault="00AC2879" w:rsidP="00AC2879">
      <w:pPr>
        <w:autoSpaceDE w:val="0"/>
        <w:autoSpaceDN w:val="0"/>
        <w:adjustRightInd w:val="0"/>
        <w:ind w:firstLine="708"/>
      </w:pPr>
      <w:r>
        <w:rPr>
          <w:b/>
          <w:bCs/>
        </w:rPr>
        <w:t>I. Zakonska osnova</w:t>
      </w:r>
    </w:p>
    <w:p w14:paraId="20C17D8C" w14:textId="03FD0598" w:rsidR="00D4606D" w:rsidRPr="00D4606D" w:rsidRDefault="00D4606D" w:rsidP="00D4606D">
      <w:pPr>
        <w:ind w:firstLine="708"/>
        <w:jc w:val="both"/>
      </w:pPr>
      <w:r w:rsidRPr="00D4606D">
        <w:t xml:space="preserve">Pravna osnova za donošenje ovog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0CC96E7C" w14:textId="77777777" w:rsidR="00AC2879" w:rsidRDefault="00AC2879" w:rsidP="00AC2879">
      <w:pPr>
        <w:jc w:val="both"/>
      </w:pPr>
    </w:p>
    <w:p w14:paraId="26A041E5" w14:textId="77777777" w:rsidR="00AC2879" w:rsidRDefault="00AC2879" w:rsidP="00AC2879">
      <w:pPr>
        <w:autoSpaceDE w:val="0"/>
        <w:autoSpaceDN w:val="0"/>
        <w:adjustRightInd w:val="0"/>
        <w:ind w:firstLine="708"/>
        <w:jc w:val="both"/>
      </w:pPr>
      <w:r>
        <w:rPr>
          <w:b/>
          <w:bCs/>
        </w:rPr>
        <w:t>II. Ocjena stanja i osnovna pitanja koja se uređuju aktom i objašnjenje pojedinih odredbi</w:t>
      </w:r>
    </w:p>
    <w:p w14:paraId="6D0CC688" w14:textId="77777777" w:rsidR="00AC2879" w:rsidRDefault="00AC2879" w:rsidP="00AC2879">
      <w:pPr>
        <w:ind w:firstLine="708"/>
        <w:jc w:val="both"/>
      </w:pPr>
      <w: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1E292F2B" w14:textId="77777777" w:rsidR="00AC2879" w:rsidRDefault="00AC2879" w:rsidP="00AC2879">
      <w:pPr>
        <w:ind w:firstLine="708"/>
        <w:jc w:val="both"/>
      </w:pPr>
      <w:r>
        <w:t>Članak 1. propisuje da se ovim Programom utvrđuju javne potrebe građana u području socijalne skrbi i području zaštite zdravlja i osiguravanja uvjeta za njihovo ostvarivanje iznad državnog standarda. Ujedno su navedenim člankom detaljno razrađene pomoći u sustavu socijalne skrbi i zdravstva.</w:t>
      </w:r>
    </w:p>
    <w:p w14:paraId="2D033D7E" w14:textId="0AB064C3" w:rsidR="00AC2879" w:rsidRDefault="00AC2879" w:rsidP="00AC2879">
      <w:pPr>
        <w:ind w:firstLine="708"/>
        <w:jc w:val="both"/>
      </w:pPr>
      <w:r>
        <w:t>Članak 2. propisuje da su sredstva osigurana u Proračunu Grada Koprivnice za 202</w:t>
      </w:r>
      <w:r w:rsidR="00E315E8">
        <w:t>5</w:t>
      </w:r>
      <w:r>
        <w:t>. godinu za financiranje javnih potreba u socijalnoj skrbi i zdravstvu.</w:t>
      </w:r>
    </w:p>
    <w:p w14:paraId="705ADF71" w14:textId="6EB0BDF2" w:rsidR="00AC2879" w:rsidRDefault="00AC2879" w:rsidP="00AC2879">
      <w:pPr>
        <w:ind w:firstLine="708"/>
        <w:jc w:val="both"/>
      </w:pPr>
      <w:r>
        <w:t>Članak 3. propisuje gdje će ovaj Program biti objavljen te da stupa na snagu 1. siječnja 202</w:t>
      </w:r>
      <w:r w:rsidR="00E315E8">
        <w:t>5</w:t>
      </w:r>
      <w:r>
        <w:t>. godine.</w:t>
      </w:r>
    </w:p>
    <w:p w14:paraId="693AD5A1" w14:textId="77777777" w:rsidR="00AC2879" w:rsidRDefault="00AC2879" w:rsidP="00AC2879">
      <w:pPr>
        <w:jc w:val="both"/>
      </w:pPr>
    </w:p>
    <w:p w14:paraId="11226AC4" w14:textId="77777777" w:rsidR="00AC2879" w:rsidRDefault="00AC2879" w:rsidP="00AC2879">
      <w:pPr>
        <w:autoSpaceDE w:val="0"/>
        <w:autoSpaceDN w:val="0"/>
        <w:adjustRightInd w:val="0"/>
        <w:ind w:firstLine="708"/>
      </w:pPr>
      <w:r>
        <w:rPr>
          <w:b/>
          <w:bCs/>
        </w:rPr>
        <w:t>III. Potrebna sredstva za provedbu akta</w:t>
      </w:r>
    </w:p>
    <w:p w14:paraId="70669C8B" w14:textId="563E8FCC" w:rsidR="00AC2879" w:rsidRDefault="00AC2879" w:rsidP="00AC2879">
      <w:pPr>
        <w:autoSpaceDE w:val="0"/>
        <w:autoSpaceDN w:val="0"/>
        <w:adjustRightInd w:val="0"/>
        <w:ind w:firstLine="708"/>
        <w:jc w:val="both"/>
      </w:pPr>
      <w:r>
        <w:t>Sredstva za provedbu ovog Programa planirana su u Proračunu Grada Koprivnice za 202</w:t>
      </w:r>
      <w:r w:rsidR="00E315E8">
        <w:t>5</w:t>
      </w:r>
      <w:r>
        <w:t xml:space="preserve">. godinu u ukupnom iznosu od </w:t>
      </w:r>
      <w:r w:rsidR="001471FB">
        <w:t>769.740</w:t>
      </w:r>
      <w:r>
        <w:t xml:space="preserve">,00 EUR na aktivnostima A301535, A301536, A301521, A301606, A301509, A301512, A301529, A301533, A301531, A301532, A301603, </w:t>
      </w:r>
      <w:r w:rsidR="001471FB">
        <w:t xml:space="preserve">A301604, </w:t>
      </w:r>
      <w:r>
        <w:t>A301605, A301608, A301609, kako slijedi:</w:t>
      </w:r>
    </w:p>
    <w:p w14:paraId="2B907B4E" w14:textId="77777777" w:rsidR="00AC2879" w:rsidRDefault="00AC2879" w:rsidP="00AC2879">
      <w:pPr>
        <w:autoSpaceDE w:val="0"/>
        <w:autoSpaceDN w:val="0"/>
        <w:adjustRightInd w:val="0"/>
        <w:ind w:firstLine="708"/>
        <w:jc w:val="both"/>
      </w:pPr>
    </w:p>
    <w:tbl>
      <w:tblPr>
        <w:tblW w:w="5000" w:type="pct"/>
        <w:tblLook w:val="04A0" w:firstRow="1" w:lastRow="0" w:firstColumn="1" w:lastColumn="0" w:noHBand="0" w:noVBand="1"/>
      </w:tblPr>
      <w:tblGrid>
        <w:gridCol w:w="1305"/>
        <w:gridCol w:w="6785"/>
        <w:gridCol w:w="1254"/>
      </w:tblGrid>
      <w:tr w:rsidR="00AC2879" w14:paraId="33052379" w14:textId="77777777" w:rsidTr="00AC2879">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60D72E15" w14:textId="77777777" w:rsidR="00AC2879" w:rsidRDefault="00AC2879">
            <w:pPr>
              <w:jc w:val="both"/>
              <w:rPr>
                <w:color w:val="000000"/>
                <w:sz w:val="22"/>
                <w:szCs w:val="22"/>
              </w:rPr>
            </w:pPr>
            <w:r>
              <w:rPr>
                <w:color w:val="000000"/>
                <w:sz w:val="22"/>
                <w:szCs w:val="22"/>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3A0FD829" w14:textId="77777777" w:rsidR="00AC2879" w:rsidRDefault="00AC2879">
            <w:pPr>
              <w:jc w:val="both"/>
              <w:rPr>
                <w:color w:val="000000"/>
                <w:sz w:val="22"/>
                <w:szCs w:val="22"/>
              </w:rPr>
            </w:pPr>
            <w:r>
              <w:rPr>
                <w:color w:val="000000"/>
                <w:sz w:val="22"/>
                <w:szCs w:val="22"/>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0CE47264" w14:textId="77777777" w:rsidR="00AC2879" w:rsidRDefault="00AC2879">
            <w:pPr>
              <w:rPr>
                <w:color w:val="000000"/>
                <w:sz w:val="22"/>
                <w:szCs w:val="22"/>
              </w:rPr>
            </w:pPr>
          </w:p>
        </w:tc>
      </w:tr>
      <w:tr w:rsidR="00D01C9F" w:rsidRPr="00D01C9F" w14:paraId="1CACC87B"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72E94D3" w14:textId="77777777" w:rsidR="00AC2879" w:rsidRDefault="00AC2879">
            <w:pPr>
              <w:rPr>
                <w:color w:val="000000"/>
                <w:sz w:val="22"/>
                <w:szCs w:val="22"/>
              </w:rPr>
            </w:pPr>
            <w:r>
              <w:rPr>
                <w:color w:val="000000"/>
                <w:sz w:val="22"/>
                <w:szCs w:val="22"/>
              </w:rPr>
              <w:t>A301535</w:t>
            </w:r>
          </w:p>
        </w:tc>
        <w:tc>
          <w:tcPr>
            <w:tcW w:w="3631" w:type="pct"/>
            <w:tcBorders>
              <w:top w:val="nil"/>
              <w:left w:val="nil"/>
              <w:bottom w:val="single" w:sz="4" w:space="0" w:color="auto"/>
              <w:right w:val="single" w:sz="4" w:space="0" w:color="auto"/>
            </w:tcBorders>
            <w:noWrap/>
            <w:vAlign w:val="bottom"/>
            <w:hideMark/>
          </w:tcPr>
          <w:p w14:paraId="01104184" w14:textId="35F5AD5C" w:rsidR="00AC2879" w:rsidRDefault="00AC2879">
            <w:pPr>
              <w:rPr>
                <w:color w:val="000000"/>
                <w:sz w:val="22"/>
                <w:szCs w:val="22"/>
              </w:rPr>
            </w:pPr>
            <w:r>
              <w:rPr>
                <w:color w:val="000000"/>
                <w:sz w:val="22"/>
                <w:szCs w:val="22"/>
              </w:rPr>
              <w:t>Pomoć za podmirenje troškova djeteta za pohađanje</w:t>
            </w:r>
            <w:r w:rsidR="004526B6">
              <w:rPr>
                <w:color w:val="000000"/>
                <w:sz w:val="22"/>
                <w:szCs w:val="22"/>
              </w:rPr>
              <w:t xml:space="preserve"> dječjih vrtića</w:t>
            </w:r>
          </w:p>
        </w:tc>
        <w:tc>
          <w:tcPr>
            <w:tcW w:w="671" w:type="pct"/>
            <w:tcBorders>
              <w:top w:val="nil"/>
              <w:left w:val="nil"/>
              <w:bottom w:val="single" w:sz="4" w:space="0" w:color="auto"/>
              <w:right w:val="single" w:sz="4" w:space="0" w:color="auto"/>
            </w:tcBorders>
            <w:vAlign w:val="center"/>
            <w:hideMark/>
          </w:tcPr>
          <w:p w14:paraId="67AE16C7" w14:textId="08F49E63" w:rsidR="00AC2879" w:rsidRPr="00D01C9F" w:rsidRDefault="001471FB">
            <w:pPr>
              <w:jc w:val="right"/>
              <w:rPr>
                <w:sz w:val="22"/>
                <w:szCs w:val="22"/>
              </w:rPr>
            </w:pPr>
            <w:r w:rsidRPr="00D01C9F">
              <w:rPr>
                <w:sz w:val="22"/>
                <w:szCs w:val="22"/>
              </w:rPr>
              <w:t>178.460</w:t>
            </w:r>
            <w:r w:rsidR="00AC2879" w:rsidRPr="00D01C9F">
              <w:rPr>
                <w:sz w:val="22"/>
                <w:szCs w:val="22"/>
              </w:rPr>
              <w:t>,00</w:t>
            </w:r>
          </w:p>
        </w:tc>
      </w:tr>
      <w:tr w:rsidR="00D01C9F" w:rsidRPr="00D01C9F" w14:paraId="7C0F89EB"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2B93E31D" w14:textId="77777777" w:rsidR="00AC2879" w:rsidRDefault="00AC2879">
            <w:pPr>
              <w:rPr>
                <w:color w:val="000000"/>
                <w:sz w:val="22"/>
                <w:szCs w:val="22"/>
              </w:rPr>
            </w:pPr>
            <w:r>
              <w:rPr>
                <w:color w:val="000000"/>
                <w:sz w:val="22"/>
                <w:szCs w:val="22"/>
              </w:rPr>
              <w:t>A301536</w:t>
            </w:r>
          </w:p>
        </w:tc>
        <w:tc>
          <w:tcPr>
            <w:tcW w:w="3631" w:type="pct"/>
            <w:tcBorders>
              <w:top w:val="nil"/>
              <w:left w:val="nil"/>
              <w:bottom w:val="single" w:sz="4" w:space="0" w:color="auto"/>
              <w:right w:val="single" w:sz="4" w:space="0" w:color="auto"/>
            </w:tcBorders>
            <w:noWrap/>
            <w:vAlign w:val="bottom"/>
            <w:hideMark/>
          </w:tcPr>
          <w:p w14:paraId="637C8D80" w14:textId="77777777" w:rsidR="00AC2879" w:rsidRDefault="00AC2879">
            <w:pPr>
              <w:rPr>
                <w:color w:val="000000"/>
                <w:sz w:val="22"/>
                <w:szCs w:val="22"/>
              </w:rPr>
            </w:pPr>
            <w:r>
              <w:rPr>
                <w:color w:val="000000"/>
                <w:sz w:val="22"/>
                <w:szCs w:val="22"/>
              </w:rPr>
              <w:t>Naknada za troškove stanovanja</w:t>
            </w:r>
          </w:p>
        </w:tc>
        <w:tc>
          <w:tcPr>
            <w:tcW w:w="671" w:type="pct"/>
            <w:tcBorders>
              <w:top w:val="nil"/>
              <w:left w:val="nil"/>
              <w:bottom w:val="single" w:sz="4" w:space="0" w:color="auto"/>
              <w:right w:val="single" w:sz="4" w:space="0" w:color="auto"/>
            </w:tcBorders>
            <w:vAlign w:val="center"/>
            <w:hideMark/>
          </w:tcPr>
          <w:p w14:paraId="3C4D49A8" w14:textId="5D3934FB" w:rsidR="00AC2879" w:rsidRPr="00D01C9F" w:rsidRDefault="001471FB">
            <w:pPr>
              <w:jc w:val="right"/>
              <w:rPr>
                <w:sz w:val="22"/>
                <w:szCs w:val="22"/>
              </w:rPr>
            </w:pPr>
            <w:r w:rsidRPr="00D01C9F">
              <w:rPr>
                <w:sz w:val="22"/>
                <w:szCs w:val="22"/>
              </w:rPr>
              <w:t>140.700</w:t>
            </w:r>
            <w:r w:rsidR="00AC2879" w:rsidRPr="00D01C9F">
              <w:rPr>
                <w:sz w:val="22"/>
                <w:szCs w:val="22"/>
              </w:rPr>
              <w:t>,00</w:t>
            </w:r>
          </w:p>
        </w:tc>
      </w:tr>
      <w:tr w:rsidR="00D01C9F" w:rsidRPr="00D01C9F" w14:paraId="51593908"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7B2AFF0B" w14:textId="77777777" w:rsidR="00AC2879" w:rsidRDefault="00AC2879">
            <w:pPr>
              <w:rPr>
                <w:color w:val="000000"/>
                <w:sz w:val="22"/>
                <w:szCs w:val="22"/>
              </w:rPr>
            </w:pPr>
            <w:r>
              <w:rPr>
                <w:color w:val="000000"/>
                <w:sz w:val="22"/>
                <w:szCs w:val="22"/>
              </w:rPr>
              <w:t>A301521</w:t>
            </w:r>
          </w:p>
        </w:tc>
        <w:tc>
          <w:tcPr>
            <w:tcW w:w="3631" w:type="pct"/>
            <w:tcBorders>
              <w:top w:val="nil"/>
              <w:left w:val="nil"/>
              <w:bottom w:val="single" w:sz="4" w:space="0" w:color="auto"/>
              <w:right w:val="single" w:sz="4" w:space="0" w:color="auto"/>
            </w:tcBorders>
            <w:noWrap/>
            <w:vAlign w:val="bottom"/>
            <w:hideMark/>
          </w:tcPr>
          <w:p w14:paraId="3B8740CF" w14:textId="77777777" w:rsidR="00AC2879" w:rsidRDefault="00AC2879">
            <w:pPr>
              <w:rPr>
                <w:color w:val="000000"/>
                <w:sz w:val="22"/>
                <w:szCs w:val="22"/>
              </w:rPr>
            </w:pPr>
            <w:r>
              <w:rPr>
                <w:color w:val="000000"/>
                <w:sz w:val="22"/>
                <w:szCs w:val="22"/>
              </w:rPr>
              <w:t>Pomoć za ogrjev</w:t>
            </w:r>
          </w:p>
        </w:tc>
        <w:tc>
          <w:tcPr>
            <w:tcW w:w="671" w:type="pct"/>
            <w:tcBorders>
              <w:top w:val="nil"/>
              <w:left w:val="nil"/>
              <w:bottom w:val="single" w:sz="4" w:space="0" w:color="auto"/>
              <w:right w:val="single" w:sz="4" w:space="0" w:color="auto"/>
            </w:tcBorders>
            <w:vAlign w:val="center"/>
            <w:hideMark/>
          </w:tcPr>
          <w:p w14:paraId="4ECE09C2" w14:textId="698F0E4B" w:rsidR="00AC2879" w:rsidRPr="00D01C9F" w:rsidRDefault="001471FB">
            <w:pPr>
              <w:jc w:val="right"/>
              <w:rPr>
                <w:sz w:val="22"/>
                <w:szCs w:val="22"/>
              </w:rPr>
            </w:pPr>
            <w:r w:rsidRPr="00D01C9F">
              <w:rPr>
                <w:sz w:val="22"/>
                <w:szCs w:val="22"/>
              </w:rPr>
              <w:t>20.000</w:t>
            </w:r>
            <w:r w:rsidR="00AC2879" w:rsidRPr="00D01C9F">
              <w:rPr>
                <w:sz w:val="22"/>
                <w:szCs w:val="22"/>
              </w:rPr>
              <w:t>,00</w:t>
            </w:r>
          </w:p>
        </w:tc>
      </w:tr>
      <w:tr w:rsidR="00D01C9F" w:rsidRPr="00D01C9F" w14:paraId="0253CFD6"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6EDD4C6" w14:textId="77777777" w:rsidR="00AC2879" w:rsidRDefault="00AC2879">
            <w:pPr>
              <w:rPr>
                <w:color w:val="000000"/>
                <w:sz w:val="22"/>
                <w:szCs w:val="22"/>
              </w:rPr>
            </w:pPr>
            <w:r>
              <w:rPr>
                <w:color w:val="000000"/>
                <w:sz w:val="22"/>
                <w:szCs w:val="22"/>
              </w:rPr>
              <w:t>A301606</w:t>
            </w:r>
          </w:p>
        </w:tc>
        <w:tc>
          <w:tcPr>
            <w:tcW w:w="3631" w:type="pct"/>
            <w:tcBorders>
              <w:top w:val="nil"/>
              <w:left w:val="nil"/>
              <w:bottom w:val="single" w:sz="4" w:space="0" w:color="auto"/>
              <w:right w:val="single" w:sz="4" w:space="0" w:color="auto"/>
            </w:tcBorders>
            <w:vAlign w:val="center"/>
            <w:hideMark/>
          </w:tcPr>
          <w:p w14:paraId="4D08AD36" w14:textId="77777777" w:rsidR="00AC2879" w:rsidRDefault="00AC2879">
            <w:pPr>
              <w:jc w:val="both"/>
              <w:rPr>
                <w:color w:val="000000"/>
                <w:sz w:val="22"/>
                <w:szCs w:val="22"/>
              </w:rPr>
            </w:pPr>
            <w:r>
              <w:rPr>
                <w:color w:val="000000"/>
                <w:sz w:val="22"/>
                <w:szCs w:val="22"/>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60E9BF11" w14:textId="32099D82" w:rsidR="00AC2879" w:rsidRPr="00D01C9F" w:rsidRDefault="001471FB">
            <w:pPr>
              <w:jc w:val="right"/>
              <w:rPr>
                <w:sz w:val="22"/>
                <w:szCs w:val="22"/>
              </w:rPr>
            </w:pPr>
            <w:r w:rsidRPr="00D01C9F">
              <w:rPr>
                <w:sz w:val="22"/>
                <w:szCs w:val="22"/>
              </w:rPr>
              <w:t>129.600</w:t>
            </w:r>
            <w:r w:rsidR="00AC2879" w:rsidRPr="00D01C9F">
              <w:rPr>
                <w:sz w:val="22"/>
                <w:szCs w:val="22"/>
              </w:rPr>
              <w:t>,00</w:t>
            </w:r>
          </w:p>
        </w:tc>
      </w:tr>
      <w:tr w:rsidR="00D01C9F" w:rsidRPr="00D01C9F" w14:paraId="1DBB0DD7"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459045B" w14:textId="77777777" w:rsidR="00AC2879" w:rsidRDefault="00AC2879">
            <w:pPr>
              <w:rPr>
                <w:color w:val="000000"/>
                <w:sz w:val="22"/>
                <w:szCs w:val="22"/>
              </w:rPr>
            </w:pPr>
            <w:r>
              <w:rPr>
                <w:color w:val="000000"/>
                <w:sz w:val="22"/>
                <w:szCs w:val="22"/>
              </w:rPr>
              <w:t>A301509</w:t>
            </w:r>
          </w:p>
        </w:tc>
        <w:tc>
          <w:tcPr>
            <w:tcW w:w="3631" w:type="pct"/>
            <w:tcBorders>
              <w:top w:val="nil"/>
              <w:left w:val="nil"/>
              <w:bottom w:val="single" w:sz="4" w:space="0" w:color="auto"/>
              <w:right w:val="single" w:sz="4" w:space="0" w:color="auto"/>
            </w:tcBorders>
            <w:vAlign w:val="center"/>
            <w:hideMark/>
          </w:tcPr>
          <w:p w14:paraId="4608F911" w14:textId="77777777" w:rsidR="00AC2879" w:rsidRDefault="00AC2879">
            <w:pPr>
              <w:jc w:val="both"/>
              <w:rPr>
                <w:color w:val="000000"/>
                <w:sz w:val="22"/>
                <w:szCs w:val="22"/>
              </w:rPr>
            </w:pPr>
            <w:r>
              <w:rPr>
                <w:color w:val="000000"/>
                <w:sz w:val="22"/>
                <w:szCs w:val="22"/>
              </w:rPr>
              <w:t>Pružanje usluge i podmirenje troškova usluge pomoći i njege u kući</w:t>
            </w:r>
          </w:p>
        </w:tc>
        <w:tc>
          <w:tcPr>
            <w:tcW w:w="671" w:type="pct"/>
            <w:tcBorders>
              <w:top w:val="nil"/>
              <w:left w:val="nil"/>
              <w:bottom w:val="single" w:sz="4" w:space="0" w:color="auto"/>
              <w:right w:val="single" w:sz="4" w:space="0" w:color="auto"/>
            </w:tcBorders>
            <w:vAlign w:val="center"/>
            <w:hideMark/>
          </w:tcPr>
          <w:p w14:paraId="6147E222" w14:textId="3A77B93C" w:rsidR="00AC2879" w:rsidRPr="00D01C9F" w:rsidRDefault="001471FB">
            <w:pPr>
              <w:jc w:val="right"/>
              <w:rPr>
                <w:sz w:val="22"/>
                <w:szCs w:val="22"/>
              </w:rPr>
            </w:pPr>
            <w:r w:rsidRPr="00D01C9F">
              <w:rPr>
                <w:sz w:val="22"/>
                <w:szCs w:val="22"/>
              </w:rPr>
              <w:t>26.550</w:t>
            </w:r>
            <w:r w:rsidR="00AC2879" w:rsidRPr="00D01C9F">
              <w:rPr>
                <w:sz w:val="22"/>
                <w:szCs w:val="22"/>
              </w:rPr>
              <w:t>,00</w:t>
            </w:r>
          </w:p>
        </w:tc>
      </w:tr>
      <w:tr w:rsidR="00D01C9F" w:rsidRPr="00D01C9F" w14:paraId="70637BD1"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2C0EC2A1" w14:textId="77777777" w:rsidR="00AC2879" w:rsidRDefault="00AC2879">
            <w:pPr>
              <w:rPr>
                <w:color w:val="000000"/>
                <w:sz w:val="22"/>
                <w:szCs w:val="22"/>
              </w:rPr>
            </w:pPr>
            <w:r>
              <w:rPr>
                <w:color w:val="000000"/>
                <w:sz w:val="22"/>
                <w:szCs w:val="22"/>
              </w:rPr>
              <w:t>A301512</w:t>
            </w:r>
          </w:p>
        </w:tc>
        <w:tc>
          <w:tcPr>
            <w:tcW w:w="3631" w:type="pct"/>
            <w:tcBorders>
              <w:top w:val="nil"/>
              <w:left w:val="nil"/>
              <w:bottom w:val="single" w:sz="4" w:space="0" w:color="auto"/>
              <w:right w:val="single" w:sz="4" w:space="0" w:color="auto"/>
            </w:tcBorders>
            <w:vAlign w:val="center"/>
            <w:hideMark/>
          </w:tcPr>
          <w:p w14:paraId="4D4D65F1" w14:textId="77777777" w:rsidR="00AC2879" w:rsidRDefault="00AC2879">
            <w:pPr>
              <w:jc w:val="both"/>
              <w:rPr>
                <w:color w:val="000000"/>
                <w:sz w:val="22"/>
                <w:szCs w:val="22"/>
              </w:rPr>
            </w:pPr>
            <w:r>
              <w:rPr>
                <w:color w:val="000000"/>
                <w:sz w:val="22"/>
                <w:szCs w:val="22"/>
              </w:rPr>
              <w:t xml:space="preserve">Pomoć za podmirenje troškova djeteta za </w:t>
            </w:r>
            <w:proofErr w:type="spellStart"/>
            <w:r>
              <w:rPr>
                <w:color w:val="000000"/>
                <w:sz w:val="22"/>
                <w:szCs w:val="22"/>
              </w:rPr>
              <w:t>pohađ</w:t>
            </w:r>
            <w:proofErr w:type="spellEnd"/>
            <w:r>
              <w:rPr>
                <w:color w:val="000000"/>
                <w:sz w:val="22"/>
                <w:szCs w:val="22"/>
              </w:rPr>
              <w:t xml:space="preserve">. </w:t>
            </w:r>
            <w:proofErr w:type="spellStart"/>
            <w:r>
              <w:rPr>
                <w:color w:val="000000"/>
                <w:sz w:val="22"/>
                <w:szCs w:val="22"/>
              </w:rPr>
              <w:t>dj</w:t>
            </w:r>
            <w:proofErr w:type="spellEnd"/>
            <w:r>
              <w:rPr>
                <w:color w:val="000000"/>
                <w:sz w:val="22"/>
                <w:szCs w:val="22"/>
              </w:rPr>
              <w:t xml:space="preserve">. vrtića i boravka. kod dadilja </w:t>
            </w:r>
          </w:p>
        </w:tc>
        <w:tc>
          <w:tcPr>
            <w:tcW w:w="671" w:type="pct"/>
            <w:tcBorders>
              <w:top w:val="nil"/>
              <w:left w:val="nil"/>
              <w:bottom w:val="single" w:sz="4" w:space="0" w:color="auto"/>
              <w:right w:val="single" w:sz="4" w:space="0" w:color="auto"/>
            </w:tcBorders>
            <w:vAlign w:val="center"/>
            <w:hideMark/>
          </w:tcPr>
          <w:p w14:paraId="2D4CA505" w14:textId="0A4F967F" w:rsidR="00AC2879" w:rsidRPr="00D01C9F" w:rsidRDefault="001471FB">
            <w:pPr>
              <w:jc w:val="right"/>
              <w:rPr>
                <w:sz w:val="22"/>
                <w:szCs w:val="22"/>
              </w:rPr>
            </w:pPr>
            <w:r w:rsidRPr="00D01C9F">
              <w:rPr>
                <w:sz w:val="22"/>
                <w:szCs w:val="22"/>
              </w:rPr>
              <w:t>103.500</w:t>
            </w:r>
            <w:r w:rsidR="00AC2879" w:rsidRPr="00D01C9F">
              <w:rPr>
                <w:sz w:val="22"/>
                <w:szCs w:val="22"/>
              </w:rPr>
              <w:t>,00</w:t>
            </w:r>
          </w:p>
        </w:tc>
      </w:tr>
      <w:tr w:rsidR="00D01C9F" w:rsidRPr="00D01C9F" w14:paraId="36FB86CC"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3391FA50" w14:textId="77777777" w:rsidR="00AC2879" w:rsidRDefault="00AC2879">
            <w:pPr>
              <w:rPr>
                <w:color w:val="000000"/>
                <w:sz w:val="22"/>
                <w:szCs w:val="22"/>
              </w:rPr>
            </w:pPr>
            <w:r>
              <w:rPr>
                <w:color w:val="000000"/>
                <w:sz w:val="22"/>
                <w:szCs w:val="22"/>
              </w:rPr>
              <w:t>A301529</w:t>
            </w:r>
          </w:p>
        </w:tc>
        <w:tc>
          <w:tcPr>
            <w:tcW w:w="3631" w:type="pct"/>
            <w:tcBorders>
              <w:top w:val="nil"/>
              <w:left w:val="nil"/>
              <w:bottom w:val="single" w:sz="4" w:space="0" w:color="auto"/>
              <w:right w:val="single" w:sz="4" w:space="0" w:color="auto"/>
            </w:tcBorders>
            <w:vAlign w:val="center"/>
            <w:hideMark/>
          </w:tcPr>
          <w:p w14:paraId="023C8C6F" w14:textId="77777777" w:rsidR="00AC2879" w:rsidRDefault="00AC2879">
            <w:pPr>
              <w:jc w:val="both"/>
              <w:rPr>
                <w:color w:val="000000"/>
                <w:sz w:val="22"/>
                <w:szCs w:val="22"/>
              </w:rPr>
            </w:pPr>
            <w:r>
              <w:rPr>
                <w:color w:val="000000"/>
                <w:sz w:val="22"/>
                <w:szCs w:val="22"/>
              </w:rPr>
              <w:t>Novčana potpora za pohađanje srednje škole</w:t>
            </w:r>
          </w:p>
        </w:tc>
        <w:tc>
          <w:tcPr>
            <w:tcW w:w="671" w:type="pct"/>
            <w:tcBorders>
              <w:top w:val="nil"/>
              <w:left w:val="nil"/>
              <w:bottom w:val="single" w:sz="4" w:space="0" w:color="auto"/>
              <w:right w:val="single" w:sz="4" w:space="0" w:color="auto"/>
            </w:tcBorders>
            <w:vAlign w:val="center"/>
            <w:hideMark/>
          </w:tcPr>
          <w:p w14:paraId="67E428BB" w14:textId="4D97EB8B" w:rsidR="00AC2879" w:rsidRPr="00D01C9F" w:rsidRDefault="001471FB">
            <w:pPr>
              <w:jc w:val="right"/>
              <w:rPr>
                <w:sz w:val="22"/>
                <w:szCs w:val="22"/>
              </w:rPr>
            </w:pPr>
            <w:r w:rsidRPr="00D01C9F">
              <w:rPr>
                <w:sz w:val="22"/>
                <w:szCs w:val="22"/>
              </w:rPr>
              <w:t>17.000</w:t>
            </w:r>
            <w:r w:rsidR="00AC2879" w:rsidRPr="00D01C9F">
              <w:rPr>
                <w:sz w:val="22"/>
                <w:szCs w:val="22"/>
              </w:rPr>
              <w:t>,00</w:t>
            </w:r>
          </w:p>
        </w:tc>
      </w:tr>
      <w:tr w:rsidR="00D01C9F" w:rsidRPr="00D01C9F" w14:paraId="42B52A5C"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A6F0A10" w14:textId="77777777" w:rsidR="00AC2879" w:rsidRDefault="00AC2879">
            <w:pPr>
              <w:rPr>
                <w:color w:val="000000"/>
                <w:sz w:val="22"/>
                <w:szCs w:val="22"/>
              </w:rPr>
            </w:pPr>
            <w:r>
              <w:rPr>
                <w:color w:val="000000"/>
                <w:sz w:val="22"/>
                <w:szCs w:val="22"/>
              </w:rPr>
              <w:t>A301533</w:t>
            </w:r>
          </w:p>
        </w:tc>
        <w:tc>
          <w:tcPr>
            <w:tcW w:w="3631" w:type="pct"/>
            <w:tcBorders>
              <w:top w:val="nil"/>
              <w:left w:val="nil"/>
              <w:bottom w:val="single" w:sz="4" w:space="0" w:color="auto"/>
              <w:right w:val="single" w:sz="4" w:space="0" w:color="auto"/>
            </w:tcBorders>
            <w:vAlign w:val="center"/>
            <w:hideMark/>
          </w:tcPr>
          <w:p w14:paraId="40E1EC5E" w14:textId="77777777" w:rsidR="00AC2879" w:rsidRDefault="00AC2879">
            <w:pPr>
              <w:jc w:val="both"/>
              <w:rPr>
                <w:color w:val="000000"/>
                <w:sz w:val="22"/>
                <w:szCs w:val="22"/>
              </w:rPr>
            </w:pPr>
            <w:r>
              <w:rPr>
                <w:color w:val="000000"/>
                <w:sz w:val="22"/>
                <w:szCs w:val="22"/>
              </w:rPr>
              <w:t>Sufinanciranje pogrebnih troškova</w:t>
            </w:r>
          </w:p>
        </w:tc>
        <w:tc>
          <w:tcPr>
            <w:tcW w:w="671" w:type="pct"/>
            <w:tcBorders>
              <w:top w:val="nil"/>
              <w:left w:val="nil"/>
              <w:bottom w:val="single" w:sz="4" w:space="0" w:color="auto"/>
              <w:right w:val="single" w:sz="4" w:space="0" w:color="auto"/>
            </w:tcBorders>
            <w:vAlign w:val="center"/>
            <w:hideMark/>
          </w:tcPr>
          <w:p w14:paraId="3635A2D9" w14:textId="181AD818" w:rsidR="00AC2879" w:rsidRPr="00D01C9F" w:rsidRDefault="001471FB">
            <w:pPr>
              <w:jc w:val="right"/>
              <w:rPr>
                <w:sz w:val="22"/>
                <w:szCs w:val="22"/>
              </w:rPr>
            </w:pPr>
            <w:r w:rsidRPr="00D01C9F">
              <w:rPr>
                <w:sz w:val="22"/>
                <w:szCs w:val="22"/>
              </w:rPr>
              <w:t>9.000</w:t>
            </w:r>
            <w:r w:rsidR="00AC2879" w:rsidRPr="00D01C9F">
              <w:rPr>
                <w:sz w:val="22"/>
                <w:szCs w:val="22"/>
              </w:rPr>
              <w:t>,00</w:t>
            </w:r>
          </w:p>
        </w:tc>
      </w:tr>
      <w:tr w:rsidR="00D01C9F" w:rsidRPr="00D01C9F" w14:paraId="199417A5"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3B26E8DC" w14:textId="77777777" w:rsidR="00AC2879" w:rsidRDefault="00AC2879">
            <w:pPr>
              <w:rPr>
                <w:color w:val="000000"/>
                <w:sz w:val="22"/>
                <w:szCs w:val="22"/>
              </w:rPr>
            </w:pPr>
            <w:r>
              <w:rPr>
                <w:color w:val="000000"/>
                <w:sz w:val="22"/>
                <w:szCs w:val="22"/>
              </w:rPr>
              <w:t>A301531</w:t>
            </w:r>
          </w:p>
        </w:tc>
        <w:tc>
          <w:tcPr>
            <w:tcW w:w="3631" w:type="pct"/>
            <w:tcBorders>
              <w:top w:val="nil"/>
              <w:left w:val="nil"/>
              <w:bottom w:val="single" w:sz="4" w:space="0" w:color="auto"/>
              <w:right w:val="single" w:sz="4" w:space="0" w:color="auto"/>
            </w:tcBorders>
            <w:vAlign w:val="center"/>
            <w:hideMark/>
          </w:tcPr>
          <w:p w14:paraId="5EC006CD" w14:textId="77777777" w:rsidR="00AC2879" w:rsidRDefault="00AC2879">
            <w:pPr>
              <w:jc w:val="both"/>
              <w:rPr>
                <w:color w:val="000000"/>
                <w:sz w:val="22"/>
                <w:szCs w:val="22"/>
              </w:rPr>
            </w:pPr>
            <w:r>
              <w:rPr>
                <w:color w:val="000000"/>
                <w:sz w:val="22"/>
                <w:szCs w:val="22"/>
              </w:rPr>
              <w:t>Rad za opće dobro</w:t>
            </w:r>
          </w:p>
        </w:tc>
        <w:tc>
          <w:tcPr>
            <w:tcW w:w="671" w:type="pct"/>
            <w:tcBorders>
              <w:top w:val="nil"/>
              <w:left w:val="nil"/>
              <w:bottom w:val="single" w:sz="4" w:space="0" w:color="auto"/>
              <w:right w:val="single" w:sz="4" w:space="0" w:color="auto"/>
            </w:tcBorders>
            <w:vAlign w:val="center"/>
            <w:hideMark/>
          </w:tcPr>
          <w:p w14:paraId="07D1E03C" w14:textId="73178DB6" w:rsidR="00AC2879" w:rsidRPr="00D01C9F" w:rsidRDefault="001471FB">
            <w:pPr>
              <w:jc w:val="center"/>
              <w:rPr>
                <w:sz w:val="22"/>
                <w:szCs w:val="22"/>
              </w:rPr>
            </w:pPr>
            <w:r w:rsidRPr="00D01C9F">
              <w:rPr>
                <w:sz w:val="22"/>
                <w:szCs w:val="22"/>
              </w:rPr>
              <w:t xml:space="preserve">    2.790,00</w:t>
            </w:r>
          </w:p>
        </w:tc>
      </w:tr>
      <w:tr w:rsidR="00D01C9F" w:rsidRPr="00D01C9F" w14:paraId="24511537"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15BD11B" w14:textId="77777777" w:rsidR="00AC2879" w:rsidRDefault="00AC2879">
            <w:pPr>
              <w:rPr>
                <w:color w:val="000000"/>
                <w:sz w:val="22"/>
                <w:szCs w:val="22"/>
              </w:rPr>
            </w:pPr>
            <w:r>
              <w:rPr>
                <w:color w:val="000000"/>
                <w:sz w:val="22"/>
                <w:szCs w:val="22"/>
              </w:rPr>
              <w:lastRenderedPageBreak/>
              <w:t>A301532</w:t>
            </w:r>
          </w:p>
        </w:tc>
        <w:tc>
          <w:tcPr>
            <w:tcW w:w="3631" w:type="pct"/>
            <w:tcBorders>
              <w:top w:val="nil"/>
              <w:left w:val="nil"/>
              <w:bottom w:val="single" w:sz="4" w:space="0" w:color="auto"/>
              <w:right w:val="single" w:sz="4" w:space="0" w:color="auto"/>
            </w:tcBorders>
            <w:vAlign w:val="center"/>
            <w:hideMark/>
          </w:tcPr>
          <w:p w14:paraId="1A71F38B" w14:textId="77777777" w:rsidR="00AC2879" w:rsidRDefault="00AC2879">
            <w:pPr>
              <w:jc w:val="both"/>
              <w:rPr>
                <w:color w:val="000000"/>
                <w:sz w:val="22"/>
                <w:szCs w:val="22"/>
              </w:rPr>
            </w:pPr>
            <w:r>
              <w:rPr>
                <w:color w:val="000000"/>
                <w:sz w:val="22"/>
                <w:szCs w:val="22"/>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2098E334" w14:textId="3626A4B1" w:rsidR="00AC2879" w:rsidRPr="00D01C9F" w:rsidRDefault="001471FB">
            <w:pPr>
              <w:jc w:val="right"/>
              <w:rPr>
                <w:sz w:val="22"/>
                <w:szCs w:val="22"/>
              </w:rPr>
            </w:pPr>
            <w:r w:rsidRPr="00D01C9F">
              <w:rPr>
                <w:sz w:val="22"/>
                <w:szCs w:val="22"/>
              </w:rPr>
              <w:t>89.100</w:t>
            </w:r>
            <w:r w:rsidR="00AC2879" w:rsidRPr="00D01C9F">
              <w:rPr>
                <w:sz w:val="22"/>
                <w:szCs w:val="22"/>
              </w:rPr>
              <w:t>,00</w:t>
            </w:r>
          </w:p>
        </w:tc>
      </w:tr>
      <w:tr w:rsidR="00D01C9F" w:rsidRPr="00D01C9F" w14:paraId="04EAFE44" w14:textId="77777777" w:rsidTr="00AC2879">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55A791DB" w14:textId="77777777" w:rsidR="00AC2879" w:rsidRDefault="00AC2879">
            <w:pPr>
              <w:jc w:val="both"/>
              <w:rPr>
                <w:color w:val="000000"/>
                <w:sz w:val="22"/>
                <w:szCs w:val="22"/>
              </w:rPr>
            </w:pPr>
            <w:r>
              <w:rPr>
                <w:color w:val="000000"/>
                <w:sz w:val="22"/>
                <w:szCs w:val="22"/>
              </w:rPr>
              <w:t>PROGRAM</w:t>
            </w:r>
          </w:p>
        </w:tc>
        <w:tc>
          <w:tcPr>
            <w:tcW w:w="3631" w:type="pct"/>
            <w:tcBorders>
              <w:top w:val="nil"/>
              <w:left w:val="nil"/>
              <w:bottom w:val="single" w:sz="4" w:space="0" w:color="auto"/>
              <w:right w:val="single" w:sz="4" w:space="0" w:color="auto"/>
            </w:tcBorders>
            <w:shd w:val="clear" w:color="auto" w:fill="9CC2E5"/>
            <w:vAlign w:val="center"/>
            <w:hideMark/>
          </w:tcPr>
          <w:p w14:paraId="18936537" w14:textId="77777777" w:rsidR="00AC2879" w:rsidRDefault="00AC2879">
            <w:pPr>
              <w:jc w:val="both"/>
              <w:rPr>
                <w:color w:val="000000"/>
                <w:sz w:val="22"/>
                <w:szCs w:val="22"/>
              </w:rPr>
            </w:pPr>
            <w:r>
              <w:rPr>
                <w:color w:val="000000"/>
                <w:sz w:val="22"/>
                <w:szCs w:val="22"/>
              </w:rPr>
              <w:t>ZDRAVSTVO</w:t>
            </w:r>
          </w:p>
        </w:tc>
        <w:tc>
          <w:tcPr>
            <w:tcW w:w="671" w:type="pct"/>
            <w:tcBorders>
              <w:top w:val="nil"/>
              <w:left w:val="nil"/>
              <w:bottom w:val="single" w:sz="4" w:space="0" w:color="auto"/>
              <w:right w:val="single" w:sz="4" w:space="0" w:color="auto"/>
            </w:tcBorders>
            <w:shd w:val="clear" w:color="auto" w:fill="9CC2E5"/>
            <w:vAlign w:val="center"/>
            <w:hideMark/>
          </w:tcPr>
          <w:p w14:paraId="699E9C9C" w14:textId="77777777" w:rsidR="00AC2879" w:rsidRPr="00D01C9F" w:rsidRDefault="00AC2879">
            <w:pPr>
              <w:rPr>
                <w:sz w:val="22"/>
                <w:szCs w:val="22"/>
              </w:rPr>
            </w:pPr>
          </w:p>
        </w:tc>
      </w:tr>
      <w:tr w:rsidR="00D01C9F" w:rsidRPr="00D01C9F" w14:paraId="35E3E49F"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46293844" w14:textId="77777777" w:rsidR="00AC2879" w:rsidRDefault="00AC2879">
            <w:pPr>
              <w:rPr>
                <w:color w:val="000000"/>
                <w:sz w:val="22"/>
                <w:szCs w:val="22"/>
              </w:rPr>
            </w:pPr>
            <w:r>
              <w:rPr>
                <w:color w:val="000000"/>
                <w:sz w:val="22"/>
                <w:szCs w:val="22"/>
              </w:rPr>
              <w:t>A301603</w:t>
            </w:r>
          </w:p>
        </w:tc>
        <w:tc>
          <w:tcPr>
            <w:tcW w:w="3631" w:type="pct"/>
            <w:tcBorders>
              <w:top w:val="nil"/>
              <w:left w:val="nil"/>
              <w:bottom w:val="single" w:sz="4" w:space="0" w:color="auto"/>
              <w:right w:val="single" w:sz="4" w:space="0" w:color="auto"/>
            </w:tcBorders>
            <w:vAlign w:val="center"/>
            <w:hideMark/>
          </w:tcPr>
          <w:p w14:paraId="36606012" w14:textId="77777777" w:rsidR="00AC2879" w:rsidRDefault="00AC2879">
            <w:pPr>
              <w:jc w:val="both"/>
              <w:rPr>
                <w:color w:val="000000"/>
                <w:sz w:val="22"/>
                <w:szCs w:val="22"/>
              </w:rPr>
            </w:pPr>
            <w:r>
              <w:rPr>
                <w:color w:val="000000"/>
                <w:sz w:val="22"/>
                <w:szCs w:val="22"/>
              </w:rPr>
              <w:t>Sufinanciranje troškova liječenja</w:t>
            </w:r>
          </w:p>
        </w:tc>
        <w:tc>
          <w:tcPr>
            <w:tcW w:w="671" w:type="pct"/>
            <w:tcBorders>
              <w:top w:val="nil"/>
              <w:left w:val="nil"/>
              <w:bottom w:val="single" w:sz="4" w:space="0" w:color="auto"/>
              <w:right w:val="single" w:sz="4" w:space="0" w:color="auto"/>
            </w:tcBorders>
            <w:vAlign w:val="center"/>
            <w:hideMark/>
          </w:tcPr>
          <w:p w14:paraId="2A526470" w14:textId="22721017" w:rsidR="00AC2879" w:rsidRPr="00D01C9F" w:rsidRDefault="00D01C9F">
            <w:pPr>
              <w:jc w:val="right"/>
              <w:rPr>
                <w:sz w:val="22"/>
                <w:szCs w:val="22"/>
              </w:rPr>
            </w:pPr>
            <w:r w:rsidRPr="00D01C9F">
              <w:rPr>
                <w:sz w:val="22"/>
                <w:szCs w:val="22"/>
              </w:rPr>
              <w:t>10.690</w:t>
            </w:r>
            <w:r w:rsidR="00AC2879" w:rsidRPr="00D01C9F">
              <w:rPr>
                <w:sz w:val="22"/>
                <w:szCs w:val="22"/>
              </w:rPr>
              <w:t>,00</w:t>
            </w:r>
          </w:p>
        </w:tc>
      </w:tr>
      <w:tr w:rsidR="001471FB" w:rsidRPr="00D01C9F" w14:paraId="139D33C7"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tcPr>
          <w:p w14:paraId="292C7D11" w14:textId="42D16DBF" w:rsidR="001471FB" w:rsidRDefault="001471FB">
            <w:pPr>
              <w:rPr>
                <w:color w:val="000000"/>
                <w:sz w:val="22"/>
                <w:szCs w:val="22"/>
              </w:rPr>
            </w:pPr>
            <w:r>
              <w:rPr>
                <w:color w:val="000000"/>
                <w:sz w:val="22"/>
                <w:szCs w:val="22"/>
              </w:rPr>
              <w:t>A301604</w:t>
            </w:r>
          </w:p>
        </w:tc>
        <w:tc>
          <w:tcPr>
            <w:tcW w:w="3631" w:type="pct"/>
            <w:tcBorders>
              <w:top w:val="nil"/>
              <w:left w:val="nil"/>
              <w:bottom w:val="single" w:sz="4" w:space="0" w:color="auto"/>
              <w:right w:val="single" w:sz="4" w:space="0" w:color="auto"/>
            </w:tcBorders>
            <w:vAlign w:val="center"/>
          </w:tcPr>
          <w:p w14:paraId="2AC6C4E7" w14:textId="7EB4177E" w:rsidR="001471FB" w:rsidRDefault="001471FB">
            <w:pPr>
              <w:jc w:val="both"/>
              <w:rPr>
                <w:color w:val="000000"/>
                <w:sz w:val="22"/>
                <w:szCs w:val="22"/>
              </w:rPr>
            </w:pPr>
            <w:r>
              <w:rPr>
                <w:color w:val="000000"/>
                <w:sz w:val="22"/>
                <w:szCs w:val="22"/>
              </w:rPr>
              <w:t>Donacije zdravstvenim ustanovama</w:t>
            </w:r>
          </w:p>
        </w:tc>
        <w:tc>
          <w:tcPr>
            <w:tcW w:w="671" w:type="pct"/>
            <w:tcBorders>
              <w:top w:val="nil"/>
              <w:left w:val="nil"/>
              <w:bottom w:val="single" w:sz="4" w:space="0" w:color="auto"/>
              <w:right w:val="single" w:sz="4" w:space="0" w:color="auto"/>
            </w:tcBorders>
            <w:vAlign w:val="center"/>
          </w:tcPr>
          <w:p w14:paraId="267C8F96" w14:textId="082C5CCC" w:rsidR="001471FB" w:rsidRPr="00D01C9F" w:rsidRDefault="00D01C9F">
            <w:pPr>
              <w:jc w:val="right"/>
              <w:rPr>
                <w:sz w:val="22"/>
                <w:szCs w:val="22"/>
              </w:rPr>
            </w:pPr>
            <w:r w:rsidRPr="00D01C9F">
              <w:rPr>
                <w:sz w:val="22"/>
                <w:szCs w:val="22"/>
              </w:rPr>
              <w:t>500,00</w:t>
            </w:r>
          </w:p>
        </w:tc>
      </w:tr>
      <w:tr w:rsidR="00AC2879" w14:paraId="63D7E9B9"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02C669A1" w14:textId="77777777" w:rsidR="00AC2879" w:rsidRDefault="00AC2879">
            <w:pPr>
              <w:rPr>
                <w:color w:val="000000"/>
                <w:sz w:val="22"/>
                <w:szCs w:val="22"/>
              </w:rPr>
            </w:pPr>
            <w:r>
              <w:rPr>
                <w:color w:val="000000"/>
                <w:sz w:val="22"/>
                <w:szCs w:val="22"/>
              </w:rPr>
              <w:t>A301605</w:t>
            </w:r>
          </w:p>
        </w:tc>
        <w:tc>
          <w:tcPr>
            <w:tcW w:w="3631" w:type="pct"/>
            <w:tcBorders>
              <w:top w:val="nil"/>
              <w:left w:val="nil"/>
              <w:bottom w:val="single" w:sz="4" w:space="0" w:color="auto"/>
              <w:right w:val="single" w:sz="4" w:space="0" w:color="auto"/>
            </w:tcBorders>
            <w:vAlign w:val="center"/>
            <w:hideMark/>
          </w:tcPr>
          <w:p w14:paraId="10CEEC01" w14:textId="77777777" w:rsidR="00AC2879" w:rsidRDefault="00AC2879">
            <w:pPr>
              <w:jc w:val="both"/>
              <w:rPr>
                <w:color w:val="000000"/>
                <w:sz w:val="22"/>
                <w:szCs w:val="22"/>
              </w:rPr>
            </w:pPr>
            <w:r>
              <w:rPr>
                <w:color w:val="000000"/>
                <w:sz w:val="22"/>
                <w:szCs w:val="22"/>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6D40A3C7" w14:textId="60456949" w:rsidR="00AC2879" w:rsidRDefault="00D01C9F">
            <w:pPr>
              <w:jc w:val="right"/>
              <w:rPr>
                <w:color w:val="000000"/>
                <w:sz w:val="22"/>
                <w:szCs w:val="22"/>
              </w:rPr>
            </w:pPr>
            <w:r>
              <w:rPr>
                <w:color w:val="000000"/>
                <w:sz w:val="22"/>
                <w:szCs w:val="22"/>
              </w:rPr>
              <w:t>15.650</w:t>
            </w:r>
            <w:r w:rsidR="00AC2879">
              <w:rPr>
                <w:color w:val="000000"/>
                <w:sz w:val="22"/>
                <w:szCs w:val="22"/>
              </w:rPr>
              <w:t>,00</w:t>
            </w:r>
          </w:p>
        </w:tc>
      </w:tr>
      <w:tr w:rsidR="00AC2879" w14:paraId="6FD383DE"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6D2E55B7" w14:textId="77777777" w:rsidR="00AC2879" w:rsidRDefault="00AC2879">
            <w:pPr>
              <w:rPr>
                <w:color w:val="000000"/>
                <w:sz w:val="22"/>
                <w:szCs w:val="22"/>
              </w:rPr>
            </w:pPr>
            <w:r>
              <w:rPr>
                <w:color w:val="000000"/>
                <w:sz w:val="22"/>
                <w:szCs w:val="22"/>
              </w:rPr>
              <w:t>A301608</w:t>
            </w:r>
          </w:p>
        </w:tc>
        <w:tc>
          <w:tcPr>
            <w:tcW w:w="3631" w:type="pct"/>
            <w:tcBorders>
              <w:top w:val="nil"/>
              <w:left w:val="nil"/>
              <w:bottom w:val="single" w:sz="4" w:space="0" w:color="auto"/>
              <w:right w:val="single" w:sz="4" w:space="0" w:color="auto"/>
            </w:tcBorders>
            <w:vAlign w:val="center"/>
            <w:hideMark/>
          </w:tcPr>
          <w:p w14:paraId="259B42D2" w14:textId="77777777" w:rsidR="00AC2879" w:rsidRDefault="00AC2879">
            <w:pPr>
              <w:jc w:val="both"/>
              <w:rPr>
                <w:color w:val="000000"/>
                <w:sz w:val="22"/>
                <w:szCs w:val="22"/>
              </w:rPr>
            </w:pPr>
            <w:r>
              <w:rPr>
                <w:color w:val="000000"/>
                <w:sz w:val="22"/>
                <w:szCs w:val="22"/>
              </w:rPr>
              <w:t>Preventivni programi</w:t>
            </w:r>
          </w:p>
        </w:tc>
        <w:tc>
          <w:tcPr>
            <w:tcW w:w="671" w:type="pct"/>
            <w:tcBorders>
              <w:top w:val="nil"/>
              <w:left w:val="nil"/>
              <w:bottom w:val="single" w:sz="4" w:space="0" w:color="auto"/>
              <w:right w:val="single" w:sz="4" w:space="0" w:color="auto"/>
            </w:tcBorders>
            <w:vAlign w:val="center"/>
            <w:hideMark/>
          </w:tcPr>
          <w:p w14:paraId="505F3726" w14:textId="412D534B" w:rsidR="00AC2879" w:rsidRDefault="00D01C9F">
            <w:pPr>
              <w:jc w:val="right"/>
              <w:rPr>
                <w:color w:val="000000"/>
                <w:sz w:val="22"/>
                <w:szCs w:val="22"/>
              </w:rPr>
            </w:pPr>
            <w:r>
              <w:rPr>
                <w:color w:val="000000"/>
                <w:sz w:val="22"/>
                <w:szCs w:val="22"/>
              </w:rPr>
              <w:t>4.000</w:t>
            </w:r>
            <w:r w:rsidR="00AC2879">
              <w:rPr>
                <w:color w:val="000000"/>
                <w:sz w:val="22"/>
                <w:szCs w:val="22"/>
              </w:rPr>
              <w:t>,00</w:t>
            </w:r>
          </w:p>
        </w:tc>
      </w:tr>
      <w:tr w:rsidR="00AC2879" w14:paraId="1F58E7A5" w14:textId="77777777" w:rsidTr="00AC2879">
        <w:trPr>
          <w:trHeight w:val="300"/>
        </w:trPr>
        <w:tc>
          <w:tcPr>
            <w:tcW w:w="698" w:type="pct"/>
            <w:tcBorders>
              <w:top w:val="nil"/>
              <w:left w:val="single" w:sz="4" w:space="0" w:color="auto"/>
              <w:bottom w:val="single" w:sz="4" w:space="0" w:color="auto"/>
              <w:right w:val="single" w:sz="4" w:space="0" w:color="auto"/>
            </w:tcBorders>
            <w:noWrap/>
            <w:vAlign w:val="bottom"/>
            <w:hideMark/>
          </w:tcPr>
          <w:p w14:paraId="2076DE67" w14:textId="77777777" w:rsidR="00AC2879" w:rsidRDefault="00AC2879">
            <w:pPr>
              <w:rPr>
                <w:color w:val="000000"/>
                <w:sz w:val="22"/>
                <w:szCs w:val="22"/>
              </w:rPr>
            </w:pPr>
            <w:r>
              <w:rPr>
                <w:color w:val="000000"/>
                <w:sz w:val="22"/>
                <w:szCs w:val="22"/>
              </w:rPr>
              <w:t>A301609</w:t>
            </w:r>
          </w:p>
        </w:tc>
        <w:tc>
          <w:tcPr>
            <w:tcW w:w="3631" w:type="pct"/>
            <w:tcBorders>
              <w:top w:val="nil"/>
              <w:left w:val="nil"/>
              <w:bottom w:val="single" w:sz="4" w:space="0" w:color="auto"/>
              <w:right w:val="single" w:sz="4" w:space="0" w:color="auto"/>
            </w:tcBorders>
            <w:vAlign w:val="center"/>
            <w:hideMark/>
          </w:tcPr>
          <w:p w14:paraId="0B3EC78C" w14:textId="77777777" w:rsidR="00AC2879" w:rsidRDefault="00AC2879">
            <w:pPr>
              <w:jc w:val="both"/>
              <w:rPr>
                <w:color w:val="000000"/>
                <w:sz w:val="22"/>
                <w:szCs w:val="22"/>
              </w:rPr>
            </w:pPr>
            <w:r>
              <w:rPr>
                <w:color w:val="000000"/>
                <w:sz w:val="22"/>
                <w:szCs w:val="22"/>
              </w:rPr>
              <w:t>Liječnici specijalisti</w:t>
            </w:r>
          </w:p>
        </w:tc>
        <w:tc>
          <w:tcPr>
            <w:tcW w:w="671" w:type="pct"/>
            <w:tcBorders>
              <w:top w:val="nil"/>
              <w:left w:val="nil"/>
              <w:bottom w:val="single" w:sz="4" w:space="0" w:color="auto"/>
              <w:right w:val="single" w:sz="4" w:space="0" w:color="auto"/>
            </w:tcBorders>
            <w:vAlign w:val="center"/>
            <w:hideMark/>
          </w:tcPr>
          <w:p w14:paraId="027A0D32" w14:textId="77777777" w:rsidR="00AC2879" w:rsidRDefault="00AC2879">
            <w:pPr>
              <w:jc w:val="right"/>
              <w:rPr>
                <w:color w:val="000000"/>
                <w:sz w:val="22"/>
                <w:szCs w:val="22"/>
              </w:rPr>
            </w:pPr>
            <w:r>
              <w:rPr>
                <w:color w:val="000000"/>
                <w:sz w:val="22"/>
                <w:szCs w:val="22"/>
              </w:rPr>
              <w:t>22.200,00</w:t>
            </w:r>
          </w:p>
        </w:tc>
      </w:tr>
      <w:tr w:rsidR="00AC2879" w14:paraId="7EEBE0FC" w14:textId="77777777" w:rsidTr="00AC2879">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30BB6C6D" w14:textId="77777777" w:rsidR="00AC2879" w:rsidRDefault="00AC2879">
            <w:pPr>
              <w:jc w:val="right"/>
              <w:rPr>
                <w:b/>
                <w:bCs/>
                <w:color w:val="000000"/>
                <w:sz w:val="22"/>
                <w:szCs w:val="22"/>
              </w:rPr>
            </w:pPr>
            <w:r>
              <w:rPr>
                <w:b/>
                <w:bCs/>
                <w:color w:val="000000"/>
                <w:sz w:val="22"/>
                <w:szCs w:val="22"/>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213B6705" w14:textId="65F4C4F0" w:rsidR="00AC2879" w:rsidRDefault="00D01C9F">
            <w:pPr>
              <w:jc w:val="right"/>
              <w:rPr>
                <w:b/>
                <w:bCs/>
                <w:color w:val="000000"/>
                <w:sz w:val="22"/>
                <w:szCs w:val="22"/>
              </w:rPr>
            </w:pPr>
            <w:r>
              <w:rPr>
                <w:b/>
                <w:bCs/>
                <w:color w:val="000000"/>
                <w:sz w:val="22"/>
                <w:szCs w:val="22"/>
              </w:rPr>
              <w:t>769.740</w:t>
            </w:r>
            <w:r w:rsidR="00AC2879">
              <w:rPr>
                <w:b/>
                <w:bCs/>
                <w:color w:val="000000"/>
                <w:sz w:val="22"/>
                <w:szCs w:val="22"/>
              </w:rPr>
              <w:t>,00</w:t>
            </w:r>
          </w:p>
        </w:tc>
      </w:tr>
    </w:tbl>
    <w:p w14:paraId="3A233043" w14:textId="77777777" w:rsidR="00AC2879" w:rsidRDefault="00AC2879" w:rsidP="00AC2879">
      <w:pPr>
        <w:autoSpaceDE w:val="0"/>
        <w:autoSpaceDN w:val="0"/>
        <w:adjustRightInd w:val="0"/>
        <w:ind w:firstLine="708"/>
        <w:jc w:val="both"/>
      </w:pPr>
    </w:p>
    <w:p w14:paraId="72FF58F9" w14:textId="77777777" w:rsidR="00AC2879" w:rsidRDefault="00AC2879" w:rsidP="00AC2879">
      <w:pPr>
        <w:autoSpaceDE w:val="0"/>
        <w:autoSpaceDN w:val="0"/>
        <w:adjustRightInd w:val="0"/>
        <w:ind w:firstLine="708"/>
        <w:jc w:val="both"/>
      </w:pPr>
    </w:p>
    <w:p w14:paraId="4905321B" w14:textId="77777777" w:rsidR="00AC2879" w:rsidRDefault="00AC2879" w:rsidP="00AC2879">
      <w:pPr>
        <w:autoSpaceDE w:val="0"/>
        <w:autoSpaceDN w:val="0"/>
        <w:adjustRightInd w:val="0"/>
        <w:ind w:firstLine="708"/>
        <w:jc w:val="both"/>
      </w:pPr>
    </w:p>
    <w:p w14:paraId="67601424" w14:textId="3E322FD8" w:rsidR="00AC2879" w:rsidRDefault="00AC2879" w:rsidP="00AC2879">
      <w:pPr>
        <w:ind w:firstLine="708"/>
        <w:jc w:val="both"/>
      </w:pPr>
      <w:r>
        <w:t>Sijedom navedenog, predlaže se Gradskom vijeću Grada Koprivnice donošenje Programa javnih potreba u socijalnoj skrbi i zdravstvu Grada Koprivnice za 202</w:t>
      </w:r>
      <w:r w:rsidR="00D01C9F">
        <w:t>5</w:t>
      </w:r>
      <w:r>
        <w:t>. godinu.</w:t>
      </w:r>
    </w:p>
    <w:p w14:paraId="6BF19D37" w14:textId="77777777" w:rsidR="00AC2879" w:rsidRDefault="00AC2879" w:rsidP="00AC2879">
      <w:pPr>
        <w:jc w:val="both"/>
      </w:pPr>
      <w:r>
        <w:tab/>
      </w:r>
    </w:p>
    <w:p w14:paraId="2F2935A7" w14:textId="77777777" w:rsidR="00AC2879" w:rsidRDefault="00AC2879" w:rsidP="00AC2879">
      <w:pPr>
        <w:jc w:val="center"/>
        <w:rPr>
          <w:rFonts w:eastAsia="Calibri"/>
          <w:lang w:eastAsia="en-US"/>
        </w:rPr>
      </w:pPr>
    </w:p>
    <w:p w14:paraId="5AFC0615" w14:textId="77777777" w:rsidR="00AC2879" w:rsidRDefault="00AC2879" w:rsidP="00AC2879">
      <w:pPr>
        <w:ind w:firstLine="720"/>
        <w:jc w:val="both"/>
        <w:rPr>
          <w:rFonts w:eastAsia="Calibri"/>
          <w:lang w:eastAsia="en-US"/>
        </w:rPr>
      </w:pPr>
    </w:p>
    <w:p w14:paraId="1182393C" w14:textId="77777777" w:rsidR="00AC2879" w:rsidRDefault="00AC2879" w:rsidP="00AC2879">
      <w:pPr>
        <w:jc w:val="both"/>
        <w:rPr>
          <w:rFonts w:eastAsia="Calibri"/>
          <w:lang w:eastAsia="en-US"/>
        </w:rPr>
      </w:pPr>
    </w:p>
    <w:tbl>
      <w:tblPr>
        <w:tblW w:w="0" w:type="auto"/>
        <w:tblLook w:val="04A0" w:firstRow="1" w:lastRow="0" w:firstColumn="1" w:lastColumn="0" w:noHBand="0" w:noVBand="1"/>
      </w:tblPr>
      <w:tblGrid>
        <w:gridCol w:w="4361"/>
        <w:gridCol w:w="1309"/>
        <w:gridCol w:w="3392"/>
      </w:tblGrid>
      <w:tr w:rsidR="00AC2879" w14:paraId="078ACA9A" w14:textId="77777777" w:rsidTr="00AC2879">
        <w:tc>
          <w:tcPr>
            <w:tcW w:w="4361" w:type="dxa"/>
            <w:hideMark/>
          </w:tcPr>
          <w:p w14:paraId="4BDA71F6" w14:textId="77777777" w:rsidR="00AC2879" w:rsidRDefault="00AC2879">
            <w:pPr>
              <w:jc w:val="both"/>
              <w:rPr>
                <w:rFonts w:eastAsia="Calibri"/>
                <w:lang w:eastAsia="en-US"/>
              </w:rPr>
            </w:pPr>
            <w:r>
              <w:rPr>
                <w:rFonts w:eastAsia="Calibri"/>
                <w:lang w:eastAsia="en-US"/>
              </w:rPr>
              <w:t>Nositelj izrade:</w:t>
            </w:r>
          </w:p>
        </w:tc>
        <w:tc>
          <w:tcPr>
            <w:tcW w:w="1309" w:type="dxa"/>
          </w:tcPr>
          <w:p w14:paraId="1652C8EE" w14:textId="77777777" w:rsidR="00AC2879" w:rsidRDefault="00AC2879">
            <w:pPr>
              <w:jc w:val="both"/>
              <w:rPr>
                <w:rFonts w:eastAsia="Calibri"/>
                <w:lang w:eastAsia="en-US"/>
              </w:rPr>
            </w:pPr>
          </w:p>
        </w:tc>
        <w:tc>
          <w:tcPr>
            <w:tcW w:w="3392" w:type="dxa"/>
            <w:hideMark/>
          </w:tcPr>
          <w:p w14:paraId="00F30EC8" w14:textId="77777777" w:rsidR="00AC2879" w:rsidRDefault="00AC2879">
            <w:pPr>
              <w:jc w:val="both"/>
              <w:rPr>
                <w:rFonts w:eastAsia="Calibri"/>
                <w:lang w:eastAsia="en-US"/>
              </w:rPr>
            </w:pPr>
            <w:r>
              <w:rPr>
                <w:rFonts w:eastAsia="Calibri"/>
                <w:lang w:eastAsia="en-US"/>
              </w:rPr>
              <w:t>Predlagatelj akta:</w:t>
            </w:r>
          </w:p>
        </w:tc>
      </w:tr>
      <w:tr w:rsidR="00AC2879" w14:paraId="3B077AFB" w14:textId="77777777" w:rsidTr="00AC2879">
        <w:tc>
          <w:tcPr>
            <w:tcW w:w="4361" w:type="dxa"/>
            <w:hideMark/>
          </w:tcPr>
          <w:p w14:paraId="728B3568" w14:textId="77777777" w:rsidR="00AC2879" w:rsidRDefault="00AC2879">
            <w:pPr>
              <w:jc w:val="both"/>
              <w:rPr>
                <w:rFonts w:eastAsia="Calibri"/>
                <w:lang w:eastAsia="en-US"/>
              </w:rPr>
            </w:pPr>
            <w:r>
              <w:rPr>
                <w:rFonts w:eastAsia="Calibri"/>
                <w:lang w:eastAsia="en-US"/>
              </w:rPr>
              <w:t>Upravni odjel za društvene djelatnosti</w:t>
            </w:r>
          </w:p>
        </w:tc>
        <w:tc>
          <w:tcPr>
            <w:tcW w:w="1309" w:type="dxa"/>
          </w:tcPr>
          <w:p w14:paraId="618CDCB7" w14:textId="77777777" w:rsidR="00AC2879" w:rsidRDefault="00AC2879">
            <w:pPr>
              <w:jc w:val="both"/>
              <w:rPr>
                <w:rFonts w:eastAsia="Calibri"/>
                <w:lang w:eastAsia="en-US"/>
              </w:rPr>
            </w:pPr>
          </w:p>
          <w:p w14:paraId="73FC395C" w14:textId="77777777" w:rsidR="00AC2879" w:rsidRDefault="00AC2879">
            <w:pPr>
              <w:jc w:val="both"/>
              <w:rPr>
                <w:rFonts w:eastAsia="Calibri"/>
                <w:lang w:eastAsia="en-US"/>
              </w:rPr>
            </w:pPr>
          </w:p>
        </w:tc>
        <w:tc>
          <w:tcPr>
            <w:tcW w:w="3392" w:type="dxa"/>
          </w:tcPr>
          <w:p w14:paraId="2E31794E" w14:textId="77777777" w:rsidR="00AC2879" w:rsidRDefault="00AC2879">
            <w:pPr>
              <w:jc w:val="both"/>
              <w:rPr>
                <w:rFonts w:eastAsia="Calibri"/>
                <w:lang w:eastAsia="en-US"/>
              </w:rPr>
            </w:pPr>
          </w:p>
        </w:tc>
      </w:tr>
      <w:tr w:rsidR="00AC2879" w14:paraId="0BE91AE8" w14:textId="77777777" w:rsidTr="00AC2879">
        <w:tc>
          <w:tcPr>
            <w:tcW w:w="4361" w:type="dxa"/>
          </w:tcPr>
          <w:p w14:paraId="2905BA43" w14:textId="77777777" w:rsidR="00AC2879" w:rsidRDefault="00AC2879">
            <w:pPr>
              <w:jc w:val="both"/>
              <w:rPr>
                <w:rFonts w:eastAsia="Calibri"/>
                <w:lang w:eastAsia="en-US"/>
              </w:rPr>
            </w:pPr>
            <w:r>
              <w:rPr>
                <w:rFonts w:eastAsia="Calibri"/>
                <w:lang w:eastAsia="en-US"/>
              </w:rPr>
              <w:t>PROČELNICA:</w:t>
            </w:r>
          </w:p>
          <w:p w14:paraId="5BC77654" w14:textId="77777777" w:rsidR="00AC2879" w:rsidRDefault="00AC2879">
            <w:pPr>
              <w:jc w:val="both"/>
              <w:rPr>
                <w:rFonts w:eastAsia="Calibri"/>
                <w:lang w:eastAsia="en-US"/>
              </w:rPr>
            </w:pPr>
          </w:p>
        </w:tc>
        <w:tc>
          <w:tcPr>
            <w:tcW w:w="1309" w:type="dxa"/>
          </w:tcPr>
          <w:p w14:paraId="0E135421" w14:textId="77777777" w:rsidR="00AC2879" w:rsidRDefault="00AC2879">
            <w:pPr>
              <w:jc w:val="both"/>
              <w:rPr>
                <w:rFonts w:eastAsia="Calibri"/>
                <w:lang w:eastAsia="en-US"/>
              </w:rPr>
            </w:pPr>
          </w:p>
        </w:tc>
        <w:tc>
          <w:tcPr>
            <w:tcW w:w="3392" w:type="dxa"/>
            <w:hideMark/>
          </w:tcPr>
          <w:p w14:paraId="168F20C6" w14:textId="77777777" w:rsidR="00AC2879" w:rsidRDefault="00AC2879">
            <w:pPr>
              <w:jc w:val="both"/>
              <w:rPr>
                <w:rFonts w:eastAsia="Calibri"/>
                <w:lang w:eastAsia="en-US"/>
              </w:rPr>
            </w:pPr>
            <w:r>
              <w:rPr>
                <w:rFonts w:eastAsia="Calibri"/>
                <w:lang w:eastAsia="en-US"/>
              </w:rPr>
              <w:t>GRADONAČELNIK:</w:t>
            </w:r>
          </w:p>
        </w:tc>
      </w:tr>
      <w:tr w:rsidR="00AC2879" w14:paraId="79E46B06" w14:textId="77777777" w:rsidTr="00AC2879">
        <w:tc>
          <w:tcPr>
            <w:tcW w:w="4361" w:type="dxa"/>
            <w:hideMark/>
          </w:tcPr>
          <w:p w14:paraId="08B9FAFF" w14:textId="77777777" w:rsidR="00AC2879" w:rsidRDefault="00AC2879">
            <w:pPr>
              <w:jc w:val="both"/>
              <w:rPr>
                <w:rFonts w:eastAsia="Calibri"/>
                <w:lang w:eastAsia="en-US"/>
              </w:rPr>
            </w:pPr>
            <w:r>
              <w:rPr>
                <w:rFonts w:eastAsia="Calibri"/>
                <w:lang w:eastAsia="en-US"/>
              </w:rPr>
              <w:t xml:space="preserve">Ana Mlinarić, dipl. </w:t>
            </w:r>
            <w:proofErr w:type="spellStart"/>
            <w:r>
              <w:rPr>
                <w:rFonts w:eastAsia="Calibri"/>
                <w:lang w:eastAsia="en-US"/>
              </w:rPr>
              <w:t>soc</w:t>
            </w:r>
            <w:proofErr w:type="spellEnd"/>
            <w:r>
              <w:rPr>
                <w:rFonts w:eastAsia="Calibri"/>
                <w:lang w:eastAsia="en-US"/>
              </w:rPr>
              <w:t>. rad.</w:t>
            </w:r>
          </w:p>
        </w:tc>
        <w:tc>
          <w:tcPr>
            <w:tcW w:w="1309" w:type="dxa"/>
          </w:tcPr>
          <w:p w14:paraId="61DEAB67" w14:textId="77777777" w:rsidR="00AC2879" w:rsidRDefault="00AC2879">
            <w:pPr>
              <w:jc w:val="both"/>
              <w:rPr>
                <w:rFonts w:eastAsia="Calibri"/>
                <w:lang w:eastAsia="en-US"/>
              </w:rPr>
            </w:pPr>
          </w:p>
        </w:tc>
        <w:tc>
          <w:tcPr>
            <w:tcW w:w="3392" w:type="dxa"/>
            <w:hideMark/>
          </w:tcPr>
          <w:p w14:paraId="3662730C" w14:textId="77777777" w:rsidR="00AC2879" w:rsidRDefault="00AC2879">
            <w:pPr>
              <w:jc w:val="both"/>
              <w:rPr>
                <w:rFonts w:eastAsia="Calibri"/>
                <w:lang w:eastAsia="en-US"/>
              </w:rPr>
            </w:pPr>
            <w:r>
              <w:rPr>
                <w:rFonts w:eastAsia="Calibri"/>
                <w:lang w:eastAsia="en-US"/>
              </w:rPr>
              <w:t xml:space="preserve">Mišel Jakšić, dipl. </w:t>
            </w:r>
            <w:proofErr w:type="spellStart"/>
            <w:r>
              <w:rPr>
                <w:rFonts w:eastAsia="Calibri"/>
                <w:lang w:eastAsia="en-US"/>
              </w:rPr>
              <w:t>oec</w:t>
            </w:r>
            <w:proofErr w:type="spellEnd"/>
            <w:r>
              <w:rPr>
                <w:rFonts w:eastAsia="Calibri"/>
                <w:lang w:eastAsia="en-US"/>
              </w:rPr>
              <w:t>.</w:t>
            </w:r>
          </w:p>
        </w:tc>
      </w:tr>
      <w:tr w:rsidR="00AC2879" w14:paraId="41AEFE86" w14:textId="77777777" w:rsidTr="00AC2879">
        <w:tc>
          <w:tcPr>
            <w:tcW w:w="4361" w:type="dxa"/>
          </w:tcPr>
          <w:p w14:paraId="4AEAB2F3" w14:textId="77777777" w:rsidR="00AC2879" w:rsidRDefault="00AC2879">
            <w:pPr>
              <w:jc w:val="both"/>
              <w:rPr>
                <w:rFonts w:eastAsia="Calibri"/>
                <w:lang w:eastAsia="en-US"/>
              </w:rPr>
            </w:pPr>
          </w:p>
        </w:tc>
        <w:tc>
          <w:tcPr>
            <w:tcW w:w="1309" w:type="dxa"/>
          </w:tcPr>
          <w:p w14:paraId="28DFF22A" w14:textId="77777777" w:rsidR="00AC2879" w:rsidRDefault="00AC2879">
            <w:pPr>
              <w:jc w:val="both"/>
              <w:rPr>
                <w:rFonts w:eastAsia="Calibri"/>
                <w:lang w:eastAsia="en-US"/>
              </w:rPr>
            </w:pPr>
          </w:p>
        </w:tc>
        <w:tc>
          <w:tcPr>
            <w:tcW w:w="3392" w:type="dxa"/>
          </w:tcPr>
          <w:p w14:paraId="3259FF96" w14:textId="77777777" w:rsidR="00AC2879" w:rsidRDefault="00AC2879">
            <w:pPr>
              <w:jc w:val="both"/>
              <w:rPr>
                <w:rFonts w:eastAsia="Calibri"/>
                <w:lang w:eastAsia="en-US"/>
              </w:rPr>
            </w:pPr>
          </w:p>
        </w:tc>
      </w:tr>
    </w:tbl>
    <w:p w14:paraId="71673D22" w14:textId="77777777" w:rsidR="00AC2879" w:rsidRDefault="00AC2879" w:rsidP="00AC2879"/>
    <w:p w14:paraId="20A1351E" w14:textId="77777777" w:rsidR="00AC2879" w:rsidRDefault="00AC2879" w:rsidP="00AC2879">
      <w:pPr>
        <w:jc w:val="center"/>
      </w:pPr>
    </w:p>
    <w:p w14:paraId="637F8BCD" w14:textId="77777777" w:rsidR="00AC2879" w:rsidRDefault="00AC2879" w:rsidP="00AC2879"/>
    <w:p w14:paraId="2F231163" w14:textId="77777777" w:rsidR="00AC2879" w:rsidRDefault="00AC2879" w:rsidP="00AC2879"/>
    <w:p w14:paraId="5CBB7B2B" w14:textId="28332535" w:rsidR="00611B44" w:rsidRPr="00D01A73" w:rsidRDefault="00611B44" w:rsidP="00E12E74"/>
    <w:sectPr w:rsidR="00611B44" w:rsidRPr="00D01A73" w:rsidSect="00A32554">
      <w:footerReference w:type="default" r:id="rId6"/>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4D330C" w14:textId="77777777" w:rsidR="0041188D" w:rsidRDefault="0041188D">
      <w:r>
        <w:separator/>
      </w:r>
    </w:p>
  </w:endnote>
  <w:endnote w:type="continuationSeparator" w:id="0">
    <w:p w14:paraId="6074B00C" w14:textId="77777777" w:rsidR="0041188D" w:rsidRDefault="00411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D01C9F"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067D79" w14:textId="77777777" w:rsidR="0041188D" w:rsidRDefault="0041188D">
      <w:r>
        <w:separator/>
      </w:r>
    </w:p>
  </w:footnote>
  <w:footnote w:type="continuationSeparator" w:id="0">
    <w:p w14:paraId="01CCC149" w14:textId="77777777" w:rsidR="0041188D" w:rsidRDefault="004118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4C8E"/>
    <w:rsid w:val="00080328"/>
    <w:rsid w:val="00085FFF"/>
    <w:rsid w:val="000A3497"/>
    <w:rsid w:val="000A3BCA"/>
    <w:rsid w:val="000A79A0"/>
    <w:rsid w:val="000A7CE8"/>
    <w:rsid w:val="000B0EF9"/>
    <w:rsid w:val="000C10B9"/>
    <w:rsid w:val="000C1FB7"/>
    <w:rsid w:val="000D6B78"/>
    <w:rsid w:val="000D77A1"/>
    <w:rsid w:val="000E73B3"/>
    <w:rsid w:val="00127FD4"/>
    <w:rsid w:val="001346E0"/>
    <w:rsid w:val="001471FB"/>
    <w:rsid w:val="001B7795"/>
    <w:rsid w:val="001D627E"/>
    <w:rsid w:val="001E01B9"/>
    <w:rsid w:val="001E5EE1"/>
    <w:rsid w:val="001F3335"/>
    <w:rsid w:val="00217404"/>
    <w:rsid w:val="00254FFB"/>
    <w:rsid w:val="00281F0A"/>
    <w:rsid w:val="002C1AA1"/>
    <w:rsid w:val="002D73C0"/>
    <w:rsid w:val="002E742C"/>
    <w:rsid w:val="002F06F8"/>
    <w:rsid w:val="002F599A"/>
    <w:rsid w:val="00317AD4"/>
    <w:rsid w:val="003502B7"/>
    <w:rsid w:val="00353ACF"/>
    <w:rsid w:val="003B07B2"/>
    <w:rsid w:val="003B4CDF"/>
    <w:rsid w:val="003C0B73"/>
    <w:rsid w:val="003C3CC4"/>
    <w:rsid w:val="003C7570"/>
    <w:rsid w:val="003D5D0A"/>
    <w:rsid w:val="0041188D"/>
    <w:rsid w:val="004466BF"/>
    <w:rsid w:val="00446CED"/>
    <w:rsid w:val="0045196B"/>
    <w:rsid w:val="004526B6"/>
    <w:rsid w:val="004749F3"/>
    <w:rsid w:val="004F5EAB"/>
    <w:rsid w:val="00513260"/>
    <w:rsid w:val="0051330C"/>
    <w:rsid w:val="00543AE6"/>
    <w:rsid w:val="00580686"/>
    <w:rsid w:val="00590216"/>
    <w:rsid w:val="00597812"/>
    <w:rsid w:val="00602401"/>
    <w:rsid w:val="00611B44"/>
    <w:rsid w:val="0061291E"/>
    <w:rsid w:val="00635D83"/>
    <w:rsid w:val="00636B90"/>
    <w:rsid w:val="00640486"/>
    <w:rsid w:val="00647CB6"/>
    <w:rsid w:val="00661DCA"/>
    <w:rsid w:val="006712B7"/>
    <w:rsid w:val="006921E6"/>
    <w:rsid w:val="006B490A"/>
    <w:rsid w:val="007204B5"/>
    <w:rsid w:val="0072201D"/>
    <w:rsid w:val="00772C92"/>
    <w:rsid w:val="007807AD"/>
    <w:rsid w:val="0078495E"/>
    <w:rsid w:val="007E51EC"/>
    <w:rsid w:val="007F22FD"/>
    <w:rsid w:val="007F3D13"/>
    <w:rsid w:val="007F41AB"/>
    <w:rsid w:val="00835D8A"/>
    <w:rsid w:val="00856A74"/>
    <w:rsid w:val="00857B8E"/>
    <w:rsid w:val="00862CC1"/>
    <w:rsid w:val="00876372"/>
    <w:rsid w:val="008770A6"/>
    <w:rsid w:val="008D3AA6"/>
    <w:rsid w:val="008E4B08"/>
    <w:rsid w:val="0090739C"/>
    <w:rsid w:val="00987945"/>
    <w:rsid w:val="009B6D94"/>
    <w:rsid w:val="009D4CD1"/>
    <w:rsid w:val="009E0493"/>
    <w:rsid w:val="009F199D"/>
    <w:rsid w:val="00A1543D"/>
    <w:rsid w:val="00A32554"/>
    <w:rsid w:val="00A837C0"/>
    <w:rsid w:val="00AC2879"/>
    <w:rsid w:val="00AD5620"/>
    <w:rsid w:val="00AE3F9F"/>
    <w:rsid w:val="00AE7275"/>
    <w:rsid w:val="00B24E2E"/>
    <w:rsid w:val="00B25E9D"/>
    <w:rsid w:val="00B356AC"/>
    <w:rsid w:val="00B375EA"/>
    <w:rsid w:val="00B4739E"/>
    <w:rsid w:val="00B7391D"/>
    <w:rsid w:val="00B77C93"/>
    <w:rsid w:val="00B97A31"/>
    <w:rsid w:val="00BA3790"/>
    <w:rsid w:val="00C01F62"/>
    <w:rsid w:val="00C25A85"/>
    <w:rsid w:val="00C34B71"/>
    <w:rsid w:val="00C406F3"/>
    <w:rsid w:val="00C64046"/>
    <w:rsid w:val="00C82211"/>
    <w:rsid w:val="00C8267C"/>
    <w:rsid w:val="00C8445F"/>
    <w:rsid w:val="00CA30F5"/>
    <w:rsid w:val="00CC2AB8"/>
    <w:rsid w:val="00CD7D6A"/>
    <w:rsid w:val="00CF4A10"/>
    <w:rsid w:val="00D012D4"/>
    <w:rsid w:val="00D01A73"/>
    <w:rsid w:val="00D01C9F"/>
    <w:rsid w:val="00D07BAC"/>
    <w:rsid w:val="00D354EC"/>
    <w:rsid w:val="00D4466B"/>
    <w:rsid w:val="00D4565D"/>
    <w:rsid w:val="00D4606D"/>
    <w:rsid w:val="00D479D4"/>
    <w:rsid w:val="00D52D77"/>
    <w:rsid w:val="00D600B3"/>
    <w:rsid w:val="00D911FC"/>
    <w:rsid w:val="00DB4E95"/>
    <w:rsid w:val="00DD1A53"/>
    <w:rsid w:val="00DF3A81"/>
    <w:rsid w:val="00E12E74"/>
    <w:rsid w:val="00E13394"/>
    <w:rsid w:val="00E315E8"/>
    <w:rsid w:val="00E3458D"/>
    <w:rsid w:val="00E560CE"/>
    <w:rsid w:val="00E939E8"/>
    <w:rsid w:val="00EC0865"/>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 w:type="paragraph" w:styleId="Revizija">
    <w:name w:val="Revision"/>
    <w:hidden/>
    <w:uiPriority w:val="99"/>
    <w:semiHidden/>
    <w:rsid w:val="00E560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177604">
      <w:bodyDiv w:val="1"/>
      <w:marLeft w:val="0"/>
      <w:marRight w:val="0"/>
      <w:marTop w:val="0"/>
      <w:marBottom w:val="0"/>
      <w:divBdr>
        <w:top w:val="none" w:sz="0" w:space="0" w:color="auto"/>
        <w:left w:val="none" w:sz="0" w:space="0" w:color="auto"/>
        <w:bottom w:val="none" w:sz="0" w:space="0" w:color="auto"/>
        <w:right w:val="none" w:sz="0" w:space="0" w:color="auto"/>
      </w:divBdr>
    </w:div>
    <w:div w:id="2022318208">
      <w:bodyDiv w:val="1"/>
      <w:marLeft w:val="0"/>
      <w:marRight w:val="0"/>
      <w:marTop w:val="0"/>
      <w:marBottom w:val="0"/>
      <w:divBdr>
        <w:top w:val="none" w:sz="0" w:space="0" w:color="auto"/>
        <w:left w:val="none" w:sz="0" w:space="0" w:color="auto"/>
        <w:bottom w:val="none" w:sz="0" w:space="0" w:color="auto"/>
        <w:right w:val="none" w:sz="0" w:space="0" w:color="auto"/>
      </w:divBdr>
    </w:div>
    <w:div w:id="2079088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541</Words>
  <Characters>3399</Characters>
  <Application>Microsoft Office Word</Application>
  <DocSecurity>0</DocSecurity>
  <Lines>28</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6</cp:revision>
  <cp:lastPrinted>2024-11-20T07:39:00Z</cp:lastPrinted>
  <dcterms:created xsi:type="dcterms:W3CDTF">2024-11-14T06:30:00Z</dcterms:created>
  <dcterms:modified xsi:type="dcterms:W3CDTF">2024-11-20T07:39:00Z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