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17D1C" w14:textId="77777777" w:rsidR="00C6444B" w:rsidRPr="00C6444B" w:rsidRDefault="00E81F55" w:rsidP="00C6444B">
      <w:pPr>
        <w:jc w:val="both"/>
      </w:pPr>
      <w:bookmarkStart w:id="0" w:name="_Hlk529431559"/>
      <w:r w:rsidRPr="00C6444B">
        <w:t>Na temelju članka 67. Zakona o komunalnom gospodarstvu (“Narodne novine” broj 68/18</w:t>
      </w:r>
      <w:r w:rsidRPr="00C6444B">
        <w:rPr>
          <w:bCs/>
        </w:rPr>
        <w:t>., 110/18. i 32/20.</w:t>
      </w:r>
      <w:r w:rsidRPr="00C6444B">
        <w:t xml:space="preserve">), i članka 40. Statuta Grada Koprivnice (“Glasnik Grada Koprivnice” broj 4/09., 1/12., 1/13., 3/13. – pročišćeni tekst 1/18., 2/20. i 1/21.) Gradsko vijeće Grada Koprivnice na 22. sjednici održanoj 19.12. 2024. godine, donijelo je </w:t>
      </w:r>
    </w:p>
    <w:p w14:paraId="3D097952" w14:textId="77777777" w:rsidR="00C6444B" w:rsidRPr="00C6444B" w:rsidRDefault="00C6444B" w:rsidP="00C6444B">
      <w:pPr>
        <w:rPr>
          <w:b/>
        </w:rPr>
      </w:pPr>
    </w:p>
    <w:p w14:paraId="2F800E5D" w14:textId="77777777" w:rsidR="00C6444B" w:rsidRPr="00C6444B" w:rsidRDefault="00C6444B" w:rsidP="00C6444B">
      <w:pPr>
        <w:rPr>
          <w:b/>
        </w:rPr>
      </w:pPr>
    </w:p>
    <w:p w14:paraId="5EB3DBE0" w14:textId="6195FC44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P R O G R A M</w:t>
      </w:r>
    </w:p>
    <w:p w14:paraId="35071544" w14:textId="77777777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o II. izmjenama Programa građenja komunalne infrastrukture na području grada Koprivnice za 2024. godinu</w:t>
      </w:r>
    </w:p>
    <w:bookmarkEnd w:id="0"/>
    <w:p w14:paraId="6BC792F7" w14:textId="77777777" w:rsidR="00C6444B" w:rsidRPr="00C6444B" w:rsidRDefault="00C6444B" w:rsidP="00C6444B"/>
    <w:p w14:paraId="625DEF96" w14:textId="77777777" w:rsidR="00C6444B" w:rsidRPr="00C6444B" w:rsidRDefault="00C6444B" w:rsidP="00C6444B"/>
    <w:p w14:paraId="48BD3006" w14:textId="77777777" w:rsidR="00C6444B" w:rsidRPr="00C6444B" w:rsidRDefault="00C6444B" w:rsidP="00C6444B"/>
    <w:p w14:paraId="1CE82A8D" w14:textId="6C736D0C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Članak 1.</w:t>
      </w:r>
    </w:p>
    <w:p w14:paraId="11B52AEF" w14:textId="77777777" w:rsidR="00C6444B" w:rsidRPr="00C6444B" w:rsidRDefault="00C6444B" w:rsidP="00C6444B">
      <w:pPr>
        <w:rPr>
          <w:sz w:val="12"/>
          <w:szCs w:val="12"/>
        </w:rPr>
      </w:pPr>
    </w:p>
    <w:p w14:paraId="6E3CBFC7" w14:textId="77777777" w:rsidR="00C6444B" w:rsidRPr="00C6444B" w:rsidRDefault="00E81F55" w:rsidP="009E3BBA">
      <w:pPr>
        <w:jc w:val="both"/>
      </w:pPr>
      <w:r w:rsidRPr="00C6444B">
        <w:rPr>
          <w:bCs/>
        </w:rPr>
        <w:t xml:space="preserve">U Programu građenja komunalne infrastrukture na području Grada Koprivnice za 2024. godinu </w:t>
      </w:r>
      <w:r w:rsidRPr="00C6444B">
        <w:t>(“Glasnik Grada Koprivnice” broj 07/23)</w:t>
      </w:r>
      <w:r w:rsidRPr="00C6444B">
        <w:rPr>
          <w:bCs/>
        </w:rPr>
        <w:t xml:space="preserve">, </w:t>
      </w:r>
      <w:r w:rsidRPr="00C6444B">
        <w:t>te u Programu o I. izmjenama Programa građenja komunalne infrastrukture na području grada Koprivnice za 2024. godinu  (“Glasnik Grada Koprivnice” broj 06/24) Točka II mijenja se i glasi:</w:t>
      </w:r>
    </w:p>
    <w:p w14:paraId="3C781BEB" w14:textId="77777777" w:rsidR="00C6444B" w:rsidRPr="00C6444B" w:rsidRDefault="00C6444B" w:rsidP="00C6444B"/>
    <w:p w14:paraId="66D3E155" w14:textId="77777777" w:rsidR="00C6444B" w:rsidRDefault="00E81F55" w:rsidP="00C6444B">
      <w:pPr>
        <w:rPr>
          <w:b/>
        </w:rPr>
      </w:pPr>
      <w:r w:rsidRPr="00C6444B">
        <w:rPr>
          <w:b/>
        </w:rPr>
        <w:t>„II. GRAĐENJE KOMUNALNE INFRASTRUKTURE</w:t>
      </w:r>
    </w:p>
    <w:p w14:paraId="604ECEF6" w14:textId="77777777" w:rsidR="00C6444B" w:rsidRPr="00C6444B" w:rsidRDefault="00C6444B" w:rsidP="00C6444B">
      <w:pPr>
        <w:rPr>
          <w:b/>
        </w:rPr>
      </w:pPr>
    </w:p>
    <w:p w14:paraId="69786759" w14:textId="2AE2DA37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Članak 3.</w:t>
      </w:r>
    </w:p>
    <w:p w14:paraId="4B21A9A2" w14:textId="77777777" w:rsidR="00C6444B" w:rsidRPr="00C6444B" w:rsidRDefault="00C6444B" w:rsidP="00C6444B">
      <w:pPr>
        <w:rPr>
          <w:b/>
          <w:sz w:val="12"/>
          <w:szCs w:val="12"/>
        </w:rPr>
      </w:pPr>
    </w:p>
    <w:p w14:paraId="65757FB2" w14:textId="77777777" w:rsidR="00C6444B" w:rsidRPr="00C6444B" w:rsidRDefault="00E81F55" w:rsidP="00C6444B">
      <w:r w:rsidRPr="00C6444B">
        <w:t>Građevine komunalne infrastrukture obuhvaćene ovim Programom:</w:t>
      </w:r>
    </w:p>
    <w:p w14:paraId="67B0B351" w14:textId="77777777" w:rsidR="00C6444B" w:rsidRPr="00C6444B" w:rsidRDefault="00E81F55" w:rsidP="00C6444B">
      <w:r w:rsidRPr="00C6444B">
        <w:t>1.   nerazvrstane ceste, EKI i javna rasvjeta</w:t>
      </w:r>
    </w:p>
    <w:p w14:paraId="00DC1A99" w14:textId="77777777" w:rsidR="00C6444B" w:rsidRPr="00C6444B" w:rsidRDefault="00E81F55" w:rsidP="00C6444B">
      <w:r w:rsidRPr="00C6444B">
        <w:t>2.   javne prometne površine na kojima nije dopušten promet motornih vozila</w:t>
      </w:r>
    </w:p>
    <w:p w14:paraId="16F50FD7" w14:textId="77777777" w:rsidR="00C6444B" w:rsidRPr="00C6444B" w:rsidRDefault="00E81F55" w:rsidP="00C6444B">
      <w:r w:rsidRPr="00C6444B">
        <w:t>3.   javne zelene površine</w:t>
      </w:r>
    </w:p>
    <w:p w14:paraId="526D5DAF" w14:textId="77777777" w:rsidR="00C6444B" w:rsidRPr="00C6444B" w:rsidRDefault="00E81F55" w:rsidP="00C6444B">
      <w:r w:rsidRPr="00C6444B">
        <w:t>4.  druge građevine komunalne infrastrukture</w:t>
      </w:r>
    </w:p>
    <w:p w14:paraId="1D1F164A" w14:textId="447E1125" w:rsidR="00C6444B" w:rsidRPr="00C6444B" w:rsidRDefault="00E81F55" w:rsidP="00C6444B">
      <w:r w:rsidRPr="00C6444B">
        <w:t xml:space="preserve">       </w:t>
      </w:r>
    </w:p>
    <w:p w14:paraId="4CA6C85C" w14:textId="77777777" w:rsidR="00C6444B" w:rsidRPr="00C6444B" w:rsidRDefault="00E81F55" w:rsidP="00C6444B">
      <w:r w:rsidRPr="00C6444B">
        <w:t>U nastavku tablični prikaz:</w:t>
      </w:r>
    </w:p>
    <w:p w14:paraId="35614318" w14:textId="77777777" w:rsidR="00C6444B" w:rsidRPr="00C6444B" w:rsidRDefault="00C6444B" w:rsidP="00C6444B"/>
    <w:tbl>
      <w:tblPr>
        <w:tblW w:w="9160" w:type="dxa"/>
        <w:tblLook w:val="04A0" w:firstRow="1" w:lastRow="0" w:firstColumn="1" w:lastColumn="0" w:noHBand="0" w:noVBand="1"/>
      </w:tblPr>
      <w:tblGrid>
        <w:gridCol w:w="739"/>
        <w:gridCol w:w="4164"/>
        <w:gridCol w:w="1799"/>
        <w:gridCol w:w="2236"/>
        <w:gridCol w:w="222"/>
      </w:tblGrid>
      <w:tr w:rsidR="00AA36EF" w14:paraId="4EA7B618" w14:textId="77777777" w:rsidTr="009E3BBA">
        <w:trPr>
          <w:gridAfter w:val="1"/>
          <w:wAfter w:w="36" w:type="dxa"/>
          <w:trHeight w:val="276"/>
        </w:trPr>
        <w:tc>
          <w:tcPr>
            <w:tcW w:w="9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73A3248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</w:t>
            </w:r>
          </w:p>
        </w:tc>
      </w:tr>
      <w:tr w:rsidR="00AA36EF" w14:paraId="197888E7" w14:textId="77777777" w:rsidTr="009E3BBA">
        <w:trPr>
          <w:trHeight w:val="390"/>
        </w:trPr>
        <w:tc>
          <w:tcPr>
            <w:tcW w:w="9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13018A91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99F8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36EF" w14:paraId="063B5A51" w14:textId="77777777" w:rsidTr="009E3BBA">
        <w:trPr>
          <w:trHeight w:val="8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B62C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E18EEC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E4E1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4A00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1E4CE008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069FB03" w14:textId="77777777" w:rsidTr="009E3BBA">
        <w:trPr>
          <w:trHeight w:val="45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8CE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D30BB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infrastrukture u Ulici dr. Alberta Heinricha za proširenje stambene zone</w:t>
            </w:r>
          </w:p>
        </w:tc>
        <w:tc>
          <w:tcPr>
            <w:tcW w:w="36" w:type="dxa"/>
            <w:vAlign w:val="center"/>
            <w:hideMark/>
          </w:tcPr>
          <w:p w14:paraId="4C63817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8762AFA" w14:textId="77777777" w:rsidTr="009E3BBA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5A97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04AE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7F66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2D05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FBEDEC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A41EC91" w14:textId="77777777" w:rsidTr="009E3BBA">
        <w:trPr>
          <w:trHeight w:val="6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B7DC2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43326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5B1112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B854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36E51B9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4EA198F" w14:textId="77777777" w:rsidTr="009E3BBA">
        <w:trPr>
          <w:trHeight w:val="81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D3FA8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FE6BA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3271D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7090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00CAF37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DB0181A" w14:textId="77777777" w:rsidTr="009E3BBA">
        <w:trPr>
          <w:trHeight w:val="3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3ED2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EDC248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Proširenje stambene zone "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36" w:type="dxa"/>
            <w:vAlign w:val="center"/>
            <w:hideMark/>
          </w:tcPr>
          <w:p w14:paraId="3F43235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B9E8068" w14:textId="77777777" w:rsidTr="009E3BBA">
        <w:trPr>
          <w:trHeight w:val="84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6035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A507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B3DF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450.300,00 €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1994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FB9F2A5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13E162F" w14:textId="77777777" w:rsidTr="009E3BBA">
        <w:trPr>
          <w:trHeight w:val="54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0CECD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7114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0E79A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1E8E5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F606CE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153B15E" w14:textId="77777777" w:rsidTr="009E3BBA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5DB1E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40A21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573F9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E516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6037375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65BFF7D" w14:textId="77777777" w:rsidTr="009E3BBA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4109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3C09A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Proširenje poslovne zone "Radnička"</w:t>
            </w:r>
          </w:p>
        </w:tc>
        <w:tc>
          <w:tcPr>
            <w:tcW w:w="36" w:type="dxa"/>
            <w:vAlign w:val="center"/>
            <w:hideMark/>
          </w:tcPr>
          <w:p w14:paraId="4EB08E9D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01675F5" w14:textId="77777777" w:rsidTr="009E3BBA">
        <w:trPr>
          <w:trHeight w:val="99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522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542D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154C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222.600,00 €</w:t>
            </w:r>
          </w:p>
        </w:tc>
        <w:tc>
          <w:tcPr>
            <w:tcW w:w="22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BB0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BFC109E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2CFDC87" w14:textId="77777777" w:rsidTr="009E3BBA">
        <w:trPr>
          <w:trHeight w:val="6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81BCF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ABF1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40AEE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3FFC9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658AC1E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509E710" w14:textId="77777777" w:rsidTr="009E3BBA">
        <w:trPr>
          <w:trHeight w:val="63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C1AE3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022E7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37A061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866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26FFF941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5875846" w14:textId="77777777" w:rsidTr="009E3BBA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3059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59084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4EF5C4AF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5F6A4C2" w14:textId="77777777" w:rsidTr="009E3BBA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4214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DF281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Nastavak izrade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EE72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4C0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6848BDF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119DE8C" w14:textId="77777777" w:rsidTr="009E3BBA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698B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C9C69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poslovne zone "Radnička"</w:t>
            </w:r>
          </w:p>
        </w:tc>
        <w:tc>
          <w:tcPr>
            <w:tcW w:w="36" w:type="dxa"/>
            <w:vAlign w:val="center"/>
            <w:hideMark/>
          </w:tcPr>
          <w:p w14:paraId="28F95AB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072A238" w14:textId="77777777" w:rsidTr="009E3BBA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5FF3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C4DF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6AEA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24.000,00 €</w:t>
            </w:r>
          </w:p>
        </w:tc>
        <w:tc>
          <w:tcPr>
            <w:tcW w:w="22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6CEB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D2A7260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6AFF6D9" w14:textId="77777777" w:rsidTr="009E3BBA">
        <w:trPr>
          <w:trHeight w:val="64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613E9" w14:textId="77777777" w:rsidR="009E3BBA" w:rsidRDefault="009E3B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6BC1E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Nastavak izrade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BA902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F90F6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9590209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D888487" w14:textId="77777777" w:rsidTr="009E3BBA">
        <w:trPr>
          <w:trHeight w:val="4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CC07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A929A5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13AF778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D90521F" w14:textId="77777777" w:rsidTr="009E3BBA">
        <w:trPr>
          <w:trHeight w:val="6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01C4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D8410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 u svrhu ishođenja akata za gradnju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14B5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34C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1D9F912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11832515" w14:textId="77777777" w:rsidTr="009E3BBA">
        <w:trPr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37A4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827A3F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98C3D7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1.418.900,00 €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DD9BB" w14:textId="77777777" w:rsidR="009E3BBA" w:rsidRDefault="00E81F5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0B6D7D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55BB7BD" w14:textId="77777777" w:rsidTr="009E3BBA">
        <w:trPr>
          <w:trHeight w:val="1215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323F2A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AE125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1.418.900,00 €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03470A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2C90899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16A3AEF" w14:textId="77777777" w:rsidTr="009E3BBA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4A58E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FEE89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ECF38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05BD4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3CFAE9B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EFFA50D" w14:textId="77777777" w:rsidTr="009E3BBA">
        <w:trPr>
          <w:trHeight w:val="375"/>
        </w:trPr>
        <w:tc>
          <w:tcPr>
            <w:tcW w:w="9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63DFBC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  <w:tc>
          <w:tcPr>
            <w:tcW w:w="36" w:type="dxa"/>
            <w:vAlign w:val="center"/>
            <w:hideMark/>
          </w:tcPr>
          <w:p w14:paraId="798ADAF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2EA71C1" w14:textId="77777777" w:rsidTr="009E3BBA">
        <w:trPr>
          <w:trHeight w:val="375"/>
        </w:trPr>
        <w:tc>
          <w:tcPr>
            <w:tcW w:w="9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C3DC" w14:textId="77777777" w:rsidR="009E3BBA" w:rsidRDefault="009E3B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8420" w14:textId="77777777" w:rsidR="009E3BBA" w:rsidRDefault="009E3BB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A36EF" w14:paraId="7F49E300" w14:textId="77777777" w:rsidTr="009E3BBA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C071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5AC42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2775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9848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B6AE7C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774A67B" w14:textId="77777777" w:rsidTr="009E3BBA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7BFF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FCF5D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Ulice I. Mažuranića, Starogradske i </w:t>
            </w:r>
            <w:proofErr w:type="spellStart"/>
            <w:r>
              <w:rPr>
                <w:b/>
                <w:bCs/>
                <w:sz w:val="22"/>
                <w:szCs w:val="22"/>
              </w:rPr>
              <w:t>Špoljarske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3762E19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FFEB68F" w14:textId="77777777" w:rsidTr="009E3BBA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3F9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1187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391E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075F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254885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7D96AD7" w14:textId="77777777" w:rsidTr="009E3BBA">
        <w:trPr>
          <w:trHeight w:val="60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AE870F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0EB5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121CC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8C78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532B86A6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E1C999F" w14:textId="77777777" w:rsidTr="009E3BBA">
        <w:trPr>
          <w:trHeight w:val="5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A074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86FD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0373B3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A610F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4EA5DC8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9EA523B" w14:textId="77777777" w:rsidTr="009E3BBA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C0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80F52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Kružno raskrižje na spoju državnih cesta DC2 i DC20 te </w:t>
            </w:r>
            <w:proofErr w:type="spellStart"/>
            <w:r>
              <w:rPr>
                <w:b/>
                <w:bCs/>
                <w:sz w:val="22"/>
                <w:szCs w:val="22"/>
              </w:rPr>
              <w:t>Starčevićeve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ulice</w:t>
            </w:r>
          </w:p>
        </w:tc>
        <w:tc>
          <w:tcPr>
            <w:tcW w:w="36" w:type="dxa"/>
            <w:vAlign w:val="center"/>
            <w:hideMark/>
          </w:tcPr>
          <w:p w14:paraId="3170A80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171ADED" w14:textId="77777777" w:rsidTr="009E3BBA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84C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0DAD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8CF4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1DB8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B0DF4B5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875863C" w14:textId="77777777" w:rsidTr="009E3BBA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45B3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0AD63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Pristupna prometnica dječjem vrtiću u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Herešinu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3C85BC6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8CE0185" w14:textId="77777777" w:rsidTr="009E3BBA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7454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8DC3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41C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76.700,00 €</w:t>
            </w:r>
          </w:p>
        </w:tc>
        <w:tc>
          <w:tcPr>
            <w:tcW w:w="22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D0F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0DEA788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E152BF6" w14:textId="77777777" w:rsidTr="009E3BBA">
        <w:trPr>
          <w:trHeight w:val="67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D2190" w14:textId="77777777" w:rsidR="009E3BBA" w:rsidRDefault="009E3B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4769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96688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6F42A8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25CD2F0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8CCFED6" w14:textId="77777777" w:rsidTr="009E3BBA">
        <w:trPr>
          <w:trHeight w:val="6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4FFD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BD6BA8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8089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539.700,00 €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D51CE" w14:textId="77777777" w:rsidR="009E3BBA" w:rsidRDefault="00E81F5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6C82F5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A64AA8C" w14:textId="77777777" w:rsidTr="009E3BBA">
        <w:trPr>
          <w:trHeight w:val="94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369A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908A23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3288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9919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18511A25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5764A15" w14:textId="77777777" w:rsidTr="009E3BBA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A40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74CBC1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pješačko biciklističke staze između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i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21B986D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A99B3EB" w14:textId="77777777" w:rsidTr="009E3BBA">
        <w:trPr>
          <w:trHeight w:val="88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E405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45DF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3C60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09D7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0D64443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7B11E7B" w14:textId="77777777" w:rsidTr="009E3BBA">
        <w:trPr>
          <w:trHeight w:val="88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981237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FFABA3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85604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D46F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52BA7F4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BE45103" w14:textId="77777777" w:rsidTr="009E3BBA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392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FCC9FD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6EDDBE8E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1D3F752" w14:textId="77777777" w:rsidTr="009E3BBA">
        <w:trPr>
          <w:trHeight w:val="97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4AAA6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4B83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4DD0C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E3F6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28961C9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6A375B2" w14:textId="77777777" w:rsidTr="009E3BBA">
        <w:trPr>
          <w:trHeight w:val="55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3C12E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6EAFB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1A740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3D0F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6985373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B493A99" w14:textId="77777777" w:rsidTr="009E3BBA">
        <w:trPr>
          <w:trHeight w:val="8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0328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70F909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0EB08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295.000,00 €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5FD5B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0258AC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B35605C" w14:textId="77777777" w:rsidTr="009E3BBA">
        <w:trPr>
          <w:trHeight w:val="8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DEAC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C01B3E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DA30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33E8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FE04EA1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923981D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9C82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7276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 i sportsko rekreacijski sadržaji</w:t>
            </w:r>
          </w:p>
        </w:tc>
        <w:tc>
          <w:tcPr>
            <w:tcW w:w="36" w:type="dxa"/>
            <w:vAlign w:val="center"/>
            <w:hideMark/>
          </w:tcPr>
          <w:p w14:paraId="7C0078B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F699357" w14:textId="77777777" w:rsidTr="009E3BBA">
        <w:trPr>
          <w:trHeight w:val="522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5ACB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AD173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s nabavom opreme i svih pratećim troškovima do pune gotovosti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E8FD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42.665,00 €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254D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</w:t>
            </w:r>
          </w:p>
        </w:tc>
        <w:tc>
          <w:tcPr>
            <w:tcW w:w="36" w:type="dxa"/>
            <w:vAlign w:val="center"/>
            <w:hideMark/>
          </w:tcPr>
          <w:p w14:paraId="1787CA5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E2E413B" w14:textId="77777777" w:rsidTr="009E3BBA">
        <w:trPr>
          <w:trHeight w:val="52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64B7F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3CB0747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2F4D9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22AA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55B6BAEF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D0F8D00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6F8B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88EBA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</w:t>
            </w:r>
            <w:proofErr w:type="spellStart"/>
            <w:r>
              <w:rPr>
                <w:b/>
                <w:bCs/>
                <w:sz w:val="22"/>
                <w:szCs w:val="22"/>
              </w:rPr>
              <w:t>Cerine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teniski tereni</w:t>
            </w:r>
          </w:p>
        </w:tc>
        <w:tc>
          <w:tcPr>
            <w:tcW w:w="36" w:type="dxa"/>
            <w:vAlign w:val="center"/>
            <w:hideMark/>
          </w:tcPr>
          <w:p w14:paraId="0DC6574B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35BBFF0" w14:textId="77777777" w:rsidTr="009E3BBA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0E7AF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E4DE45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D1A9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16.700,00 €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1D02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EE49CB0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12F21AAE" w14:textId="77777777" w:rsidTr="009E3BBA">
        <w:trPr>
          <w:trHeight w:val="69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647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31FE55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F6FA17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59.365,00 €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51DD2" w14:textId="77777777" w:rsidR="009E3BBA" w:rsidRDefault="00E81F5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18B5D67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94B88AD" w14:textId="77777777" w:rsidTr="009E3BBA">
        <w:trPr>
          <w:trHeight w:val="144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6518F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 GRAĐEVINE KOMUNALNE INFRASTRUKTURE KOJE ĆE SE GRADITI U UREĐENIM DIJELOVIMA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A3DEA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894.065,00 €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252E9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3539A1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540D4A9" w14:textId="77777777" w:rsidTr="009E3BBA">
        <w:trPr>
          <w:trHeight w:val="42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7154A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87374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1EC21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8C704D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4EBD0A4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13DF53A7" w14:textId="77777777" w:rsidTr="009E3BBA">
        <w:trPr>
          <w:trHeight w:val="300"/>
        </w:trPr>
        <w:tc>
          <w:tcPr>
            <w:tcW w:w="9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632B2312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  <w:tc>
          <w:tcPr>
            <w:tcW w:w="36" w:type="dxa"/>
            <w:vAlign w:val="center"/>
            <w:hideMark/>
          </w:tcPr>
          <w:p w14:paraId="08ED54E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3C93463" w14:textId="77777777" w:rsidTr="009E3BBA">
        <w:trPr>
          <w:trHeight w:val="315"/>
        </w:trPr>
        <w:tc>
          <w:tcPr>
            <w:tcW w:w="9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8DB72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A3F0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36EF" w14:paraId="1DDF2993" w14:textId="77777777" w:rsidTr="009E3BBA">
        <w:trPr>
          <w:trHeight w:val="9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79BA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A9C483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BDD1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C7E1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BCACB1F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DABF4F7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A08E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FE2B3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spojne ceste od NK Zagorec do naselja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3CDEA8D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90C5CDE" w14:textId="77777777" w:rsidTr="009E3BBA">
        <w:trPr>
          <w:trHeight w:val="645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E74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EE6266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4196C2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675.000,00 €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50B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0FC16355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8F0FA84" w14:textId="77777777" w:rsidTr="009E3BBA">
        <w:trPr>
          <w:trHeight w:val="43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371D6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F9A2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Zakona, ishođenje akta za uporabu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A6F7BFD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48556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1CABE15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AF9C94F" w14:textId="77777777" w:rsidTr="009E3BBA">
        <w:trPr>
          <w:trHeight w:val="46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742A4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45942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0F0FDFC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918D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3C78A25E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F45D8D2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E1BF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D3495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1CB6E39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8990F59" w14:textId="77777777" w:rsidTr="009E3BBA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59BB646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C67EE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00C2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F084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2F8A9D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DD7F4CF" w14:textId="77777777" w:rsidTr="009E3BBA">
        <w:trPr>
          <w:trHeight w:val="5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AC89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DF07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</w:t>
            </w:r>
            <w:proofErr w:type="spellStart"/>
            <w:r>
              <w:rPr>
                <w:b/>
                <w:bCs/>
                <w:sz w:val="22"/>
                <w:szCs w:val="22"/>
              </w:rPr>
              <w:t>Štaglinec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Draganovec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 </w:t>
            </w:r>
          </w:p>
        </w:tc>
        <w:tc>
          <w:tcPr>
            <w:tcW w:w="36" w:type="dxa"/>
            <w:vAlign w:val="center"/>
            <w:hideMark/>
          </w:tcPr>
          <w:p w14:paraId="13DFDAC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FBCF897" w14:textId="77777777" w:rsidTr="009E3BB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0D762BF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000B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8ADA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8.800,00 €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9368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374B7D3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5163A0D" w14:textId="77777777" w:rsidTr="009E3BBA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71A6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A9E15F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37BAD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689.500,00 €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7FFA8" w14:textId="77777777" w:rsidR="009E3BBA" w:rsidRDefault="00E81F5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6AE7AE4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7E00B11" w14:textId="77777777" w:rsidTr="009E3BB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F796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D020CB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C36B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B823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FBBEF8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BEE47C7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77E6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A57B89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Postrojenje za sortiranje odvojeno prikupljenog otpada - </w:t>
            </w:r>
            <w:proofErr w:type="spellStart"/>
            <w:r>
              <w:rPr>
                <w:b/>
                <w:bCs/>
                <w:sz w:val="22"/>
                <w:szCs w:val="22"/>
              </w:rPr>
              <w:t>Sortirnica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Herešin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2810D77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5242E5EA" w14:textId="77777777" w:rsidTr="009E3BB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4463F3" w14:textId="77777777" w:rsidR="009E3BBA" w:rsidRDefault="00E81F5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5D23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C4EF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75.000,00 €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C7A9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6A5B7921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A8E134B" w14:textId="77777777" w:rsidTr="009E3BBA">
        <w:trPr>
          <w:trHeight w:val="7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36AB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D3734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6BB41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75.000,00 €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97781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C9A67D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1C33FE89" w14:textId="77777777" w:rsidTr="009E3BBA">
        <w:trPr>
          <w:trHeight w:val="135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871803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B0F6FE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764.500,00 €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04830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39DE321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AC8E680" w14:textId="77777777" w:rsidTr="009E3BB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89C5F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3B0BD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046C3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7634E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62C9979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1269CAEA" w14:textId="77777777" w:rsidTr="009E3BBA">
        <w:trPr>
          <w:trHeight w:val="300"/>
        </w:trPr>
        <w:tc>
          <w:tcPr>
            <w:tcW w:w="9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3F9F42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IV.  POSTOJEĆE GRAĐEVINE KOMUNALNE INFRASTRUKTURE KOJE ĆE SE REKONSTRUIRATI </w:t>
            </w:r>
          </w:p>
        </w:tc>
        <w:tc>
          <w:tcPr>
            <w:tcW w:w="36" w:type="dxa"/>
            <w:vAlign w:val="center"/>
            <w:hideMark/>
          </w:tcPr>
          <w:p w14:paraId="7BCD6A09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A1BA414" w14:textId="77777777" w:rsidTr="009E3BBA">
        <w:trPr>
          <w:trHeight w:val="315"/>
        </w:trPr>
        <w:tc>
          <w:tcPr>
            <w:tcW w:w="9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3F5B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89C8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36EF" w14:paraId="1C03A01E" w14:textId="77777777" w:rsidTr="009E3BBA">
        <w:trPr>
          <w:trHeight w:val="8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9F16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4DC05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CAE3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404E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D34C201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30C0011" w14:textId="77777777" w:rsidTr="009E3BBA">
        <w:trPr>
          <w:trHeight w:val="49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6D33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C41040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Ulice Ante Starčevića u Koprivnici</w:t>
            </w:r>
          </w:p>
        </w:tc>
        <w:tc>
          <w:tcPr>
            <w:tcW w:w="36" w:type="dxa"/>
            <w:vAlign w:val="center"/>
            <w:hideMark/>
          </w:tcPr>
          <w:p w14:paraId="35B02F1B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14F3F7E" w14:textId="77777777" w:rsidTr="009E3BBA">
        <w:trPr>
          <w:trHeight w:val="60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5D2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4863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CAEA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250.000,00 €</w:t>
            </w:r>
          </w:p>
        </w:tc>
        <w:tc>
          <w:tcPr>
            <w:tcW w:w="223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61C1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06AEE9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E94EB5D" w14:textId="77777777" w:rsidTr="009E3BBA">
        <w:trPr>
          <w:trHeight w:val="79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438031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B337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7D1B00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1968F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2379B156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697268F" w14:textId="77777777" w:rsidTr="009E3BBA">
        <w:trPr>
          <w:trHeight w:val="4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0E54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306131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Modernizacija javne rasvjete na području grada Koprivnice</w:t>
            </w:r>
          </w:p>
        </w:tc>
        <w:tc>
          <w:tcPr>
            <w:tcW w:w="36" w:type="dxa"/>
            <w:vAlign w:val="center"/>
            <w:hideMark/>
          </w:tcPr>
          <w:p w14:paraId="120D62E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1743F5A" w14:textId="77777777" w:rsidTr="009E3BBA">
        <w:trPr>
          <w:trHeight w:val="135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AF071B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B05167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Građevine i uređaji za rasvjetljavanje nerazvrstanih cesta, javnim prometnih površina na kojima nije dopušten promet motornih vozila, javnih cesta koje prolaze kroz naselje, javnih parkirališta, javnih zelenih površina te drugih javnih </w:t>
            </w:r>
            <w:proofErr w:type="spellStart"/>
            <w:r>
              <w:rPr>
                <w:sz w:val="22"/>
                <w:szCs w:val="22"/>
              </w:rPr>
              <w:t>površinau</w:t>
            </w:r>
            <w:proofErr w:type="spellEnd"/>
            <w:r>
              <w:rPr>
                <w:sz w:val="22"/>
                <w:szCs w:val="22"/>
              </w:rPr>
              <w:t xml:space="preserve"> vlasništvu jedinice lokalne samouprave uključujući prateće aktivnosti za provedbu investicije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7E8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1.519.400,00 €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10CD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</w:t>
            </w:r>
          </w:p>
        </w:tc>
        <w:tc>
          <w:tcPr>
            <w:tcW w:w="36" w:type="dxa"/>
            <w:vAlign w:val="center"/>
            <w:hideMark/>
          </w:tcPr>
          <w:p w14:paraId="5B247A4A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8217F40" w14:textId="77777777" w:rsidTr="009E3BBA">
        <w:trPr>
          <w:trHeight w:val="1095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AF2AB4" w14:textId="77777777" w:rsidR="009E3BBA" w:rsidRDefault="00E81F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05E80C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3F816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5B35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FC4B35B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1BB4021" w14:textId="77777777" w:rsidTr="009E3BBA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A83F" w14:textId="77777777" w:rsidR="009E3BBA" w:rsidRDefault="00E81F5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12453D" w14:textId="77777777" w:rsidR="009E3BBA" w:rsidRDefault="00E81F5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F71286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1.769.400,00 €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E5E97" w14:textId="77777777" w:rsidR="009E3BBA" w:rsidRDefault="00E81F55">
            <w:pPr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4CFC4B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33BA0467" w14:textId="77777777" w:rsidTr="009E3BBA">
        <w:trPr>
          <w:trHeight w:val="111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98180B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  POSTOJEĆE GRAĐEVINE KOMUNALNE INFRASTRUKTURE KOJE ĆE SE REKONSTRUIRATI 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DF20C1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1.769.400,00 €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8863E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B42FB9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6096255" w14:textId="77777777" w:rsidTr="009E3BBA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7C0A2" w14:textId="77777777" w:rsidR="009E3BBA" w:rsidRDefault="009E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3A11C" w14:textId="77777777" w:rsidR="009E3BBA" w:rsidRDefault="009E3BBA">
            <w:pPr>
              <w:rPr>
                <w:sz w:val="20"/>
                <w:szCs w:val="20"/>
              </w:rPr>
            </w:pPr>
          </w:p>
          <w:p w14:paraId="15B5B8D5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07CC6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FAE05" w14:textId="77777777" w:rsidR="009E3BBA" w:rsidRDefault="009E3BBA">
            <w:pPr>
              <w:rPr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0103B37D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4B7A2A41" w14:textId="77777777" w:rsidTr="009E3BBA">
        <w:trPr>
          <w:trHeight w:val="300"/>
        </w:trPr>
        <w:tc>
          <w:tcPr>
            <w:tcW w:w="9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0E18E5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36" w:type="dxa"/>
            <w:vAlign w:val="center"/>
            <w:hideMark/>
          </w:tcPr>
          <w:p w14:paraId="04DDC924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29B669CF" w14:textId="77777777" w:rsidTr="009E3BBA">
        <w:trPr>
          <w:trHeight w:val="300"/>
        </w:trPr>
        <w:tc>
          <w:tcPr>
            <w:tcW w:w="9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DC57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B3CC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A36EF" w14:paraId="30651F22" w14:textId="77777777" w:rsidTr="009E3BBA">
        <w:trPr>
          <w:trHeight w:val="480"/>
        </w:trPr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05F5B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0BE02" w14:textId="77777777" w:rsidR="009E3BBA" w:rsidRDefault="00E81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199C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15.000,00 €</w:t>
            </w:r>
          </w:p>
        </w:tc>
        <w:tc>
          <w:tcPr>
            <w:tcW w:w="22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4912" w14:textId="77777777" w:rsidR="009E3BBA" w:rsidRDefault="00E81F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B1CF162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020A1B5A" w14:textId="77777777" w:rsidTr="009E3BBA">
        <w:trPr>
          <w:trHeight w:val="315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2FB9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93E9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4B55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4AEC1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08C4" w14:textId="77777777" w:rsidR="009E3BBA" w:rsidRDefault="009E3BBA">
            <w:pPr>
              <w:jc w:val="center"/>
              <w:rPr>
                <w:sz w:val="22"/>
                <w:szCs w:val="22"/>
              </w:rPr>
            </w:pPr>
          </w:p>
        </w:tc>
      </w:tr>
      <w:tr w:rsidR="00AA36EF" w14:paraId="72BB54D4" w14:textId="77777777" w:rsidTr="009E3BBA">
        <w:trPr>
          <w:trHeight w:val="330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7FE7F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2DD3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C069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3DEF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BFBC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4652A2C" w14:textId="77777777" w:rsidTr="009E3BBA">
        <w:trPr>
          <w:trHeight w:val="40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23870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D810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9A34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4A62B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7AF6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69C58549" w14:textId="77777777" w:rsidTr="009E3BBA">
        <w:trPr>
          <w:trHeight w:val="402"/>
        </w:trPr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FCF1A" w14:textId="77777777" w:rsidR="009E3BBA" w:rsidRDefault="009E3BBA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C840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14BE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22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63A087" w14:textId="77777777" w:rsidR="009E3BBA" w:rsidRDefault="009E3BBA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3D46" w14:textId="77777777" w:rsidR="009E3BBA" w:rsidRDefault="009E3BBA">
            <w:pPr>
              <w:rPr>
                <w:sz w:val="20"/>
                <w:szCs w:val="20"/>
              </w:rPr>
            </w:pPr>
          </w:p>
        </w:tc>
      </w:tr>
      <w:tr w:rsidR="00AA36EF" w14:paraId="7A0FE39D" w14:textId="77777777" w:rsidTr="009E3BBA">
        <w:trPr>
          <w:trHeight w:val="570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974012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81EAB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15.000,00 €</w:t>
            </w:r>
          </w:p>
        </w:tc>
        <w:tc>
          <w:tcPr>
            <w:tcW w:w="2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6A289" w14:textId="77777777" w:rsidR="009E3BBA" w:rsidRDefault="009E3BB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06627C0" w14:textId="77777777" w:rsidR="009E3BBA" w:rsidRDefault="009E3BBA">
            <w:pPr>
              <w:rPr>
                <w:sz w:val="20"/>
                <w:szCs w:val="20"/>
              </w:rPr>
            </w:pPr>
          </w:p>
        </w:tc>
      </w:tr>
    </w:tbl>
    <w:p w14:paraId="7C8B2D88" w14:textId="77777777" w:rsidR="00C6444B" w:rsidRDefault="00C6444B" w:rsidP="00C6444B"/>
    <w:p w14:paraId="3FA69EAB" w14:textId="77777777" w:rsidR="009E3BBA" w:rsidRDefault="009E3BBA" w:rsidP="00C6444B"/>
    <w:p w14:paraId="0DF58265" w14:textId="77777777" w:rsidR="009E3BBA" w:rsidRDefault="009E3BBA" w:rsidP="00C6444B"/>
    <w:p w14:paraId="4AA593CF" w14:textId="77777777" w:rsidR="009E3BBA" w:rsidRDefault="009E3BBA" w:rsidP="00C6444B"/>
    <w:p w14:paraId="0606E3A2" w14:textId="77777777" w:rsidR="009E3BBA" w:rsidRDefault="009E3BBA" w:rsidP="00C6444B"/>
    <w:p w14:paraId="15811474" w14:textId="77777777" w:rsidR="009E3BBA" w:rsidRDefault="009E3BBA" w:rsidP="00C6444B"/>
    <w:tbl>
      <w:tblPr>
        <w:tblW w:w="9160" w:type="dxa"/>
        <w:tblLook w:val="04A0" w:firstRow="1" w:lastRow="0" w:firstColumn="1" w:lastColumn="0" w:noHBand="0" w:noVBand="1"/>
      </w:tblPr>
      <w:tblGrid>
        <w:gridCol w:w="739"/>
        <w:gridCol w:w="6199"/>
        <w:gridCol w:w="2222"/>
      </w:tblGrid>
      <w:tr w:rsidR="00AA36EF" w14:paraId="0B48593D" w14:textId="77777777" w:rsidTr="009E3BBA">
        <w:trPr>
          <w:trHeight w:val="9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A61B" w14:textId="77777777" w:rsidR="009E3BBA" w:rsidRDefault="00E81F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EB330C" w14:textId="77777777" w:rsidR="009E3BBA" w:rsidRDefault="00E81F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123A03" w14:textId="77777777" w:rsidR="009E3BBA" w:rsidRDefault="00E81F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PLANIRANO</w:t>
            </w:r>
          </w:p>
        </w:tc>
      </w:tr>
      <w:tr w:rsidR="00AA36EF" w14:paraId="219E80D5" w14:textId="77777777" w:rsidTr="009E3BBA">
        <w:trPr>
          <w:trHeight w:val="8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42BF5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75C0D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336EB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1.418.900,00 €</w:t>
            </w:r>
          </w:p>
        </w:tc>
      </w:tr>
      <w:tr w:rsidR="00AA36EF" w14:paraId="7637525F" w14:textId="77777777" w:rsidTr="009E3BBA">
        <w:trPr>
          <w:trHeight w:val="851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12C57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EF1F5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EA24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894.065,00 €</w:t>
            </w:r>
          </w:p>
        </w:tc>
      </w:tr>
      <w:tr w:rsidR="00AA36EF" w14:paraId="70194A6B" w14:textId="77777777" w:rsidTr="009E3BBA">
        <w:trPr>
          <w:trHeight w:val="693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0AE9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64FC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F74E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764.500,00 €</w:t>
            </w:r>
          </w:p>
        </w:tc>
      </w:tr>
      <w:tr w:rsidR="00AA36EF" w14:paraId="13E5C745" w14:textId="77777777" w:rsidTr="009E3BBA">
        <w:trPr>
          <w:trHeight w:val="73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D7F8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20A8E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ABAC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1.769.400,00 €</w:t>
            </w:r>
          </w:p>
        </w:tc>
      </w:tr>
      <w:tr w:rsidR="00AA36EF" w14:paraId="695BF371" w14:textId="77777777" w:rsidTr="009E3BBA">
        <w:trPr>
          <w:trHeight w:val="54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571D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E474" w14:textId="77777777" w:rsidR="009E3BBA" w:rsidRDefault="00E81F5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05CB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15.000,00 €</w:t>
            </w:r>
          </w:p>
        </w:tc>
      </w:tr>
      <w:tr w:rsidR="00AA36EF" w14:paraId="3AAE891A" w14:textId="77777777" w:rsidTr="009E3BBA">
        <w:trPr>
          <w:trHeight w:val="7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26D2" w14:textId="77777777" w:rsidR="009E3BBA" w:rsidRDefault="00E81F5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907ED" w14:textId="77777777" w:rsidR="009E3BBA" w:rsidRDefault="00E81F5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71ED6E" w14:textId="3BA50BDE" w:rsidR="009E3BBA" w:rsidRDefault="00E81F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4.861.865,00 €“</w:t>
            </w:r>
          </w:p>
        </w:tc>
      </w:tr>
    </w:tbl>
    <w:p w14:paraId="08E7B612" w14:textId="77777777" w:rsidR="009E3BBA" w:rsidRPr="00C6444B" w:rsidRDefault="009E3BBA" w:rsidP="00C6444B"/>
    <w:p w14:paraId="38899ED2" w14:textId="77777777" w:rsidR="00C6444B" w:rsidRPr="009E3BBA" w:rsidRDefault="00C6444B" w:rsidP="00C6444B">
      <w:pPr>
        <w:rPr>
          <w:sz w:val="12"/>
          <w:szCs w:val="12"/>
        </w:rPr>
      </w:pPr>
    </w:p>
    <w:p w14:paraId="129EAFE4" w14:textId="48A87BA1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Članak 2.</w:t>
      </w:r>
    </w:p>
    <w:p w14:paraId="6CCE69E2" w14:textId="77777777" w:rsidR="00C6444B" w:rsidRPr="009E3BBA" w:rsidRDefault="00C6444B" w:rsidP="00C6444B">
      <w:pPr>
        <w:rPr>
          <w:b/>
          <w:sz w:val="12"/>
          <w:szCs w:val="12"/>
        </w:rPr>
      </w:pPr>
    </w:p>
    <w:p w14:paraId="45C0FBD0" w14:textId="77777777" w:rsidR="00C6444B" w:rsidRDefault="00E81F55" w:rsidP="00C6444B">
      <w:r w:rsidRPr="00C6444B">
        <w:t>Točka III mijenja se i glasi:</w:t>
      </w:r>
    </w:p>
    <w:p w14:paraId="27FE15BA" w14:textId="77777777" w:rsidR="00C6444B" w:rsidRPr="00C6444B" w:rsidRDefault="00C6444B" w:rsidP="00C6444B">
      <w:pPr>
        <w:rPr>
          <w:sz w:val="12"/>
          <w:szCs w:val="12"/>
        </w:rPr>
      </w:pPr>
    </w:p>
    <w:p w14:paraId="17892605" w14:textId="77777777" w:rsidR="00C6444B" w:rsidRDefault="00E81F55" w:rsidP="00C6444B">
      <w:pPr>
        <w:rPr>
          <w:b/>
        </w:rPr>
      </w:pPr>
      <w:r w:rsidRPr="00C6444B">
        <w:rPr>
          <w:b/>
        </w:rPr>
        <w:t>„III. FINANCIRANJE GRAĐENJA KOMUNALNE INFRASTRUKTURE</w:t>
      </w:r>
    </w:p>
    <w:p w14:paraId="261093DD" w14:textId="77777777" w:rsidR="00C6444B" w:rsidRPr="00C6444B" w:rsidRDefault="00C6444B" w:rsidP="00C6444B">
      <w:pPr>
        <w:rPr>
          <w:b/>
        </w:rPr>
      </w:pPr>
    </w:p>
    <w:p w14:paraId="03843DED" w14:textId="65054A38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Članak 4.</w:t>
      </w:r>
    </w:p>
    <w:p w14:paraId="034851BE" w14:textId="77777777" w:rsidR="00C6444B" w:rsidRPr="00C6444B" w:rsidRDefault="00C6444B" w:rsidP="00C6444B">
      <w:pPr>
        <w:rPr>
          <w:b/>
          <w:sz w:val="12"/>
          <w:szCs w:val="12"/>
        </w:rPr>
      </w:pPr>
    </w:p>
    <w:p w14:paraId="087492AF" w14:textId="77777777" w:rsidR="00C6444B" w:rsidRPr="00C6444B" w:rsidRDefault="00E81F55" w:rsidP="00C6444B">
      <w:r w:rsidRPr="00C6444B">
        <w:t>Izvori financiranja, sukladno čl.75. Zakona o komunalnom gospodarstvu (“Narodne novine” broj 68/18</w:t>
      </w:r>
      <w:r w:rsidRPr="00C6444B">
        <w:rPr>
          <w:bCs/>
        </w:rPr>
        <w:t>., 110/18. i 32/20.</w:t>
      </w:r>
      <w:r w:rsidRPr="00C6444B">
        <w:t>) su iz:</w:t>
      </w:r>
    </w:p>
    <w:p w14:paraId="7B2C00F1" w14:textId="77777777" w:rsidR="00C6444B" w:rsidRPr="00C6444B" w:rsidRDefault="00E81F55" w:rsidP="00C6444B">
      <w:r w:rsidRPr="00C6444B">
        <w:t xml:space="preserve"> -  komunalne naknade,</w:t>
      </w:r>
    </w:p>
    <w:p w14:paraId="622D0551" w14:textId="77777777" w:rsidR="00C6444B" w:rsidRPr="00C6444B" w:rsidRDefault="00E81F55" w:rsidP="00C6444B">
      <w:r w:rsidRPr="00C6444B">
        <w:t>-   komunalnog doprinosa,</w:t>
      </w:r>
    </w:p>
    <w:p w14:paraId="7431D501" w14:textId="77777777" w:rsidR="00C6444B" w:rsidRPr="00C6444B" w:rsidRDefault="00E81F55" w:rsidP="00C6444B">
      <w:r w:rsidRPr="00C6444B">
        <w:t>-   općih prihoda i primitaka,</w:t>
      </w:r>
    </w:p>
    <w:p w14:paraId="36C58CBD" w14:textId="77777777" w:rsidR="00C6444B" w:rsidRPr="00C6444B" w:rsidRDefault="00E81F55" w:rsidP="00C6444B">
      <w:r w:rsidRPr="00C6444B">
        <w:t xml:space="preserve">-   prodaje nefinancijske imovine </w:t>
      </w:r>
    </w:p>
    <w:p w14:paraId="53B4EE6C" w14:textId="77777777" w:rsidR="00C6444B" w:rsidRPr="00C6444B" w:rsidRDefault="00E81F55" w:rsidP="00C6444B">
      <w:r w:rsidRPr="00C6444B">
        <w:t>-   kapitalne pomoći od izvanproračunskih korisnika</w:t>
      </w:r>
    </w:p>
    <w:p w14:paraId="5F2B952D" w14:textId="77777777" w:rsidR="00C6444B" w:rsidRPr="00C6444B" w:rsidRDefault="00E81F55" w:rsidP="00C6444B">
      <w:r w:rsidRPr="00C6444B">
        <w:t>-   te namjenskih primitaka.</w:t>
      </w:r>
    </w:p>
    <w:p w14:paraId="2606C76D" w14:textId="77777777" w:rsidR="00C6444B" w:rsidRDefault="00C6444B" w:rsidP="00C6444B"/>
    <w:tbl>
      <w:tblPr>
        <w:tblW w:w="8540" w:type="dxa"/>
        <w:jc w:val="center"/>
        <w:tblLook w:val="04A0" w:firstRow="1" w:lastRow="0" w:firstColumn="1" w:lastColumn="0" w:noHBand="0" w:noVBand="1"/>
      </w:tblPr>
      <w:tblGrid>
        <w:gridCol w:w="960"/>
        <w:gridCol w:w="5740"/>
        <w:gridCol w:w="1840"/>
      </w:tblGrid>
      <w:tr w:rsidR="00AA36EF" w14:paraId="3B607310" w14:textId="77777777" w:rsidTr="009E3BBA">
        <w:trPr>
          <w:trHeight w:val="363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A8E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60B5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D698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AA36EF" w14:paraId="1B619278" w14:textId="77777777" w:rsidTr="009E3BBA">
        <w:trPr>
          <w:trHeight w:val="41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1196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B375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7508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1.999.450,00 €</w:t>
            </w:r>
          </w:p>
        </w:tc>
      </w:tr>
      <w:tr w:rsidR="00AA36EF" w14:paraId="5BF5E0F4" w14:textId="77777777" w:rsidTr="009E3BBA">
        <w:trPr>
          <w:trHeight w:val="4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C1EA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9F2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F51B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499.000,00 €</w:t>
            </w:r>
          </w:p>
        </w:tc>
      </w:tr>
      <w:tr w:rsidR="00AA36EF" w14:paraId="63E28D2E" w14:textId="77777777" w:rsidTr="009E3BBA">
        <w:trPr>
          <w:trHeight w:val="41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C9CF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C385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9D7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494.040,00 €</w:t>
            </w:r>
          </w:p>
        </w:tc>
      </w:tr>
      <w:tr w:rsidR="00AA36EF" w14:paraId="3F50F078" w14:textId="77777777" w:rsidTr="009E3BBA">
        <w:trPr>
          <w:trHeight w:val="417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0018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5F27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2B1D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285.000,00 €</w:t>
            </w:r>
          </w:p>
        </w:tc>
      </w:tr>
      <w:tr w:rsidR="00AA36EF" w14:paraId="704A0034" w14:textId="77777777" w:rsidTr="009E3BBA">
        <w:trPr>
          <w:trHeight w:val="5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0BE1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79E1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A56A0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91.915,00 €</w:t>
            </w:r>
          </w:p>
        </w:tc>
      </w:tr>
      <w:tr w:rsidR="00AA36EF" w14:paraId="47C661CA" w14:textId="77777777" w:rsidTr="009E3BBA">
        <w:trPr>
          <w:trHeight w:val="49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C10D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FACB" w14:textId="77777777" w:rsidR="009E3BBA" w:rsidRDefault="00E81F55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NAMJENSKI PRIMICI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2D3D" w14:textId="77777777" w:rsidR="009E3BBA" w:rsidRDefault="00E81F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1.492.460,00 €</w:t>
            </w:r>
          </w:p>
        </w:tc>
      </w:tr>
      <w:tr w:rsidR="00AA36EF" w14:paraId="40F20BCC" w14:textId="77777777" w:rsidTr="009E3BBA">
        <w:trPr>
          <w:trHeight w:val="499"/>
          <w:jc w:val="center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5A0D" w14:textId="77777777" w:rsidR="009E3BBA" w:rsidRDefault="00E81F5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6C22" w14:textId="5E70BE4F" w:rsidR="009E3BBA" w:rsidRDefault="00E81F5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4.861.865,00 €“</w:t>
            </w:r>
          </w:p>
        </w:tc>
      </w:tr>
    </w:tbl>
    <w:p w14:paraId="40BD7329" w14:textId="77777777" w:rsidR="009E3BBA" w:rsidRPr="00C6444B" w:rsidRDefault="009E3BBA" w:rsidP="00C6444B"/>
    <w:p w14:paraId="41A386C9" w14:textId="16FD2462" w:rsidR="00C6444B" w:rsidRPr="00C6444B" w:rsidRDefault="00E81F55" w:rsidP="00C6444B">
      <w:pPr>
        <w:jc w:val="center"/>
        <w:rPr>
          <w:b/>
        </w:rPr>
      </w:pPr>
      <w:r w:rsidRPr="00C6444B">
        <w:rPr>
          <w:b/>
        </w:rPr>
        <w:t>Članak 3.</w:t>
      </w:r>
    </w:p>
    <w:p w14:paraId="39769CBE" w14:textId="77777777" w:rsidR="00C6444B" w:rsidRPr="00C6444B" w:rsidRDefault="00C6444B" w:rsidP="00C6444B">
      <w:pPr>
        <w:rPr>
          <w:sz w:val="12"/>
          <w:szCs w:val="12"/>
        </w:rPr>
      </w:pPr>
    </w:p>
    <w:p w14:paraId="1668090E" w14:textId="77777777" w:rsidR="00C6444B" w:rsidRPr="00C6444B" w:rsidRDefault="00E81F55" w:rsidP="00C6444B">
      <w:r w:rsidRPr="00C6444B">
        <w:t>Ovaj Program objavit će se u «Glasniku Grada Koprivnice», a stupa na snagu prvoga dana od objave u „Glasniku Grada Koprivnice“.</w:t>
      </w:r>
    </w:p>
    <w:p w14:paraId="3030245F" w14:textId="77777777" w:rsidR="00C6444B" w:rsidRPr="00C6444B" w:rsidRDefault="00C6444B" w:rsidP="00C6444B"/>
    <w:p w14:paraId="41F01286" w14:textId="77777777" w:rsidR="00C6444B" w:rsidRPr="00C6444B" w:rsidRDefault="00C6444B" w:rsidP="00C6444B"/>
    <w:p w14:paraId="3203797E" w14:textId="77777777" w:rsidR="00C6444B" w:rsidRPr="00C6444B" w:rsidRDefault="00E81F55" w:rsidP="00C6444B">
      <w:pPr>
        <w:jc w:val="center"/>
      </w:pPr>
      <w:r w:rsidRPr="00C6444B">
        <w:t>GRADSKO VIJEĆE</w:t>
      </w:r>
    </w:p>
    <w:p w14:paraId="4A58B64F" w14:textId="77777777" w:rsidR="00C6444B" w:rsidRPr="00C6444B" w:rsidRDefault="00E81F55" w:rsidP="00C6444B">
      <w:pPr>
        <w:jc w:val="center"/>
      </w:pPr>
      <w:r w:rsidRPr="00C6444B">
        <w:t>GRADA KOPRIVNICE</w:t>
      </w:r>
    </w:p>
    <w:p w14:paraId="04ED3965" w14:textId="77777777" w:rsidR="00C6444B" w:rsidRDefault="00C6444B" w:rsidP="00353ACF"/>
    <w:p w14:paraId="1DC0C881" w14:textId="77777777" w:rsidR="00C6444B" w:rsidRDefault="00C6444B" w:rsidP="00353ACF"/>
    <w:p w14:paraId="1FC681B6" w14:textId="77777777" w:rsidR="00C6444B" w:rsidRDefault="00C6444B" w:rsidP="00353ACF"/>
    <w:p w14:paraId="4F061B45" w14:textId="721E1C46" w:rsidR="000C10B9" w:rsidRPr="008770A6" w:rsidRDefault="00E81F55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363-01/23-05/0001</w:t>
      </w:r>
      <w:r w:rsidR="001D627E">
        <w:fldChar w:fldCharType="end"/>
      </w:r>
      <w:bookmarkEnd w:id="1"/>
    </w:p>
    <w:p w14:paraId="3850F80A" w14:textId="77777777" w:rsidR="00E13394" w:rsidRPr="008770A6" w:rsidRDefault="00E81F55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2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 xml:space="preserve">     </w:t>
      </w:r>
      <w:r w:rsidR="00E939E8">
        <w:fldChar w:fldCharType="end"/>
      </w:r>
      <w:bookmarkEnd w:id="2"/>
    </w:p>
    <w:p w14:paraId="15486689" w14:textId="7D3F6E04" w:rsidR="00E13394" w:rsidRPr="008770A6" w:rsidRDefault="00E81F55" w:rsidP="00353ACF">
      <w:r>
        <w:t>Koprivnica</w:t>
      </w:r>
      <w:r w:rsidRPr="008770A6">
        <w:t>,</w:t>
      </w:r>
      <w:r w:rsidR="008770A6">
        <w:t xml:space="preserve"> </w:t>
      </w:r>
    </w:p>
    <w:p w14:paraId="15925383" w14:textId="77777777" w:rsidR="001E01B9" w:rsidRPr="008770A6" w:rsidRDefault="001E01B9" w:rsidP="000A3497">
      <w:pPr>
        <w:ind w:left="4860"/>
      </w:pPr>
    </w:p>
    <w:p w14:paraId="299A95D8" w14:textId="77777777" w:rsidR="00F22E62" w:rsidRPr="008770A6" w:rsidRDefault="00F22E62" w:rsidP="000A3497">
      <w:pPr>
        <w:ind w:left="4860"/>
      </w:pPr>
    </w:p>
    <w:p w14:paraId="00B6D861" w14:textId="77777777" w:rsidR="00611B44" w:rsidRDefault="00611B44"/>
    <w:p w14:paraId="67B47714" w14:textId="7973BA55" w:rsidR="00C6444B" w:rsidRPr="00C6444B" w:rsidRDefault="00E81F55" w:rsidP="00C6444B">
      <w:pPr>
        <w:spacing w:line="360" w:lineRule="auto"/>
        <w:ind w:firstLine="6379"/>
      </w:pPr>
      <w:r>
        <w:t xml:space="preserve">     </w:t>
      </w:r>
      <w:r w:rsidRPr="00C6444B">
        <w:t>PREDSJEDNIK</w:t>
      </w:r>
    </w:p>
    <w:p w14:paraId="1149384C" w14:textId="69F89277" w:rsidR="00C6444B" w:rsidRPr="00C6444B" w:rsidRDefault="00E81F55" w:rsidP="00C6444B">
      <w:r w:rsidRPr="00C6444B">
        <w:tab/>
      </w:r>
      <w:r w:rsidRPr="00C6444B">
        <w:tab/>
      </w:r>
      <w:r w:rsidRPr="00C6444B">
        <w:tab/>
      </w:r>
      <w:r w:rsidRPr="00C6444B">
        <w:tab/>
      </w:r>
      <w:r w:rsidRPr="00C6444B">
        <w:tab/>
      </w:r>
      <w:r w:rsidRPr="00C6444B">
        <w:tab/>
      </w:r>
      <w:r w:rsidRPr="00C6444B">
        <w:tab/>
      </w:r>
      <w:r w:rsidRPr="00C6444B">
        <w:tab/>
        <w:t xml:space="preserve">       </w:t>
      </w:r>
      <w:r>
        <w:t xml:space="preserve">      </w:t>
      </w:r>
      <w:r w:rsidRPr="00C6444B">
        <w:t xml:space="preserve">    Ivan Pal, prof.</w:t>
      </w:r>
    </w:p>
    <w:p w14:paraId="08326622" w14:textId="77777777" w:rsidR="00C6444B" w:rsidRDefault="00C6444B"/>
    <w:p w14:paraId="7868FAA4" w14:textId="77777777" w:rsidR="00CB3B20" w:rsidRDefault="00CB3B20"/>
    <w:p w14:paraId="1A70F48D" w14:textId="77777777" w:rsidR="00CB3B20" w:rsidRDefault="00CB3B20"/>
    <w:p w14:paraId="2E6140D7" w14:textId="77777777" w:rsidR="00CB3B20" w:rsidRDefault="00CB3B20"/>
    <w:p w14:paraId="1E6A285A" w14:textId="77777777" w:rsidR="00CB3B20" w:rsidRDefault="00CB3B20"/>
    <w:p w14:paraId="71A36A1E" w14:textId="77777777" w:rsidR="00CB3B20" w:rsidRDefault="00CB3B20"/>
    <w:p w14:paraId="7A9A396F" w14:textId="77777777" w:rsidR="00CB3B20" w:rsidRDefault="00CB3B20"/>
    <w:p w14:paraId="01BAC0C2" w14:textId="77777777" w:rsidR="00CB3B20" w:rsidRDefault="00CB3B20"/>
    <w:p w14:paraId="6D7C1612" w14:textId="77777777" w:rsidR="00CB3B20" w:rsidRDefault="00CB3B20"/>
    <w:p w14:paraId="3EA9D527" w14:textId="77777777" w:rsidR="00CB3B20" w:rsidRDefault="00CB3B20"/>
    <w:p w14:paraId="38589FD7" w14:textId="77777777" w:rsidR="00CB3B20" w:rsidRDefault="00CB3B20"/>
    <w:p w14:paraId="736DA35B" w14:textId="77777777" w:rsidR="00CB3B20" w:rsidRDefault="00CB3B20"/>
    <w:p w14:paraId="159342FC" w14:textId="77777777" w:rsidR="00CB3B20" w:rsidRDefault="00CB3B20"/>
    <w:p w14:paraId="641D3A0B" w14:textId="77777777" w:rsidR="00CB3B20" w:rsidRDefault="00CB3B20"/>
    <w:p w14:paraId="0D8AD3D6" w14:textId="77777777" w:rsidR="00CB3B20" w:rsidRDefault="00CB3B20"/>
    <w:p w14:paraId="2DCA8198" w14:textId="77777777" w:rsidR="00CB3B20" w:rsidRDefault="00CB3B20"/>
    <w:p w14:paraId="715FE271" w14:textId="77777777" w:rsidR="00CB3B20" w:rsidRDefault="00CB3B20"/>
    <w:p w14:paraId="526D761E" w14:textId="77777777" w:rsidR="00CB3B20" w:rsidRDefault="00CB3B20"/>
    <w:p w14:paraId="1422F305" w14:textId="77777777" w:rsidR="00CB3B20" w:rsidRDefault="00CB3B20"/>
    <w:p w14:paraId="57018B22" w14:textId="77777777" w:rsidR="00CB3B20" w:rsidRDefault="00CB3B20"/>
    <w:p w14:paraId="4614B70C" w14:textId="77777777" w:rsidR="00CB3B20" w:rsidRDefault="00CB3B20"/>
    <w:p w14:paraId="75C2BAB2" w14:textId="77777777" w:rsidR="00CB3B20" w:rsidRDefault="00CB3B20"/>
    <w:p w14:paraId="5C978DE9" w14:textId="77777777" w:rsidR="00CB3B20" w:rsidRDefault="00CB3B20"/>
    <w:p w14:paraId="5C746689" w14:textId="77777777" w:rsidR="00CB3B20" w:rsidRDefault="00CB3B20"/>
    <w:p w14:paraId="0D704D6C" w14:textId="77777777" w:rsidR="00CB3B20" w:rsidRDefault="00CB3B20"/>
    <w:p w14:paraId="27E41F08" w14:textId="77777777" w:rsidR="00CB3B20" w:rsidRDefault="00CB3B20"/>
    <w:p w14:paraId="606A8252" w14:textId="77777777" w:rsidR="00CB3B20" w:rsidRDefault="00CB3B20"/>
    <w:p w14:paraId="02CAB2E3" w14:textId="77777777" w:rsidR="00CB3B20" w:rsidRDefault="00CB3B20"/>
    <w:p w14:paraId="0F8FA478" w14:textId="77777777" w:rsidR="00CB3B20" w:rsidRDefault="00CB3B20"/>
    <w:p w14:paraId="23DCB1C6" w14:textId="77777777" w:rsidR="00CB3B20" w:rsidRDefault="00CB3B20"/>
    <w:p w14:paraId="241C3017" w14:textId="77777777" w:rsidR="00CB3B20" w:rsidRDefault="00CB3B20" w:rsidP="00CB3B20">
      <w:pPr>
        <w:jc w:val="center"/>
      </w:pPr>
      <w:r>
        <w:lastRenderedPageBreak/>
        <w:t>OBRAZLOŽENJE</w:t>
      </w:r>
    </w:p>
    <w:p w14:paraId="686D9801" w14:textId="77777777" w:rsidR="00CB3B20" w:rsidRDefault="00CB3B20" w:rsidP="00CB3B20">
      <w:pPr>
        <w:jc w:val="center"/>
      </w:pPr>
    </w:p>
    <w:p w14:paraId="4F6D3A4D" w14:textId="77777777" w:rsidR="00CB3B20" w:rsidRDefault="00CB3B20" w:rsidP="00CB3B20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Zakonska osnova</w:t>
      </w:r>
    </w:p>
    <w:p w14:paraId="2C6270F1" w14:textId="77777777" w:rsidR="00CB3B20" w:rsidRDefault="00CB3B20" w:rsidP="00CB3B20">
      <w:pPr>
        <w:rPr>
          <w:sz w:val="12"/>
          <w:szCs w:val="12"/>
        </w:rPr>
      </w:pPr>
    </w:p>
    <w:p w14:paraId="5793A6A4" w14:textId="77777777" w:rsidR="00CB3B20" w:rsidRDefault="00CB3B20" w:rsidP="00CB3B20">
      <w:pPr>
        <w:jc w:val="both"/>
      </w:pPr>
      <w:r>
        <w:t>Program o II. izmjenama Programa građenja komunalne infrastrukture na području grada Koprivnice za 2024. godinu</w:t>
      </w:r>
      <w:r>
        <w:rPr>
          <w:lang w:eastAsia="x-none"/>
        </w:rPr>
        <w:t xml:space="preserve"> u daljnjem tekstu: „II. izmjena Programa“)</w:t>
      </w:r>
      <w:r>
        <w:t>,</w:t>
      </w:r>
      <w:r>
        <w:rPr>
          <w:lang w:eastAsia="x-none"/>
        </w:rPr>
        <w:t>)</w:t>
      </w:r>
      <w:r>
        <w:t>, donosi se  temelju članka 67. Zakona o komunalnom gospodarstvu (“Narodne novine” broj 68/18</w:t>
      </w:r>
      <w:r>
        <w:rPr>
          <w:bCs/>
        </w:rPr>
        <w:t>., 110/18. i 32/20.</w:t>
      </w:r>
      <w:r>
        <w:t>) i članka 40. Statuta Grada Koprivnice (“Glasnik Grada Koprivnice” broj 4/09., 1/12., 1/13., 3/13. – pročišćeni tekst 1/18, 2/20. i 1/21).</w:t>
      </w:r>
    </w:p>
    <w:p w14:paraId="566CBA4B" w14:textId="77777777" w:rsidR="00CB3B20" w:rsidRDefault="00CB3B20" w:rsidP="00CB3B20"/>
    <w:p w14:paraId="2433AB7C" w14:textId="77777777" w:rsidR="00CB3B20" w:rsidRDefault="00CB3B20" w:rsidP="00CB3B20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Ocjena stanja i osnovna pitanja koja se uređuju aktom i objašnjenje pojedinih odredbi</w:t>
      </w:r>
    </w:p>
    <w:p w14:paraId="6D467E86" w14:textId="77777777" w:rsidR="00CB3B20" w:rsidRDefault="00CB3B20" w:rsidP="00CB3B20">
      <w:pPr>
        <w:rPr>
          <w:sz w:val="12"/>
          <w:szCs w:val="12"/>
        </w:rPr>
      </w:pPr>
    </w:p>
    <w:p w14:paraId="4470C9A6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>Programom  se  određuje slijedeće:</w:t>
      </w:r>
    </w:p>
    <w:p w14:paraId="35F4BF98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I.    građevine komunalne infrastrukture koje će se graditi radi uređenja neuređenih dijelova </w:t>
      </w:r>
    </w:p>
    <w:p w14:paraId="0966FF57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4F5E6D45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II.   građevine komunalne infrastrukture koje će se graditi u uređenim dijelovima </w:t>
      </w:r>
    </w:p>
    <w:p w14:paraId="7492C089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       građevinskog područja</w:t>
      </w:r>
    </w:p>
    <w:p w14:paraId="3CF14B1F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>III.  građevine komunalne infrastrukture koje će se graditi izvan građevinskog područja</w:t>
      </w:r>
    </w:p>
    <w:p w14:paraId="0FDBA7C6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IV.  postojeće građevine komunalne infrastrukture koje će se rekonstruirati i način </w:t>
      </w:r>
    </w:p>
    <w:p w14:paraId="78C023A7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 xml:space="preserve">       rekonstrukcije</w:t>
      </w:r>
    </w:p>
    <w:p w14:paraId="7E24BDDE" w14:textId="77777777" w:rsidR="00CB3B20" w:rsidRDefault="00CB3B20" w:rsidP="00CB3B20">
      <w:pPr>
        <w:jc w:val="both"/>
        <w:rPr>
          <w:lang w:eastAsia="x-none"/>
        </w:rPr>
      </w:pPr>
      <w:r>
        <w:rPr>
          <w:lang w:eastAsia="x-none"/>
        </w:rPr>
        <w:t>V.  ostalo</w:t>
      </w:r>
    </w:p>
    <w:p w14:paraId="6294E5C2" w14:textId="77777777" w:rsidR="00CB3B20" w:rsidRDefault="00CB3B20" w:rsidP="00CB3B20">
      <w:pPr>
        <w:rPr>
          <w:sz w:val="12"/>
          <w:szCs w:val="12"/>
        </w:rPr>
      </w:pPr>
    </w:p>
    <w:p w14:paraId="053F23EA" w14:textId="77777777" w:rsidR="00CB3B20" w:rsidRDefault="00CB3B20" w:rsidP="00CB3B20">
      <w:pPr>
        <w:jc w:val="both"/>
      </w:pPr>
      <w:r>
        <w:t xml:space="preserve">Vrijednost sredstava za gradnju objekata i uređaja komunalne infrastrukture za javne površine, staze, nerazvrstane ceste, javnu rasvjetu i odvodnju oborinskih voda planiranih unutar II. izmjene Programa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</w:r>
    </w:p>
    <w:p w14:paraId="625172B7" w14:textId="77777777" w:rsidR="00CB3B20" w:rsidRDefault="00CB3B20" w:rsidP="00CB3B20">
      <w:pPr>
        <w:jc w:val="both"/>
      </w:pPr>
      <w:r>
        <w:t>Troškovi su planirani ovisno o obimu zahvata i dinamici odnosno planiranoj fazi provođenja pojedinog investicijskog projekta. Dio planiranih troškova tako se odnosi na nastavak provedbe i dovršetak već započetih investicijskih projekata, a dio na pripremu i provedbu investicijskih projekata čija realizacija je planirana u 2024. godini ili u narednom razdoblju.</w:t>
      </w:r>
    </w:p>
    <w:p w14:paraId="69AAC4D9" w14:textId="77777777" w:rsidR="00CB3B20" w:rsidRDefault="00CB3B20" w:rsidP="00CB3B20">
      <w:pPr>
        <w:jc w:val="both"/>
      </w:pPr>
      <w:r>
        <w:t>Prioriteti odabira investicijskih projekata planiranih II. izmjenom Programa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574EA806" w14:textId="77777777" w:rsidR="00CB3B20" w:rsidRDefault="00CB3B20" w:rsidP="00CB3B20">
      <w:pPr>
        <w:jc w:val="both"/>
      </w:pPr>
    </w:p>
    <w:p w14:paraId="7F90DD4B" w14:textId="77777777" w:rsidR="00CB3B20" w:rsidRDefault="00CB3B20" w:rsidP="00CB3B20">
      <w:pPr>
        <w:jc w:val="both"/>
      </w:pPr>
    </w:p>
    <w:p w14:paraId="738694C2" w14:textId="77777777" w:rsidR="00CB3B20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>
        <w:rPr>
          <w:lang w:eastAsia="x-none"/>
        </w:rPr>
        <w:t xml:space="preserve">I.    GRAĐEVINE KOMUNALNE INFRASTRUKTURE KOJE ĆE SE GRADITI RADI    </w:t>
      </w:r>
    </w:p>
    <w:p w14:paraId="0D05C2E7" w14:textId="77777777" w:rsidR="00CB3B20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>
        <w:rPr>
          <w:lang w:eastAsia="x-none"/>
        </w:rPr>
        <w:t xml:space="preserve">       UREĐENJA NEUREĐENIH DIJELOVA GRAĐEVINSKOG PODRUČJA</w:t>
      </w:r>
    </w:p>
    <w:p w14:paraId="3112C51A" w14:textId="77777777" w:rsidR="00CB3B20" w:rsidRDefault="00CB3B20" w:rsidP="00CB3B20">
      <w:pPr>
        <w:jc w:val="both"/>
        <w:rPr>
          <w:lang w:eastAsia="x-none"/>
        </w:rPr>
      </w:pPr>
    </w:p>
    <w:p w14:paraId="38203E3A" w14:textId="77777777" w:rsidR="00CB3B20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>
        <w:rPr>
          <w:rFonts w:ascii="Times New Roman" w:hAnsi="Times New Roman"/>
          <w:sz w:val="24"/>
          <w:lang w:eastAsia="x-none"/>
        </w:rPr>
        <w:t xml:space="preserve">NERAZVRSTANE CESTE, EKI I JAVNA RASVJETA  </w:t>
      </w:r>
    </w:p>
    <w:p w14:paraId="4800115C" w14:textId="77777777" w:rsidR="00CB3B20" w:rsidRPr="00466A8F" w:rsidRDefault="00CB3B20" w:rsidP="00CB3B20">
      <w:pPr>
        <w:jc w:val="both"/>
      </w:pPr>
    </w:p>
    <w:p w14:paraId="45A6CB8A" w14:textId="77777777" w:rsidR="00CB3B20" w:rsidRPr="00466A8F" w:rsidRDefault="00CB3B20" w:rsidP="00CB3B20">
      <w:pPr>
        <w:numPr>
          <w:ilvl w:val="0"/>
          <w:numId w:val="3"/>
        </w:numPr>
        <w:spacing w:after="120"/>
        <w:jc w:val="both"/>
        <w:rPr>
          <w:i/>
        </w:rPr>
      </w:pPr>
      <w:r w:rsidRPr="00466A8F">
        <w:rPr>
          <w:i/>
        </w:rPr>
        <w:t>Izgradnja infrastrukture u Ulici dr. Alberta Heinricha za proširenje stambene zone</w:t>
      </w:r>
    </w:p>
    <w:p w14:paraId="2ADB5429" w14:textId="77777777" w:rsidR="00CB3B20" w:rsidRPr="00466A8F" w:rsidRDefault="00CB3B20" w:rsidP="00CB3B20">
      <w:pPr>
        <w:jc w:val="both"/>
      </w:pPr>
      <w:r w:rsidRPr="00466A8F">
        <w:rPr>
          <w:sz w:val="23"/>
          <w:szCs w:val="23"/>
        </w:rPr>
        <w:t>Ovom II. izmjenom Programa građenja, planirani iznos za provedbu investicije ostaje nepromijenjen.</w:t>
      </w:r>
    </w:p>
    <w:p w14:paraId="3B38795E" w14:textId="77777777" w:rsidR="00CB3B20" w:rsidRPr="00466A8F" w:rsidRDefault="00CB3B20" w:rsidP="00CB3B20">
      <w:pPr>
        <w:jc w:val="both"/>
      </w:pPr>
      <w:r w:rsidRPr="00466A8F">
        <w:t>Programom su planirana sredstva za izvođenje radova na izgradnji predmetne prometnice i obostranih staza s izvedbom kabelske kanalizacije i javne rasvjete uključujući i troškove provedbe stručnog nadzora nad izvođenjem radova.</w:t>
      </w:r>
    </w:p>
    <w:p w14:paraId="0094E823" w14:textId="77777777" w:rsidR="00CB3B20" w:rsidRDefault="00CB3B20" w:rsidP="00CB3B20">
      <w:pPr>
        <w:jc w:val="both"/>
        <w:rPr>
          <w:color w:val="FF0000"/>
        </w:rPr>
      </w:pPr>
    </w:p>
    <w:p w14:paraId="6B9A4A26" w14:textId="77777777" w:rsidR="00CB3B20" w:rsidRPr="00724836" w:rsidRDefault="00CB3B20" w:rsidP="00CB3B20">
      <w:pPr>
        <w:jc w:val="both"/>
        <w:rPr>
          <w:color w:val="FF0000"/>
        </w:rPr>
      </w:pPr>
    </w:p>
    <w:p w14:paraId="191B7FEE" w14:textId="77777777" w:rsidR="00CB3B20" w:rsidRPr="00CC29B5" w:rsidRDefault="00CB3B20" w:rsidP="00CB3B20">
      <w:pPr>
        <w:numPr>
          <w:ilvl w:val="0"/>
          <w:numId w:val="3"/>
        </w:numPr>
        <w:spacing w:after="120"/>
        <w:jc w:val="both"/>
        <w:rPr>
          <w:i/>
        </w:rPr>
      </w:pPr>
      <w:r w:rsidRPr="00CC29B5">
        <w:rPr>
          <w:i/>
        </w:rPr>
        <w:t>Proširenje stambene zone „</w:t>
      </w:r>
      <w:proofErr w:type="spellStart"/>
      <w:r w:rsidRPr="00CC29B5">
        <w:rPr>
          <w:i/>
        </w:rPr>
        <w:t>Cerine</w:t>
      </w:r>
      <w:proofErr w:type="spellEnd"/>
      <w:r w:rsidRPr="00CC29B5">
        <w:rPr>
          <w:i/>
        </w:rPr>
        <w:t>“</w:t>
      </w:r>
    </w:p>
    <w:p w14:paraId="4F0790AC" w14:textId="77777777" w:rsidR="00CB3B20" w:rsidRPr="00CC29B5" w:rsidRDefault="00CB3B20" w:rsidP="00CB3B20">
      <w:pPr>
        <w:jc w:val="both"/>
      </w:pPr>
      <w:r w:rsidRPr="00CC29B5">
        <w:rPr>
          <w:sz w:val="23"/>
          <w:szCs w:val="23"/>
        </w:rPr>
        <w:t xml:space="preserve">Ovom II. izmjenom Programa građenja, planirani iznos korigiran je u skladu sa stvarnim troškovima </w:t>
      </w:r>
    </w:p>
    <w:p w14:paraId="7045EDB3" w14:textId="77777777" w:rsidR="00CB3B20" w:rsidRPr="00FD19CB" w:rsidRDefault="00CB3B20" w:rsidP="00CB3B20">
      <w:pPr>
        <w:jc w:val="both"/>
      </w:pPr>
      <w:r w:rsidRPr="00CC29B5">
        <w:t xml:space="preserve">sveukupne provedbe predmetne investicije izvođenja radova izgradnje predmetne prometnice, obostranih </w:t>
      </w:r>
      <w:r w:rsidRPr="00FD19CB">
        <w:t>staza, kabelske kanalizacije i javne rasvjete, hortikulturno uređenje i izgradnju parkirališta uz prometnicu, uključujući i troškove provedbe stručnog nadzora nad izvođenjem radova sve do pune gotovosti i ishođenja uporabne dozvole.</w:t>
      </w:r>
    </w:p>
    <w:p w14:paraId="45BCD65A" w14:textId="77777777" w:rsidR="00CB3B20" w:rsidRPr="00FD19CB" w:rsidRDefault="00CB3B20" w:rsidP="00CB3B20">
      <w:pPr>
        <w:jc w:val="both"/>
      </w:pPr>
    </w:p>
    <w:p w14:paraId="78780AF1" w14:textId="77777777" w:rsidR="00CB3B20" w:rsidRPr="00FD19CB" w:rsidRDefault="00CB3B20" w:rsidP="00CB3B20">
      <w:pPr>
        <w:numPr>
          <w:ilvl w:val="0"/>
          <w:numId w:val="3"/>
        </w:numPr>
        <w:spacing w:after="120"/>
        <w:jc w:val="both"/>
        <w:rPr>
          <w:i/>
        </w:rPr>
      </w:pPr>
      <w:r w:rsidRPr="00FD19CB">
        <w:rPr>
          <w:i/>
        </w:rPr>
        <w:t>Proširenje poslovne zone „Radnička“</w:t>
      </w:r>
    </w:p>
    <w:p w14:paraId="3048ADFF" w14:textId="77777777" w:rsidR="00CB3B20" w:rsidRPr="00FD19CB" w:rsidRDefault="00CB3B20" w:rsidP="00CB3B20">
      <w:pPr>
        <w:jc w:val="both"/>
      </w:pPr>
      <w:r w:rsidRPr="00FD19CB">
        <w:rPr>
          <w:sz w:val="23"/>
          <w:szCs w:val="23"/>
        </w:rPr>
        <w:t>Ovom I</w:t>
      </w:r>
      <w:r>
        <w:rPr>
          <w:sz w:val="23"/>
          <w:szCs w:val="23"/>
        </w:rPr>
        <w:t>I</w:t>
      </w:r>
      <w:r w:rsidRPr="00FD19CB">
        <w:rPr>
          <w:sz w:val="23"/>
          <w:szCs w:val="23"/>
        </w:rPr>
        <w:t xml:space="preserve">. izmjenom Programa građenja, planirani iznos korigiran je u skladu sa stvarnim troškovima </w:t>
      </w:r>
    </w:p>
    <w:p w14:paraId="6F47DF95" w14:textId="77777777" w:rsidR="00CB3B20" w:rsidRPr="006E77E5" w:rsidRDefault="00CB3B20" w:rsidP="00CB3B20">
      <w:pPr>
        <w:jc w:val="both"/>
      </w:pPr>
      <w:r w:rsidRPr="00FD19CB">
        <w:t xml:space="preserve">sveukupne </w:t>
      </w:r>
      <w:r w:rsidRPr="006E77E5">
        <w:t xml:space="preserve">provedbe predmetne investicije izvođenja radova na izgradnji produžetka postojeće prometnice sjeverno od pruge s izvedbom kabelske kanalizacije i javne rasvjete uključujući i troškove provedbe stručnog nadzora nad izvođenjem radova. </w:t>
      </w:r>
    </w:p>
    <w:p w14:paraId="33595010" w14:textId="77777777" w:rsidR="00CB3B20" w:rsidRPr="006E77E5" w:rsidRDefault="00CB3B20" w:rsidP="00CB3B20">
      <w:pPr>
        <w:jc w:val="both"/>
      </w:pPr>
    </w:p>
    <w:p w14:paraId="04615640" w14:textId="77777777" w:rsidR="00CB3B20" w:rsidRPr="006E77E5" w:rsidRDefault="00CB3B20" w:rsidP="00CB3B20">
      <w:pPr>
        <w:numPr>
          <w:ilvl w:val="0"/>
          <w:numId w:val="3"/>
        </w:numPr>
        <w:spacing w:after="120"/>
        <w:jc w:val="both"/>
      </w:pPr>
      <w:r w:rsidRPr="006E77E5">
        <w:rPr>
          <w:i/>
        </w:rPr>
        <w:t xml:space="preserve">Nastavak komunalnog opremanja stambene zone „Cvjetna“ </w:t>
      </w:r>
    </w:p>
    <w:p w14:paraId="25367FF6" w14:textId="77777777" w:rsidR="00CB3B20" w:rsidRPr="006E77E5" w:rsidRDefault="00CB3B20" w:rsidP="00CB3B20">
      <w:pPr>
        <w:jc w:val="both"/>
        <w:rPr>
          <w:sz w:val="23"/>
          <w:szCs w:val="23"/>
        </w:rPr>
      </w:pPr>
      <w:r w:rsidRPr="006E77E5">
        <w:rPr>
          <w:sz w:val="23"/>
          <w:szCs w:val="23"/>
        </w:rPr>
        <w:t>Ovom II. izmjenom Programa građenja, planirani iznos za provedbu investicije usklađen je sa stvarnim troškovima provedbe investicije izrade projektne dokumentacije, u skladu sa ugovorenim iznosom.</w:t>
      </w:r>
    </w:p>
    <w:p w14:paraId="36D7C860" w14:textId="77777777" w:rsidR="00CB3B20" w:rsidRPr="000C6A38" w:rsidRDefault="00CB3B20" w:rsidP="00CB3B20">
      <w:pPr>
        <w:jc w:val="both"/>
      </w:pPr>
      <w:r w:rsidRPr="006E77E5">
        <w:t xml:space="preserve">Izmjenom programa ukinuta su prethodno predviđena sredstva za rješavanje imovinskopravnih odnosa, obzirom da je utvrđeno u postupku provedbe investicije da nije potrebno izvršiti otkup zemljišta u obuhvatu zahvata </w:t>
      </w:r>
      <w:r w:rsidRPr="000C6A38">
        <w:t>investicije.</w:t>
      </w:r>
    </w:p>
    <w:p w14:paraId="0F2ED3B5" w14:textId="77777777" w:rsidR="00CB3B20" w:rsidRPr="000C6A38" w:rsidRDefault="00CB3B20" w:rsidP="00CB3B20">
      <w:pPr>
        <w:jc w:val="both"/>
      </w:pPr>
    </w:p>
    <w:p w14:paraId="127C8F83" w14:textId="77777777" w:rsidR="00CB3B20" w:rsidRPr="000C6A38" w:rsidRDefault="00CB3B20" w:rsidP="00CB3B20">
      <w:pPr>
        <w:numPr>
          <w:ilvl w:val="0"/>
          <w:numId w:val="3"/>
        </w:numPr>
        <w:spacing w:after="120"/>
        <w:jc w:val="both"/>
        <w:rPr>
          <w:i/>
        </w:rPr>
      </w:pPr>
      <w:r w:rsidRPr="000C6A38">
        <w:rPr>
          <w:i/>
        </w:rPr>
        <w:t>Nastavak komunalnog opremanja poslovne zone „Radnička“</w:t>
      </w:r>
    </w:p>
    <w:p w14:paraId="4F9A5660" w14:textId="77777777" w:rsidR="00CB3B20" w:rsidRPr="000C6A38" w:rsidRDefault="00CB3B20" w:rsidP="00CB3B20">
      <w:pPr>
        <w:jc w:val="both"/>
        <w:rPr>
          <w:sz w:val="23"/>
          <w:szCs w:val="23"/>
        </w:rPr>
      </w:pPr>
      <w:r w:rsidRPr="000C6A38">
        <w:rPr>
          <w:sz w:val="23"/>
          <w:szCs w:val="23"/>
        </w:rPr>
        <w:t>Ovom II. izmjenom Programa građenja, planirani iznos za provedbu investicije ostaje nepromijenjen.</w:t>
      </w:r>
    </w:p>
    <w:p w14:paraId="6EF08D25" w14:textId="77777777" w:rsidR="00CB3B20" w:rsidRPr="000C6A38" w:rsidRDefault="00CB3B20" w:rsidP="00CB3B20">
      <w:pPr>
        <w:jc w:val="both"/>
        <w:rPr>
          <w:sz w:val="23"/>
          <w:szCs w:val="23"/>
        </w:rPr>
      </w:pPr>
      <w:r w:rsidRPr="000C6A38">
        <w:rPr>
          <w:sz w:val="23"/>
          <w:szCs w:val="23"/>
        </w:rPr>
        <w:t xml:space="preserve">Planirana je izgradnja prometnice sa stazom, </w:t>
      </w:r>
      <w:r w:rsidRPr="000C6A38">
        <w:t>s izvedbom kabelske kanalizacije i javne rasvjete, uslijed ukazane potrebe za izvedbom produžetka postojeće izvedene prometnice.</w:t>
      </w:r>
    </w:p>
    <w:p w14:paraId="1D63B057" w14:textId="77777777" w:rsidR="00CB3B20" w:rsidRPr="000C6A38" w:rsidRDefault="00CB3B20" w:rsidP="00CB3B20">
      <w:pPr>
        <w:jc w:val="both"/>
      </w:pPr>
      <w:r w:rsidRPr="000C6A38">
        <w:t>Osim sredstva za uslugu izrade projektne dokumentacije planirana su i sredstva za otkup zemljišta u zoni obuhvata zahvata odnosno rješavanje imovinskopravnih odnosa.</w:t>
      </w:r>
    </w:p>
    <w:p w14:paraId="1470C2AA" w14:textId="77777777" w:rsidR="00CB3B20" w:rsidRPr="000C6A38" w:rsidRDefault="00CB3B20" w:rsidP="00CB3B20">
      <w:pPr>
        <w:jc w:val="both"/>
      </w:pPr>
    </w:p>
    <w:p w14:paraId="44E8AB0E" w14:textId="77777777" w:rsidR="00CB3B20" w:rsidRPr="000C6A38" w:rsidRDefault="00CB3B20" w:rsidP="00CB3B20">
      <w:pPr>
        <w:numPr>
          <w:ilvl w:val="0"/>
          <w:numId w:val="8"/>
        </w:numPr>
        <w:spacing w:after="120"/>
        <w:jc w:val="both"/>
        <w:rPr>
          <w:i/>
        </w:rPr>
      </w:pPr>
      <w:r w:rsidRPr="000C6A38">
        <w:rPr>
          <w:i/>
        </w:rPr>
        <w:t>Komunalna infrastruktura u nastavku Ulice Miroslava Krleže do Bjelovarske ceste</w:t>
      </w:r>
    </w:p>
    <w:p w14:paraId="2CF713E0" w14:textId="77777777" w:rsidR="00CB3B20" w:rsidRPr="000C6A38" w:rsidRDefault="00CB3B20" w:rsidP="00CB3B20">
      <w:pPr>
        <w:jc w:val="both"/>
      </w:pPr>
      <w:r w:rsidRPr="000C6A38">
        <w:rPr>
          <w:sz w:val="23"/>
          <w:szCs w:val="23"/>
        </w:rPr>
        <w:t>Ovom II. izmjenom Programa građenja</w:t>
      </w:r>
      <w:r w:rsidRPr="000C6A38">
        <w:t xml:space="preserve"> planirana su sredstva za početak provedbe investicijskog projekta u smislu dijela troška izrade projektne dokumentacije za cestovnu građevinu – most preko vodotoka Koprivnice. </w:t>
      </w:r>
    </w:p>
    <w:p w14:paraId="1DC23F69" w14:textId="77777777" w:rsidR="00CB3B20" w:rsidRPr="000C6A38" w:rsidRDefault="00CB3B20" w:rsidP="00CB3B20">
      <w:pPr>
        <w:jc w:val="both"/>
      </w:pPr>
    </w:p>
    <w:p w14:paraId="40075A1D" w14:textId="77777777" w:rsidR="00CB3B20" w:rsidRPr="000C6A38" w:rsidRDefault="00CB3B20" w:rsidP="00CB3B20">
      <w:pPr>
        <w:jc w:val="both"/>
      </w:pPr>
    </w:p>
    <w:p w14:paraId="7518E280" w14:textId="77777777" w:rsidR="00CB3B20" w:rsidRPr="001E2941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1E2941">
        <w:rPr>
          <w:lang w:eastAsia="x-none"/>
        </w:rPr>
        <w:t xml:space="preserve">II.    GRAĐEVINE KOMUNALNE INFRASTRUKTURE KOJE ĆE SE GRADITI U  </w:t>
      </w:r>
    </w:p>
    <w:p w14:paraId="56B62BC7" w14:textId="77777777" w:rsidR="00CB3B20" w:rsidRPr="001E2941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1E2941">
        <w:rPr>
          <w:lang w:eastAsia="x-none"/>
        </w:rPr>
        <w:t xml:space="preserve">        UREĐENIM DIJELOVIMA GRAĐEVINSKOG PODRUČJA</w:t>
      </w:r>
    </w:p>
    <w:p w14:paraId="25BA650F" w14:textId="77777777" w:rsidR="00CB3B20" w:rsidRPr="00447F10" w:rsidRDefault="00CB3B20" w:rsidP="00CB3B20">
      <w:pPr>
        <w:jc w:val="both"/>
      </w:pPr>
    </w:p>
    <w:p w14:paraId="7AC3BC46" w14:textId="77777777" w:rsidR="00CB3B20" w:rsidRPr="00447F10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447F10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421AC2BD" w14:textId="77777777" w:rsidR="00CB3B20" w:rsidRPr="00447F10" w:rsidRDefault="00CB3B20" w:rsidP="00CB3B20">
      <w:pPr>
        <w:jc w:val="both"/>
      </w:pPr>
    </w:p>
    <w:p w14:paraId="17ADA980" w14:textId="77777777" w:rsidR="00CB3B20" w:rsidRPr="00447F10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447F10">
        <w:rPr>
          <w:i/>
        </w:rPr>
        <w:t xml:space="preserve">Kružno raskrižje na spoju Ulice Ivana Mažuranića, Starogradske i </w:t>
      </w:r>
      <w:proofErr w:type="spellStart"/>
      <w:r w:rsidRPr="00447F10">
        <w:rPr>
          <w:i/>
        </w:rPr>
        <w:t>Špoljarske</w:t>
      </w:r>
      <w:proofErr w:type="spellEnd"/>
      <w:r w:rsidRPr="00447F10">
        <w:rPr>
          <w:i/>
        </w:rPr>
        <w:t xml:space="preserve"> ulice</w:t>
      </w:r>
    </w:p>
    <w:p w14:paraId="7C4C48FF" w14:textId="77777777" w:rsidR="00CB3B20" w:rsidRPr="00447F10" w:rsidRDefault="00CB3B20" w:rsidP="00CB3B20">
      <w:pPr>
        <w:ind w:left="360"/>
        <w:jc w:val="both"/>
        <w:rPr>
          <w:i/>
          <w:sz w:val="12"/>
          <w:szCs w:val="12"/>
        </w:rPr>
      </w:pPr>
    </w:p>
    <w:p w14:paraId="15995301" w14:textId="77777777" w:rsidR="00CB3B20" w:rsidRPr="00447F10" w:rsidRDefault="00CB3B20" w:rsidP="00CB3B20">
      <w:pPr>
        <w:jc w:val="both"/>
      </w:pPr>
      <w:r w:rsidRPr="00447F10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447F10">
        <w:t>provedbe predmetne investicije. Očekivani dovršetak cjelokupne provedbe investicije je u 2025. godini.</w:t>
      </w:r>
    </w:p>
    <w:p w14:paraId="36120449" w14:textId="77777777" w:rsidR="00CB3B20" w:rsidRPr="00447F10" w:rsidRDefault="00CB3B20" w:rsidP="00CB3B20">
      <w:pPr>
        <w:jc w:val="both"/>
        <w:rPr>
          <w:sz w:val="23"/>
          <w:szCs w:val="23"/>
        </w:rPr>
      </w:pPr>
    </w:p>
    <w:p w14:paraId="6C3B43D3" w14:textId="77777777" w:rsidR="00CB3B20" w:rsidRPr="00447F10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447F10">
        <w:rPr>
          <w:sz w:val="23"/>
          <w:szCs w:val="23"/>
        </w:rPr>
        <w:t xml:space="preserve"> </w:t>
      </w:r>
      <w:r w:rsidRPr="00447F10">
        <w:rPr>
          <w:i/>
        </w:rPr>
        <w:t xml:space="preserve">Kružno raskrižje na spoju državnih cesta DC2 i DC20 te </w:t>
      </w:r>
      <w:proofErr w:type="spellStart"/>
      <w:r w:rsidRPr="00447F10">
        <w:rPr>
          <w:i/>
        </w:rPr>
        <w:t>Starčevićeve</w:t>
      </w:r>
      <w:proofErr w:type="spellEnd"/>
      <w:r w:rsidRPr="00447F10">
        <w:rPr>
          <w:i/>
        </w:rPr>
        <w:t xml:space="preserve"> ulice</w:t>
      </w:r>
    </w:p>
    <w:p w14:paraId="38A5F7A7" w14:textId="77777777" w:rsidR="00CB3B20" w:rsidRPr="00447F10" w:rsidRDefault="00CB3B20" w:rsidP="00CB3B20">
      <w:pPr>
        <w:ind w:left="360"/>
        <w:jc w:val="both"/>
        <w:rPr>
          <w:i/>
          <w:sz w:val="12"/>
          <w:szCs w:val="12"/>
        </w:rPr>
      </w:pPr>
    </w:p>
    <w:p w14:paraId="521AA133" w14:textId="77777777" w:rsidR="00CB3B20" w:rsidRPr="00447F10" w:rsidRDefault="00CB3B20" w:rsidP="00CB3B20">
      <w:pPr>
        <w:jc w:val="both"/>
        <w:rPr>
          <w:sz w:val="23"/>
          <w:szCs w:val="23"/>
        </w:rPr>
      </w:pPr>
      <w:r w:rsidRPr="00447F10">
        <w:rPr>
          <w:sz w:val="23"/>
          <w:szCs w:val="23"/>
        </w:rPr>
        <w:t xml:space="preserve">Ovom II. izmjenom Programa građenja, planirani iznos za provedbu investicije ostaje nepromijenjen. </w:t>
      </w:r>
    </w:p>
    <w:p w14:paraId="62A71211" w14:textId="77777777" w:rsidR="00CB3B20" w:rsidRPr="00447F10" w:rsidRDefault="00CB3B20" w:rsidP="00CB3B20">
      <w:pPr>
        <w:jc w:val="both"/>
        <w:rPr>
          <w:sz w:val="23"/>
          <w:szCs w:val="23"/>
        </w:rPr>
      </w:pPr>
      <w:r w:rsidRPr="00447F10">
        <w:rPr>
          <w:sz w:val="23"/>
          <w:szCs w:val="23"/>
        </w:rPr>
        <w:lastRenderedPageBreak/>
        <w:t xml:space="preserve">Programom građenja planiran je iznos za izradu projektno tehničke dokumentacije. </w:t>
      </w:r>
    </w:p>
    <w:p w14:paraId="3E6D0FA3" w14:textId="77777777" w:rsidR="00CB3B20" w:rsidRPr="00724836" w:rsidRDefault="00CB3B20" w:rsidP="00CB3B20">
      <w:pPr>
        <w:jc w:val="both"/>
        <w:rPr>
          <w:color w:val="FF0000"/>
          <w:sz w:val="23"/>
          <w:szCs w:val="23"/>
        </w:rPr>
      </w:pPr>
    </w:p>
    <w:p w14:paraId="78FDA48C" w14:textId="77777777" w:rsidR="00CB3B20" w:rsidRPr="00433D17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</w:pPr>
      <w:r w:rsidRPr="00433D17">
        <w:rPr>
          <w:i/>
        </w:rPr>
        <w:t xml:space="preserve">Pristupna prometnica dječjem vrtiću u </w:t>
      </w:r>
      <w:proofErr w:type="spellStart"/>
      <w:r w:rsidRPr="00433D17">
        <w:rPr>
          <w:i/>
        </w:rPr>
        <w:t>Herešinu</w:t>
      </w:r>
      <w:proofErr w:type="spellEnd"/>
    </w:p>
    <w:p w14:paraId="359E81E0" w14:textId="77777777" w:rsidR="00CB3B20" w:rsidRPr="00433D17" w:rsidRDefault="00CB3B20" w:rsidP="00CB3B20">
      <w:pPr>
        <w:tabs>
          <w:tab w:val="left" w:pos="270"/>
        </w:tabs>
        <w:jc w:val="both"/>
        <w:rPr>
          <w:i/>
          <w:sz w:val="12"/>
          <w:szCs w:val="12"/>
          <w:highlight w:val="yellow"/>
        </w:rPr>
      </w:pPr>
    </w:p>
    <w:p w14:paraId="1CE94153" w14:textId="77777777" w:rsidR="00CB3B20" w:rsidRPr="008915EE" w:rsidRDefault="00CB3B20" w:rsidP="00CB3B20">
      <w:pPr>
        <w:tabs>
          <w:tab w:val="left" w:pos="270"/>
        </w:tabs>
        <w:jc w:val="both"/>
      </w:pPr>
      <w:r w:rsidRPr="00433D17">
        <w:rPr>
          <w:sz w:val="23"/>
          <w:szCs w:val="23"/>
        </w:rPr>
        <w:t xml:space="preserve">Ovom II. izmjenom Programa građenja, korigiran je planirani iznos za troškove rješavanja </w:t>
      </w:r>
      <w:r w:rsidRPr="00F13890">
        <w:t xml:space="preserve">imovinskopravnih odnosa odnosno otkup zemljišta dok je </w:t>
      </w:r>
      <w:r w:rsidRPr="00F13890">
        <w:rPr>
          <w:sz w:val="23"/>
          <w:szCs w:val="23"/>
        </w:rPr>
        <w:t xml:space="preserve">iznos za izradu projektne dokumentacije </w:t>
      </w:r>
      <w:r w:rsidRPr="00FF1231">
        <w:rPr>
          <w:sz w:val="23"/>
          <w:szCs w:val="23"/>
        </w:rPr>
        <w:t xml:space="preserve">kao i svih pratećih troškova za ishođenje akta za gradnju </w:t>
      </w:r>
      <w:r w:rsidRPr="00FF1231">
        <w:t>nove prometnice sa stazom, javnom rasvjetom i kabelskom kan</w:t>
      </w:r>
      <w:r w:rsidRPr="008915EE">
        <w:t>alizacijom kao pristupne prometnice novom vrtiću ostao nepromijenjen.</w:t>
      </w:r>
    </w:p>
    <w:p w14:paraId="3B7BC38D" w14:textId="77777777" w:rsidR="00CB3B20" w:rsidRPr="008915EE" w:rsidRDefault="00CB3B20" w:rsidP="00CB3B20">
      <w:pPr>
        <w:tabs>
          <w:tab w:val="left" w:pos="270"/>
        </w:tabs>
        <w:jc w:val="both"/>
      </w:pPr>
    </w:p>
    <w:p w14:paraId="1609CD1F" w14:textId="77777777" w:rsidR="00CB3B20" w:rsidRPr="008915EE" w:rsidRDefault="00CB3B20" w:rsidP="00CB3B20">
      <w:pPr>
        <w:tabs>
          <w:tab w:val="left" w:pos="270"/>
        </w:tabs>
        <w:jc w:val="both"/>
      </w:pPr>
    </w:p>
    <w:p w14:paraId="110ECA06" w14:textId="77777777" w:rsidR="00CB3B20" w:rsidRPr="008915EE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8915EE">
        <w:rPr>
          <w:rFonts w:ascii="Times New Roman" w:hAnsi="Times New Roman"/>
          <w:sz w:val="24"/>
          <w:lang w:eastAsia="x-none"/>
        </w:rPr>
        <w:t>JAVNE POVRŠINE NA KOJIMA NIJE DOZVOLJEN PROMET MOTORNIH VOZILA</w:t>
      </w:r>
    </w:p>
    <w:p w14:paraId="7F68FEA6" w14:textId="77777777" w:rsidR="00CB3B20" w:rsidRPr="008915EE" w:rsidRDefault="00CB3B20" w:rsidP="00CB3B20">
      <w:pPr>
        <w:jc w:val="both"/>
      </w:pPr>
    </w:p>
    <w:p w14:paraId="79FE2887" w14:textId="77777777" w:rsidR="00CB3B20" w:rsidRPr="008915EE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8915EE">
        <w:rPr>
          <w:i/>
        </w:rPr>
        <w:t xml:space="preserve">Izgradnja pješačko biciklističke staze između naselja </w:t>
      </w:r>
      <w:proofErr w:type="spellStart"/>
      <w:r w:rsidRPr="008915EE">
        <w:rPr>
          <w:i/>
        </w:rPr>
        <w:t>Draganovec</w:t>
      </w:r>
      <w:proofErr w:type="spellEnd"/>
      <w:r w:rsidRPr="008915EE">
        <w:rPr>
          <w:i/>
        </w:rPr>
        <w:t xml:space="preserve"> i </w:t>
      </w:r>
      <w:proofErr w:type="spellStart"/>
      <w:r w:rsidRPr="008915EE">
        <w:rPr>
          <w:i/>
        </w:rPr>
        <w:t>Štaglinec</w:t>
      </w:r>
      <w:proofErr w:type="spellEnd"/>
      <w:r w:rsidRPr="008915EE">
        <w:rPr>
          <w:i/>
        </w:rPr>
        <w:t xml:space="preserve"> </w:t>
      </w:r>
    </w:p>
    <w:p w14:paraId="2665B78F" w14:textId="77777777" w:rsidR="00CB3B20" w:rsidRPr="008915EE" w:rsidRDefault="00CB3B20" w:rsidP="00CB3B20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273FADCF" w14:textId="77777777" w:rsidR="00CB3B20" w:rsidRPr="008915EE" w:rsidRDefault="00CB3B20" w:rsidP="00CB3B20">
      <w:pPr>
        <w:jc w:val="both"/>
      </w:pPr>
      <w:r w:rsidRPr="008915EE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8915EE">
        <w:t>provedbe predmetne investicije. Očekivani dovršetak cjelokupne provedbe investicije je u 2025. godini.</w:t>
      </w:r>
    </w:p>
    <w:p w14:paraId="50FBB544" w14:textId="77777777" w:rsidR="00CB3B20" w:rsidRPr="008915EE" w:rsidRDefault="00CB3B20" w:rsidP="00CB3B20">
      <w:pPr>
        <w:jc w:val="both"/>
        <w:rPr>
          <w:sz w:val="23"/>
          <w:szCs w:val="23"/>
        </w:rPr>
      </w:pPr>
    </w:p>
    <w:p w14:paraId="6365CE16" w14:textId="77777777" w:rsidR="00CB3B20" w:rsidRPr="008915EE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8915EE">
        <w:rPr>
          <w:i/>
        </w:rPr>
        <w:t xml:space="preserve">Izgradnja pješačke staze u Cvjetnoj ulici </w:t>
      </w:r>
    </w:p>
    <w:p w14:paraId="53A020C5" w14:textId="77777777" w:rsidR="00CB3B20" w:rsidRPr="008915EE" w:rsidRDefault="00CB3B20" w:rsidP="00CB3B20">
      <w:pPr>
        <w:tabs>
          <w:tab w:val="left" w:pos="270"/>
        </w:tabs>
        <w:jc w:val="both"/>
        <w:rPr>
          <w:sz w:val="12"/>
          <w:szCs w:val="12"/>
        </w:rPr>
      </w:pPr>
    </w:p>
    <w:p w14:paraId="41160C4B" w14:textId="77777777" w:rsidR="00CB3B20" w:rsidRPr="008915EE" w:rsidRDefault="00CB3B20" w:rsidP="00CB3B20">
      <w:pPr>
        <w:jc w:val="both"/>
      </w:pPr>
      <w:r w:rsidRPr="008915EE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8915EE">
        <w:t>provedbe predmetne investicije. Očekivani dovršetak cjelokupne provedbe investicije je u 2025. godini.</w:t>
      </w:r>
    </w:p>
    <w:p w14:paraId="05E27437" w14:textId="77777777" w:rsidR="00CB3B20" w:rsidRPr="008915EE" w:rsidRDefault="00CB3B20" w:rsidP="00CB3B20">
      <w:pPr>
        <w:spacing w:line="360" w:lineRule="auto"/>
        <w:jc w:val="both"/>
      </w:pPr>
    </w:p>
    <w:p w14:paraId="5B9102B9" w14:textId="77777777" w:rsidR="00CB3B20" w:rsidRPr="008915EE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8915EE">
        <w:rPr>
          <w:rFonts w:ascii="Times New Roman" w:hAnsi="Times New Roman"/>
          <w:sz w:val="24"/>
          <w:lang w:eastAsia="x-none"/>
        </w:rPr>
        <w:t>JAVNE ZELENE POVRŠINE</w:t>
      </w:r>
    </w:p>
    <w:p w14:paraId="65225B81" w14:textId="77777777" w:rsidR="00CB3B20" w:rsidRPr="008915EE" w:rsidRDefault="00CB3B20" w:rsidP="00CB3B20">
      <w:pPr>
        <w:ind w:left="360"/>
        <w:jc w:val="both"/>
        <w:rPr>
          <w:lang w:eastAsia="x-none"/>
        </w:rPr>
      </w:pPr>
    </w:p>
    <w:p w14:paraId="721D5E12" w14:textId="77777777" w:rsidR="00CB3B20" w:rsidRPr="008915EE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8915EE">
        <w:rPr>
          <w:i/>
        </w:rPr>
        <w:t>Dječja igrališta i sportsko rekreacijski sadržaji</w:t>
      </w:r>
    </w:p>
    <w:p w14:paraId="6BAEBC31" w14:textId="77777777" w:rsidR="00CB3B20" w:rsidRPr="008915EE" w:rsidRDefault="00CB3B20" w:rsidP="00CB3B20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2976941F" w14:textId="77777777" w:rsidR="00CB3B20" w:rsidRPr="008915EE" w:rsidRDefault="00CB3B20" w:rsidP="00CB3B20">
      <w:pPr>
        <w:jc w:val="both"/>
      </w:pPr>
      <w:r w:rsidRPr="008915EE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8915EE">
        <w:t xml:space="preserve">provedene investicije. Sredstva su osigurana za </w:t>
      </w:r>
      <w:r w:rsidRPr="008915EE">
        <w:rPr>
          <w:sz w:val="23"/>
          <w:szCs w:val="23"/>
        </w:rPr>
        <w:t>rekonstrukciju postojećeg dječjeg igrališta DV Tratinčica – objekt Zvjezdica za kojeg su dobivena sredstva za sufinanciranje izvedbe predmetnih radova i opreme temeljem sklopljenog ugovora o sufinanciranju od strane Središnjeg državnog ureda za demografiju i mlade i Programa podrške poboljšanju materijalnih uvjeta u dječjim vrtićima u 2024.godini.</w:t>
      </w:r>
    </w:p>
    <w:p w14:paraId="451D2787" w14:textId="77777777" w:rsidR="00CB3B20" w:rsidRPr="008915EE" w:rsidRDefault="00CB3B20" w:rsidP="00CB3B20">
      <w:pPr>
        <w:jc w:val="both"/>
      </w:pPr>
    </w:p>
    <w:p w14:paraId="0A823DB6" w14:textId="77777777" w:rsidR="00CB3B20" w:rsidRPr="008915EE" w:rsidRDefault="00CB3B20" w:rsidP="00CB3B20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8915EE">
        <w:rPr>
          <w:i/>
        </w:rPr>
        <w:t xml:space="preserve">Razvoj rekreacijske zone </w:t>
      </w:r>
      <w:proofErr w:type="spellStart"/>
      <w:r w:rsidRPr="008915EE">
        <w:rPr>
          <w:i/>
        </w:rPr>
        <w:t>Cerine</w:t>
      </w:r>
      <w:proofErr w:type="spellEnd"/>
      <w:r w:rsidRPr="008915EE">
        <w:rPr>
          <w:i/>
        </w:rPr>
        <w:t xml:space="preserve"> – teniski tereni</w:t>
      </w:r>
    </w:p>
    <w:p w14:paraId="41863686" w14:textId="77777777" w:rsidR="00CB3B20" w:rsidRPr="008915EE" w:rsidRDefault="00CB3B20" w:rsidP="00CB3B20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54E6907D" w14:textId="77777777" w:rsidR="00CB3B20" w:rsidRPr="008915EE" w:rsidRDefault="00CB3B20" w:rsidP="00CB3B20">
      <w:pPr>
        <w:tabs>
          <w:tab w:val="left" w:pos="270"/>
        </w:tabs>
        <w:jc w:val="both"/>
        <w:rPr>
          <w:i/>
        </w:rPr>
      </w:pPr>
      <w:r w:rsidRPr="008915EE">
        <w:rPr>
          <w:sz w:val="23"/>
          <w:szCs w:val="23"/>
        </w:rPr>
        <w:t xml:space="preserve">Ovom II. izmjenom Programa građenja, korigiran je planirani iznos, u skladu sa stvarnim troškovnima, za izradu projektne dokumentacije kao i svih pratećih troškova za ishođenje akta za gradnju za Razvoj rekreacijske zone </w:t>
      </w:r>
      <w:proofErr w:type="spellStart"/>
      <w:r w:rsidRPr="008915EE">
        <w:rPr>
          <w:sz w:val="23"/>
          <w:szCs w:val="23"/>
        </w:rPr>
        <w:t>Cerine</w:t>
      </w:r>
      <w:proofErr w:type="spellEnd"/>
      <w:r w:rsidRPr="008915EE">
        <w:rPr>
          <w:sz w:val="23"/>
          <w:szCs w:val="23"/>
        </w:rPr>
        <w:t xml:space="preserve"> što u prvoj fazi uključuje izgradnju teniskih terena. Projekti se izrađuju u svrhu prijave na Javni poziv za iskaz interesa za sufinanciranje izgradnje, obnove, održavanja, opremanja i rekonstrukcije sportskih građevina u 2024. godini.</w:t>
      </w:r>
    </w:p>
    <w:p w14:paraId="2C41F523" w14:textId="77777777" w:rsidR="00CB3B20" w:rsidRPr="008915EE" w:rsidRDefault="00CB3B20" w:rsidP="00CB3B20">
      <w:pPr>
        <w:pStyle w:val="Odlomakpopisa"/>
        <w:jc w:val="both"/>
        <w:rPr>
          <w:rFonts w:ascii="Times New Roman" w:hAnsi="Times New Roman"/>
          <w:sz w:val="24"/>
          <w:lang w:eastAsia="x-none"/>
        </w:rPr>
      </w:pPr>
    </w:p>
    <w:p w14:paraId="7965FE80" w14:textId="77777777" w:rsidR="00CB3B20" w:rsidRPr="008915EE" w:rsidRDefault="00CB3B20" w:rsidP="00CB3B20">
      <w:pPr>
        <w:jc w:val="both"/>
      </w:pPr>
    </w:p>
    <w:p w14:paraId="58E17CF1" w14:textId="77777777" w:rsidR="00CB3B20" w:rsidRPr="008915EE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8915EE">
        <w:rPr>
          <w:lang w:eastAsia="x-none"/>
        </w:rPr>
        <w:t xml:space="preserve">III.    GRAĐEVINE KOMUNALNE INFRASTRUKTURE KOJE ĆE SE GRADITI IZVAN </w:t>
      </w:r>
    </w:p>
    <w:p w14:paraId="5D8320E9" w14:textId="77777777" w:rsidR="00CB3B20" w:rsidRPr="008915EE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8915EE">
        <w:rPr>
          <w:lang w:eastAsia="x-none"/>
        </w:rPr>
        <w:t xml:space="preserve">         GRAĐEVINSKOG PODRUČJA</w:t>
      </w:r>
    </w:p>
    <w:p w14:paraId="0A92720D" w14:textId="77777777" w:rsidR="00CB3B20" w:rsidRPr="008915EE" w:rsidRDefault="00CB3B20" w:rsidP="00CB3B20">
      <w:pPr>
        <w:jc w:val="both"/>
      </w:pPr>
    </w:p>
    <w:p w14:paraId="2F2E0350" w14:textId="77777777" w:rsidR="00CB3B20" w:rsidRPr="008915EE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8915EE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1341DC72" w14:textId="77777777" w:rsidR="00CB3B20" w:rsidRPr="008915EE" w:rsidRDefault="00CB3B20" w:rsidP="00CB3B20">
      <w:pPr>
        <w:jc w:val="both"/>
      </w:pPr>
    </w:p>
    <w:p w14:paraId="60B2C6B9" w14:textId="77777777" w:rsidR="00CB3B20" w:rsidRPr="008915EE" w:rsidRDefault="00CB3B20" w:rsidP="00CB3B20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8915EE">
        <w:rPr>
          <w:i/>
        </w:rPr>
        <w:t xml:space="preserve">Izgradnja spojne ceste o NK Zagorec do naselja </w:t>
      </w:r>
      <w:proofErr w:type="spellStart"/>
      <w:r w:rsidRPr="008915EE">
        <w:rPr>
          <w:i/>
        </w:rPr>
        <w:t>Herešin</w:t>
      </w:r>
      <w:proofErr w:type="spellEnd"/>
    </w:p>
    <w:p w14:paraId="457E81B8" w14:textId="77777777" w:rsidR="00CB3B20" w:rsidRPr="008915EE" w:rsidRDefault="00CB3B20" w:rsidP="00CB3B20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214359DF" w14:textId="77777777" w:rsidR="00CB3B20" w:rsidRPr="009F7CB0" w:rsidRDefault="00CB3B20" w:rsidP="00CB3B20">
      <w:pPr>
        <w:pStyle w:val="StandardWeb"/>
        <w:spacing w:before="0" w:beforeAutospacing="0" w:after="0" w:afterAutospacing="0"/>
        <w:jc w:val="both"/>
        <w:rPr>
          <w:lang w:eastAsia="en-US"/>
        </w:rPr>
      </w:pPr>
      <w:r w:rsidRPr="008915EE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8915EE">
        <w:t xml:space="preserve">provedbe predmetne investicije  izgradnje prometnice koja će se uklopiti u postojeći </w:t>
      </w:r>
      <w:r w:rsidRPr="008915EE">
        <w:lastRenderedPageBreak/>
        <w:t xml:space="preserve">put koji će se rekonstruirati a sve kao spojna cesta između </w:t>
      </w:r>
      <w:proofErr w:type="spellStart"/>
      <w:r w:rsidRPr="008915EE">
        <w:t>Herešina</w:t>
      </w:r>
      <w:proofErr w:type="spellEnd"/>
      <w:r w:rsidRPr="008915EE">
        <w:t xml:space="preserve"> i </w:t>
      </w:r>
      <w:proofErr w:type="spellStart"/>
      <w:r w:rsidRPr="008915EE">
        <w:t>Peteranske</w:t>
      </w:r>
      <w:proofErr w:type="spellEnd"/>
      <w:r w:rsidRPr="008915EE">
        <w:t xml:space="preserve"> ceste kao zaobilaznog alternativnog pravca do gradskog </w:t>
      </w:r>
      <w:proofErr w:type="spellStart"/>
      <w:r w:rsidRPr="008915EE">
        <w:t>kompostišta</w:t>
      </w:r>
      <w:proofErr w:type="spellEnd"/>
      <w:r w:rsidRPr="008915EE">
        <w:t xml:space="preserve">. Planirana sredstva također uključuju i </w:t>
      </w:r>
      <w:r w:rsidRPr="009F7CB0">
        <w:t>sredstva za provedbu stručnog nadzora nad izvođenjem radova. Sredstva su predviđena za provedbu investicije do pune gotovosti u skladu sa trenutnom dinamikom izvođenja radova.</w:t>
      </w:r>
    </w:p>
    <w:p w14:paraId="2FDB7450" w14:textId="77777777" w:rsidR="00CB3B20" w:rsidRPr="00CD5595" w:rsidRDefault="00CB3B20" w:rsidP="00CB3B20">
      <w:pPr>
        <w:jc w:val="both"/>
      </w:pPr>
    </w:p>
    <w:p w14:paraId="1109F2AA" w14:textId="77777777" w:rsidR="00CB3B20" w:rsidRPr="00CD5595" w:rsidRDefault="00CB3B20" w:rsidP="00CB3B20">
      <w:pPr>
        <w:pStyle w:val="Odlomakpopisa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</w:rPr>
      </w:pPr>
      <w:r w:rsidRPr="00CD5595">
        <w:rPr>
          <w:rFonts w:ascii="Times New Roman" w:hAnsi="Times New Roman"/>
          <w:i/>
          <w:sz w:val="24"/>
        </w:rPr>
        <w:t>Javna rasvjeta staze na Ivanjskoj cesti</w:t>
      </w:r>
    </w:p>
    <w:p w14:paraId="45AF0FD1" w14:textId="77777777" w:rsidR="00CB3B20" w:rsidRPr="00CD5595" w:rsidRDefault="00CB3B20" w:rsidP="00CB3B20">
      <w:pPr>
        <w:tabs>
          <w:tab w:val="left" w:pos="426"/>
        </w:tabs>
        <w:jc w:val="both"/>
        <w:rPr>
          <w:i/>
          <w:sz w:val="12"/>
          <w:szCs w:val="12"/>
        </w:rPr>
      </w:pPr>
    </w:p>
    <w:p w14:paraId="67FE9745" w14:textId="77777777" w:rsidR="00CB3B20" w:rsidRPr="00CD5595" w:rsidRDefault="00CB3B20" w:rsidP="00CB3B20">
      <w:pPr>
        <w:jc w:val="both"/>
      </w:pPr>
      <w:r w:rsidRPr="00CD5595">
        <w:rPr>
          <w:sz w:val="23"/>
          <w:szCs w:val="23"/>
        </w:rPr>
        <w:t>Ovom II. izmjenom Programa građenja, planirani iznos za provedbu investicije ostaje nepromijenjen</w:t>
      </w:r>
      <w:r w:rsidRPr="00CD5595">
        <w:t xml:space="preserve">, a odnosi se na trošak izrade projektne dokumentacije osvjetljenja staze uz dio ulice Ivanjska cesta u Koprivnici, ukupne dužine cca 1.800 m. </w:t>
      </w:r>
    </w:p>
    <w:p w14:paraId="2CFE23CF" w14:textId="77777777" w:rsidR="00CB3B20" w:rsidRPr="00CD5595" w:rsidRDefault="00CB3B20" w:rsidP="00CB3B20">
      <w:pPr>
        <w:spacing w:line="276" w:lineRule="auto"/>
        <w:jc w:val="both"/>
      </w:pPr>
    </w:p>
    <w:p w14:paraId="2CB08BB3" w14:textId="77777777" w:rsidR="00CB3B20" w:rsidRPr="00CD5595" w:rsidRDefault="00CB3B20" w:rsidP="00CB3B20">
      <w:pPr>
        <w:pStyle w:val="Odlomakpopisa"/>
        <w:numPr>
          <w:ilvl w:val="0"/>
          <w:numId w:val="7"/>
        </w:numPr>
        <w:tabs>
          <w:tab w:val="left" w:pos="426"/>
        </w:tabs>
        <w:spacing w:after="120"/>
        <w:ind w:left="0" w:firstLine="0"/>
        <w:jc w:val="both"/>
        <w:rPr>
          <w:rFonts w:ascii="Times New Roman" w:hAnsi="Times New Roman"/>
          <w:i/>
          <w:sz w:val="24"/>
        </w:rPr>
      </w:pPr>
      <w:r w:rsidRPr="00CD5595">
        <w:rPr>
          <w:rFonts w:ascii="Times New Roman" w:hAnsi="Times New Roman"/>
          <w:i/>
          <w:sz w:val="24"/>
        </w:rPr>
        <w:t xml:space="preserve">Javna rasvjeta staze </w:t>
      </w:r>
      <w:proofErr w:type="spellStart"/>
      <w:r w:rsidRPr="00CD5595">
        <w:rPr>
          <w:rFonts w:ascii="Times New Roman" w:hAnsi="Times New Roman"/>
          <w:i/>
          <w:sz w:val="24"/>
        </w:rPr>
        <w:t>Štaglinec</w:t>
      </w:r>
      <w:proofErr w:type="spellEnd"/>
      <w:r w:rsidRPr="00CD5595">
        <w:rPr>
          <w:rFonts w:ascii="Times New Roman" w:hAnsi="Times New Roman"/>
          <w:i/>
          <w:sz w:val="24"/>
        </w:rPr>
        <w:t xml:space="preserve"> - </w:t>
      </w:r>
      <w:proofErr w:type="spellStart"/>
      <w:r w:rsidRPr="00CD5595">
        <w:rPr>
          <w:rFonts w:ascii="Times New Roman" w:hAnsi="Times New Roman"/>
          <w:i/>
          <w:sz w:val="24"/>
        </w:rPr>
        <w:t>Draganovec</w:t>
      </w:r>
      <w:proofErr w:type="spellEnd"/>
    </w:p>
    <w:p w14:paraId="0BEC2128" w14:textId="77777777" w:rsidR="00CB3B20" w:rsidRPr="000C09DB" w:rsidRDefault="00CB3B20" w:rsidP="00CB3B20">
      <w:pPr>
        <w:tabs>
          <w:tab w:val="left" w:pos="426"/>
        </w:tabs>
        <w:spacing w:after="120"/>
        <w:jc w:val="both"/>
        <w:rPr>
          <w:i/>
        </w:rPr>
      </w:pPr>
      <w:r w:rsidRPr="000C09DB">
        <w:rPr>
          <w:sz w:val="23"/>
          <w:szCs w:val="23"/>
        </w:rPr>
        <w:t xml:space="preserve">Ovom II. izmjenom Programa građenja, planirani iznos za provedbu investicije ostaje nepromijenjen, a odnosi se na trošak izrade projektne dokumentacije </w:t>
      </w:r>
      <w:r w:rsidRPr="000C09DB">
        <w:t xml:space="preserve">izgradnje javne rasvjete za osvjetljavanje pješačko-biciklističke staze između naselja </w:t>
      </w:r>
      <w:proofErr w:type="spellStart"/>
      <w:r w:rsidRPr="000C09DB">
        <w:t>Draganovec</w:t>
      </w:r>
      <w:proofErr w:type="spellEnd"/>
      <w:r w:rsidRPr="000C09DB">
        <w:t xml:space="preserve"> i naselja </w:t>
      </w:r>
      <w:proofErr w:type="spellStart"/>
      <w:r w:rsidRPr="000C09DB">
        <w:t>Štaglinec</w:t>
      </w:r>
      <w:proofErr w:type="spellEnd"/>
      <w:r w:rsidRPr="000C09DB">
        <w:t xml:space="preserve"> kako bi se osigurala prometna sigurnost svih sudionika u prometa na predmetnoj stazi.</w:t>
      </w:r>
    </w:p>
    <w:p w14:paraId="7CC0A7CF" w14:textId="77777777" w:rsidR="00CB3B20" w:rsidRPr="000C09DB" w:rsidRDefault="00CB3B20" w:rsidP="00CB3B20">
      <w:pPr>
        <w:jc w:val="both"/>
      </w:pPr>
    </w:p>
    <w:p w14:paraId="05F2BDD1" w14:textId="77777777" w:rsidR="00CB3B20" w:rsidRPr="000C09DB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0C09DB">
        <w:rPr>
          <w:rFonts w:ascii="Times New Roman" w:hAnsi="Times New Roman"/>
          <w:sz w:val="24"/>
          <w:lang w:eastAsia="x-none"/>
        </w:rPr>
        <w:t>DRUGE GRAĐEVINE KOMUNALNE INFRASTRUKTURE</w:t>
      </w:r>
    </w:p>
    <w:p w14:paraId="4C68BA17" w14:textId="77777777" w:rsidR="00CB3B20" w:rsidRPr="000C09DB" w:rsidRDefault="00CB3B20" w:rsidP="00CB3B20">
      <w:pPr>
        <w:jc w:val="both"/>
      </w:pPr>
    </w:p>
    <w:p w14:paraId="68B7E2EA" w14:textId="77777777" w:rsidR="00CB3B20" w:rsidRPr="000C09DB" w:rsidRDefault="00CB3B20" w:rsidP="00CB3B20">
      <w:pPr>
        <w:pStyle w:val="Odlomakpopisa"/>
        <w:numPr>
          <w:ilvl w:val="0"/>
          <w:numId w:val="7"/>
        </w:numPr>
        <w:tabs>
          <w:tab w:val="left" w:pos="426"/>
        </w:tabs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0C09DB">
        <w:rPr>
          <w:rFonts w:ascii="Times New Roman" w:hAnsi="Times New Roman"/>
          <w:i/>
          <w:sz w:val="24"/>
        </w:rPr>
        <w:t xml:space="preserve">Postrojenje za sortiranje odvojeno prikupljenog otpada - </w:t>
      </w:r>
      <w:proofErr w:type="spellStart"/>
      <w:r w:rsidRPr="000C09DB">
        <w:rPr>
          <w:rFonts w:ascii="Times New Roman" w:hAnsi="Times New Roman"/>
          <w:i/>
          <w:sz w:val="24"/>
        </w:rPr>
        <w:t>Sortirnica</w:t>
      </w:r>
      <w:proofErr w:type="spellEnd"/>
      <w:r w:rsidRPr="000C09DB">
        <w:rPr>
          <w:rFonts w:ascii="Times New Roman" w:hAnsi="Times New Roman"/>
          <w:i/>
          <w:sz w:val="24"/>
        </w:rPr>
        <w:t xml:space="preserve"> </w:t>
      </w:r>
      <w:proofErr w:type="spellStart"/>
      <w:r w:rsidRPr="000C09DB">
        <w:rPr>
          <w:rFonts w:ascii="Times New Roman" w:hAnsi="Times New Roman"/>
          <w:i/>
          <w:sz w:val="24"/>
        </w:rPr>
        <w:t>Herešin</w:t>
      </w:r>
      <w:proofErr w:type="spellEnd"/>
    </w:p>
    <w:p w14:paraId="71890DB0" w14:textId="77777777" w:rsidR="00CB3B20" w:rsidRPr="00E43054" w:rsidRDefault="00CB3B20" w:rsidP="00CB3B20">
      <w:pPr>
        <w:jc w:val="both"/>
        <w:rPr>
          <w:sz w:val="23"/>
          <w:szCs w:val="23"/>
        </w:rPr>
      </w:pPr>
      <w:r w:rsidRPr="000C09DB">
        <w:rPr>
          <w:sz w:val="23"/>
          <w:szCs w:val="23"/>
        </w:rPr>
        <w:t xml:space="preserve">Ovom II. izmjenom Programa građenja, korigiran je potreban iznos za provođenje investicije a uključuje dio troška </w:t>
      </w:r>
      <w:proofErr w:type="spellStart"/>
      <w:r w:rsidRPr="000C09DB">
        <w:rPr>
          <w:sz w:val="23"/>
          <w:szCs w:val="23"/>
        </w:rPr>
        <w:t>priključenaj</w:t>
      </w:r>
      <w:proofErr w:type="spellEnd"/>
      <w:r w:rsidRPr="000C09DB">
        <w:rPr>
          <w:sz w:val="23"/>
          <w:szCs w:val="23"/>
        </w:rPr>
        <w:t xml:space="preserve"> električne energije i troškove izmjene projektne dokumentacije kojom je izvršena </w:t>
      </w:r>
      <w:r w:rsidRPr="00E43054">
        <w:rPr>
          <w:sz w:val="23"/>
          <w:szCs w:val="23"/>
        </w:rPr>
        <w:t>prijava na Poziv za izgradnju i/ili opremanje postrojenja za sortiranje odvojeno sakupljenog otpadnom papira, kartona, metala, plastike i drugih materijala (</w:t>
      </w:r>
      <w:proofErr w:type="spellStart"/>
      <w:r w:rsidRPr="00E43054">
        <w:rPr>
          <w:sz w:val="23"/>
          <w:szCs w:val="23"/>
        </w:rPr>
        <w:t>ref</w:t>
      </w:r>
      <w:proofErr w:type="spellEnd"/>
      <w:r w:rsidRPr="00E43054">
        <w:rPr>
          <w:sz w:val="23"/>
          <w:szCs w:val="23"/>
        </w:rPr>
        <w:t xml:space="preserve">. br. NPOO.C1.3.R2-11.05) te osigurano </w:t>
      </w:r>
      <w:proofErr w:type="spellStart"/>
      <w:r w:rsidRPr="00E43054">
        <w:rPr>
          <w:sz w:val="23"/>
          <w:szCs w:val="23"/>
        </w:rPr>
        <w:t>sufinanciranej</w:t>
      </w:r>
      <w:proofErr w:type="spellEnd"/>
      <w:r w:rsidRPr="00E43054">
        <w:rPr>
          <w:sz w:val="23"/>
          <w:szCs w:val="23"/>
        </w:rPr>
        <w:t xml:space="preserve"> provedbe investicije. Također uključuje i iznos sveukupnog troška prethodno izrađene projektne dokumentacije te svih popratnih troškova koji prethode ishođenju građevinske dozvole.</w:t>
      </w:r>
    </w:p>
    <w:p w14:paraId="31DEFB3F" w14:textId="77777777" w:rsidR="00CB3B20" w:rsidRPr="00E43054" w:rsidRDefault="00CB3B20" w:rsidP="00CB3B20">
      <w:pPr>
        <w:spacing w:after="120"/>
        <w:jc w:val="both"/>
      </w:pPr>
    </w:p>
    <w:p w14:paraId="52595F5A" w14:textId="77777777" w:rsidR="00CB3B20" w:rsidRPr="00E43054" w:rsidRDefault="00CB3B20" w:rsidP="00CB3B20">
      <w:pPr>
        <w:spacing w:after="120"/>
        <w:jc w:val="both"/>
      </w:pPr>
    </w:p>
    <w:p w14:paraId="49ABD3C4" w14:textId="77777777" w:rsidR="00CB3B20" w:rsidRPr="00E43054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E43054">
        <w:rPr>
          <w:lang w:eastAsia="x-none"/>
        </w:rPr>
        <w:t xml:space="preserve">IV. POSTOJEĆE GRAĐEVINE KOMUNALNE INFRASTRUKTURE KOJE ĆE SE </w:t>
      </w:r>
    </w:p>
    <w:p w14:paraId="5FE7D866" w14:textId="77777777" w:rsidR="00CB3B20" w:rsidRPr="00E43054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E43054">
        <w:rPr>
          <w:lang w:eastAsia="x-none"/>
        </w:rPr>
        <w:t xml:space="preserve">      REKONSTRUIRATI</w:t>
      </w:r>
    </w:p>
    <w:p w14:paraId="5C65A4DC" w14:textId="77777777" w:rsidR="00CB3B20" w:rsidRPr="00E43054" w:rsidRDefault="00CB3B20" w:rsidP="00CB3B20">
      <w:pPr>
        <w:jc w:val="both"/>
      </w:pPr>
    </w:p>
    <w:p w14:paraId="427263AA" w14:textId="77777777" w:rsidR="00CB3B20" w:rsidRPr="00E43054" w:rsidRDefault="00CB3B20" w:rsidP="00CB3B20">
      <w:pPr>
        <w:jc w:val="both"/>
        <w:rPr>
          <w:i/>
          <w:sz w:val="12"/>
          <w:szCs w:val="12"/>
        </w:rPr>
      </w:pPr>
    </w:p>
    <w:p w14:paraId="39663F22" w14:textId="77777777" w:rsidR="00CB3B20" w:rsidRPr="00E43054" w:rsidRDefault="00CB3B20" w:rsidP="00CB3B2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E43054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2290D50B" w14:textId="77777777" w:rsidR="00CB3B20" w:rsidRPr="00E43054" w:rsidRDefault="00CB3B20" w:rsidP="00CB3B20">
      <w:pPr>
        <w:jc w:val="both"/>
      </w:pPr>
    </w:p>
    <w:p w14:paraId="2949CABC" w14:textId="77777777" w:rsidR="00CB3B20" w:rsidRPr="00E43054" w:rsidRDefault="00CB3B20" w:rsidP="00CB3B20">
      <w:pPr>
        <w:spacing w:after="120"/>
        <w:jc w:val="both"/>
        <w:rPr>
          <w:i/>
        </w:rPr>
      </w:pPr>
      <w:r w:rsidRPr="00E43054">
        <w:rPr>
          <w:i/>
        </w:rPr>
        <w:t xml:space="preserve">1. Rekonstrukcija </w:t>
      </w:r>
      <w:proofErr w:type="spellStart"/>
      <w:r w:rsidRPr="00E43054">
        <w:rPr>
          <w:i/>
        </w:rPr>
        <w:t>Starčevićeve</w:t>
      </w:r>
      <w:proofErr w:type="spellEnd"/>
      <w:r w:rsidRPr="00E43054">
        <w:rPr>
          <w:i/>
        </w:rPr>
        <w:t xml:space="preserve"> ulice u Koprivnici</w:t>
      </w:r>
    </w:p>
    <w:p w14:paraId="0EF34992" w14:textId="77777777" w:rsidR="00CB3B20" w:rsidRPr="00C87CE4" w:rsidRDefault="00CB3B20" w:rsidP="00CB3B20">
      <w:pPr>
        <w:jc w:val="both"/>
        <w:rPr>
          <w:sz w:val="23"/>
          <w:szCs w:val="23"/>
        </w:rPr>
      </w:pPr>
      <w:r w:rsidRPr="00E43054">
        <w:rPr>
          <w:sz w:val="23"/>
          <w:szCs w:val="23"/>
        </w:rPr>
        <w:t xml:space="preserve">Ovom II. izmjenom Programa građenja, planirani iznos za provedbu investicije korigiran je u skladu sa realizacijom </w:t>
      </w:r>
      <w:r w:rsidRPr="00E43054">
        <w:t xml:space="preserve">provedbe predmetne investicije izvođenja radova rekonstrukcije i uređenja ulice </w:t>
      </w:r>
      <w:r w:rsidRPr="00C87CE4">
        <w:t>unutar javnog koridora i raskrižja a sve u skladu s važećom regulativom, uključujući i troškove provedbe stručnog nadzora nad izvođenjem radova.</w:t>
      </w:r>
    </w:p>
    <w:p w14:paraId="265A0D27" w14:textId="77777777" w:rsidR="00CB3B20" w:rsidRPr="00C87CE4" w:rsidRDefault="00CB3B20" w:rsidP="00CB3B20">
      <w:pPr>
        <w:jc w:val="both"/>
      </w:pPr>
    </w:p>
    <w:p w14:paraId="67B763F6" w14:textId="77777777" w:rsidR="00CB3B20" w:rsidRPr="00C87CE4" w:rsidRDefault="00CB3B20" w:rsidP="00CB3B20">
      <w:pPr>
        <w:pStyle w:val="Odlomakpopisa"/>
        <w:numPr>
          <w:ilvl w:val="0"/>
          <w:numId w:val="5"/>
        </w:numPr>
        <w:tabs>
          <w:tab w:val="left" w:pos="284"/>
        </w:tabs>
        <w:spacing w:after="120"/>
        <w:ind w:left="0" w:hanging="11"/>
        <w:jc w:val="both"/>
        <w:rPr>
          <w:rFonts w:ascii="Times New Roman" w:hAnsi="Times New Roman"/>
          <w:i/>
          <w:sz w:val="24"/>
        </w:rPr>
      </w:pPr>
      <w:r w:rsidRPr="00C87CE4">
        <w:rPr>
          <w:rFonts w:ascii="Times New Roman" w:hAnsi="Times New Roman"/>
          <w:i/>
          <w:sz w:val="24"/>
        </w:rPr>
        <w:t>Modernizacija javne rasvjete na području grada Koprivnice</w:t>
      </w:r>
    </w:p>
    <w:p w14:paraId="0182C98F" w14:textId="77777777" w:rsidR="00CB3B20" w:rsidRPr="00C87CE4" w:rsidRDefault="00CB3B20" w:rsidP="00CB3B20">
      <w:pPr>
        <w:jc w:val="both"/>
      </w:pPr>
      <w:r w:rsidRPr="00C87CE4">
        <w:t xml:space="preserve">Ovom II. izmjenom Programa građenja, planiran je iznos </w:t>
      </w:r>
      <w:r w:rsidRPr="00C87CE4">
        <w:rPr>
          <w:sz w:val="23"/>
          <w:szCs w:val="23"/>
        </w:rPr>
        <w:t xml:space="preserve">u skladu sa stvarnim troškovima </w:t>
      </w:r>
      <w:r w:rsidRPr="00C87CE4">
        <w:t xml:space="preserve">provedene predmetne investicije modernizacije/rekonstrukcije sustava javne rasvjete, odnosno zamjena svjetiljki </w:t>
      </w:r>
      <w:r w:rsidRPr="00C87CE4">
        <w:rPr>
          <w:lang w:val="hr"/>
        </w:rPr>
        <w:t>korištenjem tehnološki</w:t>
      </w:r>
      <w:r w:rsidRPr="00C87CE4">
        <w:rPr>
          <w:spacing w:val="-1"/>
          <w:lang w:val="hr"/>
        </w:rPr>
        <w:t xml:space="preserve"> naprednijih</w:t>
      </w:r>
      <w:r w:rsidRPr="00C87CE4">
        <w:rPr>
          <w:lang w:val="hr"/>
        </w:rPr>
        <w:t xml:space="preserve"> svjetiljka u</w:t>
      </w:r>
      <w:r w:rsidRPr="00C87CE4">
        <w:rPr>
          <w:spacing w:val="-1"/>
          <w:lang w:val="hr"/>
        </w:rPr>
        <w:t xml:space="preserve"> LED tehnologiji</w:t>
      </w:r>
      <w:r w:rsidRPr="00C87CE4">
        <w:t xml:space="preserve"> na području grada i prigradskih naselja, financiranjem putem ESIF Kredita za javnu rasvjetu koji su formirani s ciljem podupiranja ostvarenja energetskih ušteda u sustavima javne rasvjete provedbom mjera energetske obnove, a koje će rezultirati smanjenjem potrošnje električne energije u projektnim </w:t>
      </w:r>
      <w:r w:rsidRPr="00C87CE4">
        <w:lastRenderedPageBreak/>
        <w:t>cjelinama javne rasvjete. Unutar Programa građenja predviđa se i iznos za provođenje stručnog nadzora te usluge koordinatora zaštite na radu prilikom izvođenja radova.</w:t>
      </w:r>
    </w:p>
    <w:p w14:paraId="117B29BA" w14:textId="77777777" w:rsidR="00CB3B20" w:rsidRPr="009A0460" w:rsidRDefault="00CB3B20" w:rsidP="00CB3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9A0460">
        <w:rPr>
          <w:lang w:eastAsia="x-none"/>
        </w:rPr>
        <w:t>V. OSTALO</w:t>
      </w:r>
    </w:p>
    <w:p w14:paraId="3CFC6F95" w14:textId="77777777" w:rsidR="00CB3B20" w:rsidRPr="009A0460" w:rsidRDefault="00CB3B20" w:rsidP="00CB3B20">
      <w:pPr>
        <w:ind w:left="360"/>
        <w:jc w:val="both"/>
        <w:rPr>
          <w:sz w:val="12"/>
          <w:szCs w:val="12"/>
          <w:lang w:eastAsia="x-none"/>
        </w:rPr>
      </w:pPr>
    </w:p>
    <w:p w14:paraId="3B517026" w14:textId="77777777" w:rsidR="00CB3B20" w:rsidRPr="009A0460" w:rsidRDefault="00CB3B20" w:rsidP="00CB3B20">
      <w:pPr>
        <w:jc w:val="both"/>
        <w:rPr>
          <w:sz w:val="12"/>
          <w:szCs w:val="12"/>
        </w:rPr>
      </w:pPr>
    </w:p>
    <w:p w14:paraId="3E4828D6" w14:textId="77777777" w:rsidR="00CB3B20" w:rsidRPr="009A0460" w:rsidRDefault="00CB3B20" w:rsidP="00CB3B20">
      <w:pPr>
        <w:jc w:val="both"/>
      </w:pPr>
      <w:r w:rsidRPr="009A0460">
        <w:t>Ovom II. izmjenom Programa građenja, planirani iznos je korigiran u skladu sa stvarno nastalim nepredviđenim troškovima izvan Programa građenja a uključuje troškove izrade tehničkih rješenja, projektne dokumentacije, otkup zemljišta, radovi i stručni nadzor rekonstrukcije ili izgradnje građevina komunalne infrastrukture koji se iz objektivnih razloga nisu mogli pravovremeno predvidjeti.</w:t>
      </w:r>
    </w:p>
    <w:p w14:paraId="71537B12" w14:textId="77777777" w:rsidR="00CB3B20" w:rsidRPr="009A0460" w:rsidRDefault="00CB3B20" w:rsidP="00CB3B20">
      <w:pPr>
        <w:jc w:val="both"/>
      </w:pPr>
    </w:p>
    <w:p w14:paraId="2AA55FDF" w14:textId="77777777" w:rsidR="00CB3B20" w:rsidRDefault="00CB3B20" w:rsidP="00CB3B20">
      <w:pPr>
        <w:jc w:val="both"/>
        <w:rPr>
          <w:i/>
          <w:color w:val="FF0000"/>
        </w:rPr>
      </w:pPr>
    </w:p>
    <w:p w14:paraId="255BAB15" w14:textId="77777777" w:rsidR="00CB3B20" w:rsidRDefault="00CB3B20" w:rsidP="00CB3B20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 Potrebna sredstva za provedbu akta</w:t>
      </w:r>
    </w:p>
    <w:p w14:paraId="48BEF987" w14:textId="77777777" w:rsidR="00CB3B20" w:rsidRDefault="00CB3B20" w:rsidP="00CB3B20">
      <w:pPr>
        <w:spacing w:line="252" w:lineRule="auto"/>
        <w:ind w:left="1080"/>
        <w:contextualSpacing/>
        <w:jc w:val="both"/>
        <w:rPr>
          <w:rFonts w:eastAsia="Calibri"/>
          <w:b/>
          <w:bCs/>
          <w:sz w:val="12"/>
          <w:szCs w:val="12"/>
          <w:lang w:eastAsia="en-US"/>
        </w:rPr>
      </w:pPr>
    </w:p>
    <w:p w14:paraId="61779306" w14:textId="77777777" w:rsidR="00CB3B20" w:rsidRDefault="00CB3B20" w:rsidP="00CB3B20">
      <w:pPr>
        <w:spacing w:line="240" w:lineRule="atLeast"/>
        <w:ind w:left="360" w:firstLine="348"/>
        <w:jc w:val="both"/>
      </w:pPr>
      <w:r>
        <w:t xml:space="preserve">Za provedbu II. izmjene </w:t>
      </w:r>
      <w:r>
        <w:rPr>
          <w:lang w:eastAsia="x-none"/>
        </w:rPr>
        <w:t>Programa</w:t>
      </w:r>
      <w:r>
        <w:t xml:space="preserve"> u Proračunu Grada Koprivnice za 2024. godinu potrebno je osigurati </w:t>
      </w:r>
      <w:r w:rsidRPr="00DC5BC2">
        <w:t xml:space="preserve">sveukupno </w:t>
      </w:r>
      <w:r>
        <w:t>4.861.865,00</w:t>
      </w:r>
      <w:r w:rsidRPr="00DC5BC2">
        <w:t xml:space="preserve"> EUR. </w:t>
      </w:r>
    </w:p>
    <w:p w14:paraId="435024FF" w14:textId="77777777" w:rsidR="00CB3B20" w:rsidRPr="00FD3B24" w:rsidRDefault="00CB3B20" w:rsidP="00CB3B20">
      <w:pPr>
        <w:spacing w:line="240" w:lineRule="atLeast"/>
        <w:ind w:left="360" w:firstLine="348"/>
        <w:jc w:val="both"/>
        <w:rPr>
          <w:sz w:val="22"/>
          <w:szCs w:val="22"/>
        </w:rPr>
      </w:pPr>
      <w:r w:rsidRPr="00FD3B24">
        <w:rPr>
          <w:lang w:eastAsia="x-none"/>
        </w:rPr>
        <w:t>Izvori financiranja p</w:t>
      </w:r>
      <w:r w:rsidRPr="00FD3B24">
        <w:t>lanirani su na</w:t>
      </w:r>
      <w:r w:rsidRPr="00FD3B24">
        <w:rPr>
          <w:sz w:val="22"/>
          <w:szCs w:val="22"/>
        </w:rPr>
        <w:t xml:space="preserve"> slijedeći način:</w:t>
      </w:r>
    </w:p>
    <w:p w14:paraId="74A81FFA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 xml:space="preserve">sredstva komunalne naknade u iznosu od </w:t>
      </w:r>
      <w:r>
        <w:rPr>
          <w:sz w:val="22"/>
          <w:szCs w:val="22"/>
        </w:rPr>
        <w:t>1.999.450</w:t>
      </w:r>
      <w:r w:rsidRPr="00FD3B24">
        <w:rPr>
          <w:sz w:val="22"/>
          <w:szCs w:val="22"/>
        </w:rPr>
        <w:t>,00 EUR,</w:t>
      </w:r>
    </w:p>
    <w:p w14:paraId="70DFB5C0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>sredstva komunalnog doprinosa u iznosu od 499.000,00 EUR,</w:t>
      </w:r>
    </w:p>
    <w:p w14:paraId="514C715F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 xml:space="preserve">sredstva Proračun - opći prihodi i primici u iznosu </w:t>
      </w:r>
      <w:r>
        <w:rPr>
          <w:sz w:val="22"/>
          <w:szCs w:val="22"/>
        </w:rPr>
        <w:t>494.040</w:t>
      </w:r>
      <w:r w:rsidRPr="00FD3B24">
        <w:rPr>
          <w:sz w:val="22"/>
          <w:szCs w:val="22"/>
        </w:rPr>
        <w:t>,00 EUR,</w:t>
      </w:r>
    </w:p>
    <w:p w14:paraId="7CA635A1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 xml:space="preserve">sredstva od prodaje nefinancijske imovine u iznosu od </w:t>
      </w:r>
      <w:r>
        <w:rPr>
          <w:sz w:val="22"/>
          <w:szCs w:val="22"/>
        </w:rPr>
        <w:t>285</w:t>
      </w:r>
      <w:r w:rsidRPr="00FD3B24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Pr="00FD3B24">
        <w:rPr>
          <w:sz w:val="22"/>
          <w:szCs w:val="22"/>
        </w:rPr>
        <w:t xml:space="preserve">00,00 EUR, </w:t>
      </w:r>
    </w:p>
    <w:p w14:paraId="0F6465D1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 xml:space="preserve">sredstva kapitalnih pomoći od izvanproračunskih korisnika u iznosu od </w:t>
      </w:r>
      <w:r>
        <w:rPr>
          <w:sz w:val="22"/>
          <w:szCs w:val="22"/>
        </w:rPr>
        <w:t>91.915</w:t>
      </w:r>
      <w:r w:rsidRPr="00FD3B24">
        <w:rPr>
          <w:sz w:val="22"/>
          <w:szCs w:val="22"/>
        </w:rPr>
        <w:t>,00 EUR,</w:t>
      </w:r>
    </w:p>
    <w:p w14:paraId="19A2AE03" w14:textId="77777777" w:rsidR="00CB3B20" w:rsidRPr="00FD3B24" w:rsidRDefault="00CB3B20" w:rsidP="00CB3B20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D3B24">
        <w:rPr>
          <w:sz w:val="22"/>
          <w:szCs w:val="22"/>
        </w:rPr>
        <w:t>te namjenskih primitaka u iznosu od 1.</w:t>
      </w:r>
      <w:r>
        <w:rPr>
          <w:sz w:val="22"/>
          <w:szCs w:val="22"/>
        </w:rPr>
        <w:t>492.460</w:t>
      </w:r>
      <w:r w:rsidRPr="00FD3B24">
        <w:rPr>
          <w:sz w:val="22"/>
          <w:szCs w:val="22"/>
        </w:rPr>
        <w:t>,00 EUR.</w:t>
      </w:r>
    </w:p>
    <w:p w14:paraId="10FA6D94" w14:textId="77777777" w:rsidR="00CB3B20" w:rsidRPr="00FD3B24" w:rsidRDefault="00CB3B20" w:rsidP="00CB3B20">
      <w:pPr>
        <w:overflowPunct w:val="0"/>
        <w:autoSpaceDE w:val="0"/>
        <w:autoSpaceDN w:val="0"/>
        <w:adjustRightInd w:val="0"/>
        <w:ind w:left="720"/>
        <w:jc w:val="both"/>
        <w:rPr>
          <w:sz w:val="12"/>
          <w:szCs w:val="12"/>
        </w:rPr>
      </w:pPr>
    </w:p>
    <w:p w14:paraId="724A7AFD" w14:textId="77777777" w:rsidR="00CB3B20" w:rsidRPr="00FD3B24" w:rsidRDefault="00CB3B20" w:rsidP="00CB3B20">
      <w:pPr>
        <w:ind w:firstLine="708"/>
        <w:jc w:val="both"/>
      </w:pPr>
      <w:r w:rsidRPr="00FD3B24">
        <w:t>U skladu sa svime naprijed navedenim predlaže se donošenje Programa o  I</w:t>
      </w:r>
      <w:r>
        <w:t>I</w:t>
      </w:r>
      <w:r w:rsidRPr="00FD3B24">
        <w:t xml:space="preserve">. izmjenama Programa građenja komunalne infrastrukture na području Grada Koprivnice za 2024. godinu u priloženom tekstu. </w:t>
      </w:r>
    </w:p>
    <w:p w14:paraId="2E5D2CE7" w14:textId="77777777" w:rsidR="00CB3B20" w:rsidRDefault="00CB3B20" w:rsidP="00CB3B20">
      <w:pPr>
        <w:jc w:val="both"/>
        <w:rPr>
          <w:i/>
          <w:sz w:val="32"/>
          <w:szCs w:val="32"/>
        </w:rPr>
      </w:pPr>
    </w:p>
    <w:p w14:paraId="47907076" w14:textId="77777777" w:rsidR="00CB3B20" w:rsidRPr="00F14BC3" w:rsidRDefault="00CB3B20" w:rsidP="00CB3B20">
      <w:pPr>
        <w:jc w:val="both"/>
        <w:rPr>
          <w:i/>
          <w:sz w:val="32"/>
          <w:szCs w:val="32"/>
        </w:rPr>
      </w:pPr>
    </w:p>
    <w:p w14:paraId="0B3730D8" w14:textId="77777777" w:rsidR="00CB3B20" w:rsidRPr="004671BD" w:rsidRDefault="00CB3B20" w:rsidP="00CB3B20">
      <w:pPr>
        <w:jc w:val="both"/>
        <w:rPr>
          <w:i/>
          <w:color w:val="FF0000"/>
          <w:sz w:val="12"/>
          <w:szCs w:val="12"/>
        </w:rPr>
      </w:pPr>
    </w:p>
    <w:p w14:paraId="5F597701" w14:textId="77777777" w:rsidR="00CB3B20" w:rsidRDefault="00CB3B20" w:rsidP="00CB3B2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209F24" wp14:editId="5B85DA6E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127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4A7DF" w14:textId="77777777" w:rsidR="00CB3B20" w:rsidRDefault="00CB3B20" w:rsidP="00CB3B20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50D90F2C" w14:textId="77777777" w:rsidR="00CB3B20" w:rsidRDefault="00CB3B20" w:rsidP="00CB3B2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3227D9E3" w14:textId="77777777" w:rsidR="00CB3B20" w:rsidRDefault="00CB3B20" w:rsidP="00CB3B20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3DDE9735" w14:textId="77777777" w:rsidR="00CB3B20" w:rsidRPr="00C13C8E" w:rsidRDefault="00CB3B20" w:rsidP="00CB3B2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1F5B9982" w14:textId="77777777" w:rsidR="00CB3B20" w:rsidRDefault="00CB3B20" w:rsidP="00CB3B20">
                            <w:pPr>
                              <w:jc w:val="center"/>
                            </w:pPr>
                            <w:r>
                              <w:t xml:space="preserve">   Mišel Jakšić, dipl. </w:t>
                            </w:r>
                            <w:proofErr w:type="spellStart"/>
                            <w:r>
                              <w:t>oec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209F24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" stroked="f">
                <v:textbox>
                  <w:txbxContent>
                    <w:p w14:paraId="7CF4A7DF" w14:textId="77777777" w:rsidR="00CB3B20" w:rsidRDefault="00CB3B20" w:rsidP="00CB3B20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50D90F2C" w14:textId="77777777" w:rsidR="00CB3B20" w:rsidRDefault="00CB3B20" w:rsidP="00CB3B2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3227D9E3" w14:textId="77777777" w:rsidR="00CB3B20" w:rsidRDefault="00CB3B20" w:rsidP="00CB3B20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3DDE9735" w14:textId="77777777" w:rsidR="00CB3B20" w:rsidRPr="00C13C8E" w:rsidRDefault="00CB3B20" w:rsidP="00CB3B2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1F5B9982" w14:textId="77777777" w:rsidR="00CB3B20" w:rsidRDefault="00CB3B20" w:rsidP="00CB3B20">
                      <w:pPr>
                        <w:jc w:val="center"/>
                      </w:pPr>
                      <w:r>
                        <w:t xml:space="preserve">   Mišel Jakšić, dipl. </w:t>
                      </w:r>
                      <w:proofErr w:type="spellStart"/>
                      <w:r>
                        <w:t>oec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t>Nositelj izrade:</w:t>
      </w:r>
    </w:p>
    <w:p w14:paraId="06374579" w14:textId="77777777" w:rsidR="00CB3B20" w:rsidRDefault="00CB3B20" w:rsidP="00CB3B20">
      <w:pPr>
        <w:rPr>
          <w:sz w:val="12"/>
          <w:szCs w:val="12"/>
        </w:rPr>
      </w:pPr>
    </w:p>
    <w:p w14:paraId="1170D9D9" w14:textId="77777777" w:rsidR="00CB3B20" w:rsidRDefault="00CB3B20" w:rsidP="00CB3B20">
      <w:r>
        <w:t>Upravni odjel za izgradnju grada,</w:t>
      </w:r>
    </w:p>
    <w:p w14:paraId="316217B9" w14:textId="77777777" w:rsidR="00CB3B20" w:rsidRDefault="00CB3B20" w:rsidP="00CB3B20">
      <w:r>
        <w:t xml:space="preserve">upravljanje nekretninama i </w:t>
      </w:r>
    </w:p>
    <w:p w14:paraId="1B34EF66" w14:textId="77777777" w:rsidR="00CB3B20" w:rsidRDefault="00CB3B20" w:rsidP="00CB3B20">
      <w:r>
        <w:t>komunalno gospodarstvo</w:t>
      </w:r>
    </w:p>
    <w:p w14:paraId="58D0D1B4" w14:textId="77777777" w:rsidR="00CB3B20" w:rsidRDefault="00CB3B20" w:rsidP="00CB3B20"/>
    <w:p w14:paraId="5E09C253" w14:textId="77777777" w:rsidR="00CB3B20" w:rsidRDefault="00CB3B20" w:rsidP="00CB3B20">
      <w:pPr>
        <w:ind w:firstLine="708"/>
      </w:pPr>
      <w:r>
        <w:t>Pročelnik:</w:t>
      </w:r>
    </w:p>
    <w:p w14:paraId="3770E57C" w14:textId="77777777" w:rsidR="00CB3B20" w:rsidRDefault="00CB3B20" w:rsidP="00CB3B20">
      <w:r>
        <w:t xml:space="preserve">Mario Perković, </w:t>
      </w:r>
      <w:proofErr w:type="spellStart"/>
      <w:r>
        <w:t>dipl.ing.građ</w:t>
      </w:r>
      <w:proofErr w:type="spellEnd"/>
      <w:r>
        <w:t>.</w:t>
      </w:r>
    </w:p>
    <w:p w14:paraId="24C9782D" w14:textId="77777777" w:rsidR="00CB3B20" w:rsidRDefault="00CB3B20"/>
    <w:sectPr w:rsidR="00CB3B20" w:rsidSect="00C6444B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AFDA5" w14:textId="77777777" w:rsidR="00E81F55" w:rsidRDefault="00E81F55">
      <w:r>
        <w:separator/>
      </w:r>
    </w:p>
  </w:endnote>
  <w:endnote w:type="continuationSeparator" w:id="0">
    <w:p w14:paraId="7C61AA8B" w14:textId="77777777" w:rsidR="00E81F55" w:rsidRDefault="00E8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37D796" w14:textId="77777777" w:rsidR="00C6444B" w:rsidRDefault="00C6444B" w:rsidP="00C6444B">
            <w:pPr>
              <w:pStyle w:val="Podnoje"/>
              <w:jc w:val="center"/>
            </w:pPr>
          </w:p>
          <w:p w14:paraId="444D7E4F" w14:textId="77777777" w:rsidR="00C6444B" w:rsidRPr="00C6444B" w:rsidRDefault="00C6444B" w:rsidP="00C6444B">
            <w:pPr>
              <w:pStyle w:val="Podnoje"/>
              <w:jc w:val="center"/>
              <w:rPr>
                <w:sz w:val="12"/>
                <w:szCs w:val="12"/>
              </w:rPr>
            </w:pPr>
          </w:p>
          <w:p w14:paraId="4B831A6C" w14:textId="699CED6E" w:rsidR="00636B90" w:rsidRPr="00C01F62" w:rsidRDefault="00E81F55" w:rsidP="00C6444B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</w:p>
        </w:sdtContent>
      </w:sdt>
    </w:sdtContent>
  </w:sdt>
  <w:p w14:paraId="7F99918C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ED776" w14:textId="77777777" w:rsidR="00E81F55" w:rsidRDefault="00E81F55">
      <w:r>
        <w:separator/>
      </w:r>
    </w:p>
  </w:footnote>
  <w:footnote w:type="continuationSeparator" w:id="0">
    <w:p w14:paraId="69C3A24D" w14:textId="77777777" w:rsidR="00E81F55" w:rsidRDefault="00E81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74F3C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45456"/>
    <w:multiLevelType w:val="hybridMultilevel"/>
    <w:tmpl w:val="61184B50"/>
    <w:lvl w:ilvl="0" w:tplc="BCAE0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576BB"/>
    <w:multiLevelType w:val="hybridMultilevel"/>
    <w:tmpl w:val="5D202C9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75301"/>
    <w:multiLevelType w:val="hybridMultilevel"/>
    <w:tmpl w:val="2416CD8C"/>
    <w:lvl w:ilvl="0" w:tplc="EE502B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12B19"/>
    <w:multiLevelType w:val="hybridMultilevel"/>
    <w:tmpl w:val="B184BFB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03B84"/>
    <w:multiLevelType w:val="hybridMultilevel"/>
    <w:tmpl w:val="05F6E91E"/>
    <w:lvl w:ilvl="0" w:tplc="43441C6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80578">
    <w:abstractNumId w:val="3"/>
  </w:num>
  <w:num w:numId="2" w16cid:durableId="1394618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3829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49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869758">
    <w:abstractNumId w:val="1"/>
  </w:num>
  <w:num w:numId="6" w16cid:durableId="183137376">
    <w:abstractNumId w:val="5"/>
  </w:num>
  <w:num w:numId="7" w16cid:durableId="475297555">
    <w:abstractNumId w:val="4"/>
  </w:num>
  <w:num w:numId="8" w16cid:durableId="19850885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0366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00104"/>
    <w:rsid w:val="003502B7"/>
    <w:rsid w:val="00353ACF"/>
    <w:rsid w:val="003B07B2"/>
    <w:rsid w:val="003C0B73"/>
    <w:rsid w:val="003C3CC4"/>
    <w:rsid w:val="003C7570"/>
    <w:rsid w:val="003D5D0A"/>
    <w:rsid w:val="0042280B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63D9C"/>
    <w:rsid w:val="006712B7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E3BBA"/>
    <w:rsid w:val="009F199D"/>
    <w:rsid w:val="00A1543D"/>
    <w:rsid w:val="00A32554"/>
    <w:rsid w:val="00A52DA8"/>
    <w:rsid w:val="00A837C0"/>
    <w:rsid w:val="00AA36EF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6444B"/>
    <w:rsid w:val="00C82211"/>
    <w:rsid w:val="00C8267C"/>
    <w:rsid w:val="00CB3B20"/>
    <w:rsid w:val="00CC2AB8"/>
    <w:rsid w:val="00CC46E9"/>
    <w:rsid w:val="00CD7D6A"/>
    <w:rsid w:val="00D012A8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0421"/>
    <w:rsid w:val="00DD1A53"/>
    <w:rsid w:val="00DF3A81"/>
    <w:rsid w:val="00E1180A"/>
    <w:rsid w:val="00E13394"/>
    <w:rsid w:val="00E3458D"/>
    <w:rsid w:val="00E81F55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3BB3D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CB3B20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CB3B20"/>
    <w:pPr>
      <w:ind w:left="720"/>
      <w:contextualSpacing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2909</Words>
  <Characters>19505</Characters>
  <Application>Microsoft Office Word</Application>
  <DocSecurity>0</DocSecurity>
  <Lines>162</Lines>
  <Paragraphs>44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3</cp:revision>
  <cp:lastPrinted>2007-11-02T12:55:00Z</cp:lastPrinted>
  <dcterms:created xsi:type="dcterms:W3CDTF">2024-11-22T11:34:00Z</dcterms:created>
  <dcterms:modified xsi:type="dcterms:W3CDTF">2024-11-22T11:34:00Z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grada, upravljanje nekretninama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