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11008" w14:textId="77777777" w:rsidR="007C5992" w:rsidRPr="007C5992" w:rsidRDefault="007C5992" w:rsidP="007C599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:lang w:eastAsia="hr-HR"/>
          <w14:ligatures w14:val="none"/>
        </w:rPr>
        <w:drawing>
          <wp:anchor distT="0" distB="0" distL="114300" distR="114300" simplePos="0" relativeHeight="251659264" behindDoc="0" locked="0" layoutInCell="1" allowOverlap="1" wp14:anchorId="407A9679" wp14:editId="7A2D2741">
            <wp:simplePos x="0" y="0"/>
            <wp:positionH relativeFrom="column">
              <wp:posOffset>205105</wp:posOffset>
            </wp:positionH>
            <wp:positionV relativeFrom="paragraph">
              <wp:posOffset>-118745</wp:posOffset>
            </wp:positionV>
            <wp:extent cx="819150" cy="876300"/>
            <wp:effectExtent l="19050" t="0" r="0" b="0"/>
            <wp:wrapSquare wrapText="bothSides"/>
            <wp:docPr id="1" name="Slika 1" descr="Slika na kojoj se prikazuje emblem, značka, grb, simbol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emblem, značka, grb, simbol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C5992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>Javna vatrogasna postrojba</w:t>
      </w:r>
    </w:p>
    <w:p w14:paraId="02C0F88C" w14:textId="77777777" w:rsidR="007C5992" w:rsidRPr="007C5992" w:rsidRDefault="007C5992" w:rsidP="007C599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>Grada Koprivnice</w:t>
      </w:r>
    </w:p>
    <w:p w14:paraId="400BCD3B" w14:textId="77777777" w:rsidR="007C5992" w:rsidRPr="007C5992" w:rsidRDefault="007C5992" w:rsidP="007C599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Oružanska 1, 48000 Koprivnica</w:t>
      </w:r>
    </w:p>
    <w:p w14:paraId="1FCD1705" w14:textId="77777777" w:rsidR="007C5992" w:rsidRPr="007C5992" w:rsidRDefault="007C5992" w:rsidP="007C5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</w:pPr>
    </w:p>
    <w:p w14:paraId="19F8E958" w14:textId="77777777" w:rsidR="007C5992" w:rsidRPr="007C5992" w:rsidRDefault="007C5992" w:rsidP="007C599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</w:pPr>
    </w:p>
    <w:p w14:paraId="7D1C963A" w14:textId="77777777" w:rsidR="007C5992" w:rsidRPr="007C5992" w:rsidRDefault="007C5992" w:rsidP="007C5992">
      <w:pPr>
        <w:widowControl w:val="0"/>
        <w:autoSpaceDE w:val="0"/>
        <w:autoSpaceDN w:val="0"/>
        <w:adjustRightInd w:val="0"/>
        <w:spacing w:after="0" w:line="144" w:lineRule="atLeast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</w:pPr>
    </w:p>
    <w:p w14:paraId="4CBC374A" w14:textId="18E4E1DB" w:rsidR="007C5992" w:rsidRPr="009446B1" w:rsidRDefault="007C5992" w:rsidP="007C5992">
      <w:pPr>
        <w:widowControl w:val="0"/>
        <w:autoSpaceDE w:val="0"/>
        <w:autoSpaceDN w:val="0"/>
        <w:adjustRightInd w:val="0"/>
        <w:spacing w:after="0" w:line="144" w:lineRule="atLeast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9446B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KLASA: </w:t>
      </w:r>
    </w:p>
    <w:p w14:paraId="6BA1F469" w14:textId="08A0B8F9" w:rsidR="007C5992" w:rsidRPr="009446B1" w:rsidRDefault="007C5992" w:rsidP="007C5992">
      <w:pPr>
        <w:widowControl w:val="0"/>
        <w:autoSpaceDE w:val="0"/>
        <w:autoSpaceDN w:val="0"/>
        <w:adjustRightInd w:val="0"/>
        <w:spacing w:after="0" w:line="144" w:lineRule="atLeast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9446B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URBROJ: </w:t>
      </w:r>
    </w:p>
    <w:p w14:paraId="3F2A5AE1" w14:textId="3B6B9EF6" w:rsidR="007C5992" w:rsidRDefault="007C5992" w:rsidP="007C5992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9446B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Koprivnica, </w:t>
      </w:r>
    </w:p>
    <w:p w14:paraId="74D4B705" w14:textId="77777777" w:rsidR="00EF2F68" w:rsidRPr="007C5992" w:rsidRDefault="00EF2F68" w:rsidP="007C5992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56ED3198" w14:textId="77777777" w:rsidR="007C5992" w:rsidRDefault="007C5992" w:rsidP="007C599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</w:pPr>
    </w:p>
    <w:p w14:paraId="3721F1FC" w14:textId="77777777" w:rsidR="00180C5A" w:rsidRPr="007C5992" w:rsidRDefault="00180C5A" w:rsidP="007C599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</w:pPr>
    </w:p>
    <w:p w14:paraId="64947579" w14:textId="77777777" w:rsidR="007C5992" w:rsidRPr="007C5992" w:rsidRDefault="007C5992" w:rsidP="007C5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hr-HR"/>
          <w14:ligatures w14:val="none"/>
        </w:rPr>
        <w:t xml:space="preserve">PRIJEDLOG </w:t>
      </w:r>
      <w:r w:rsidRPr="007C599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hr-HR"/>
          <w14:ligatures w14:val="none"/>
        </w:rPr>
        <w:t>OBRAZLOŽENJA</w:t>
      </w:r>
    </w:p>
    <w:p w14:paraId="2E6B9A52" w14:textId="21C925BF" w:rsidR="007C5992" w:rsidRPr="007C5992" w:rsidRDefault="00856444" w:rsidP="007C5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hr-HR"/>
          <w14:ligatures w14:val="none"/>
        </w:rPr>
        <w:t>POLU</w:t>
      </w:r>
      <w:r w:rsidR="007C5992" w:rsidRPr="007C599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hr-HR"/>
          <w14:ligatures w14:val="none"/>
        </w:rPr>
        <w:t>GODIŠNJEG IZVJEŠTAJA O IZVRŠENJU FINANCIJSKOG PLANA JAVNE VATROGASNE POSTROJBE GRADA KOPRIVNICE</w:t>
      </w:r>
    </w:p>
    <w:p w14:paraId="710BFCD3" w14:textId="570AD78D" w:rsidR="007C5992" w:rsidRPr="007C5992" w:rsidRDefault="007C5992" w:rsidP="007C5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hr-HR"/>
          <w14:ligatures w14:val="none"/>
        </w:rPr>
        <w:t>RAZDOBLJE SIJEČANJ-</w:t>
      </w:r>
      <w:r w:rsidR="0085644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hr-HR"/>
          <w14:ligatures w14:val="none"/>
        </w:rPr>
        <w:t>LIPANJ</w:t>
      </w:r>
      <w:r w:rsidRPr="007C599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hr-HR"/>
          <w14:ligatures w14:val="none"/>
        </w:rPr>
        <w:t xml:space="preserve"> 202</w:t>
      </w:r>
      <w:r w:rsidR="0085644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hr-HR"/>
          <w14:ligatures w14:val="none"/>
        </w:rPr>
        <w:t>4</w:t>
      </w:r>
      <w:r w:rsidRPr="007C599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hr-HR"/>
          <w14:ligatures w14:val="none"/>
        </w:rPr>
        <w:t>. GODINE</w:t>
      </w:r>
    </w:p>
    <w:p w14:paraId="73EF1DF7" w14:textId="77777777" w:rsidR="007C5992" w:rsidRDefault="007C5992" w:rsidP="007C5992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56F580F9" w14:textId="77777777" w:rsidR="00EF2F68" w:rsidRPr="007C5992" w:rsidRDefault="00EF2F68" w:rsidP="007C5992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627FA833" w14:textId="2FE33B6D" w:rsidR="003A22EE" w:rsidRPr="003A22EE" w:rsidRDefault="003A22EE" w:rsidP="00234B22">
      <w:pPr>
        <w:widowControl w:val="0"/>
        <w:autoSpaceDE w:val="0"/>
        <w:autoSpaceDN w:val="0"/>
        <w:adjustRightInd w:val="0"/>
        <w:spacing w:after="0" w:line="223" w:lineRule="atLeast"/>
        <w:ind w:firstLine="360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J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avna vatrogasna postrojba Grada Koprivnice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(u daljnjem tekstu: JVP)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ustrojena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je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kao javna ustanova kojoj je osnivač Grad Koprivnica ( u daljnjem tekstu: Osnivač). Prava i dužnosti Osnivač je stekao temeljem Zakona o vatrogastvu i Odluke o osnivanju JVP od 22.12.1999. godine koju je donijelo Gradsko poglavarstvo Grada Koprivnice.</w:t>
      </w:r>
    </w:p>
    <w:p w14:paraId="566484B8" w14:textId="77777777" w:rsidR="003A22EE" w:rsidRPr="003A22EE" w:rsidRDefault="003A22EE" w:rsidP="00234B22">
      <w:pPr>
        <w:widowControl w:val="0"/>
        <w:autoSpaceDE w:val="0"/>
        <w:autoSpaceDN w:val="0"/>
        <w:adjustRightInd w:val="0"/>
        <w:spacing w:after="0" w:line="223" w:lineRule="atLeast"/>
        <w:ind w:firstLine="360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Djelatnost JVP obuhvaća:</w:t>
      </w:r>
    </w:p>
    <w:p w14:paraId="694458AA" w14:textId="77777777" w:rsidR="003A22EE" w:rsidRPr="003A22EE" w:rsidRDefault="003A22EE" w:rsidP="003A2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sudjelovanje u provedbi preventivnih mjera zaštite od požara i tehnoloških eksplozija,</w:t>
      </w:r>
    </w:p>
    <w:p w14:paraId="7E0A5915" w14:textId="77777777" w:rsidR="003A22EE" w:rsidRPr="003A22EE" w:rsidRDefault="003A22EE" w:rsidP="003A2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gašenje požara, spašavanje ljudi i imovine ugroženih požarom i tehnološkom eksplozijom, </w:t>
      </w:r>
    </w:p>
    <w:p w14:paraId="6E0866F9" w14:textId="77777777" w:rsidR="003A22EE" w:rsidRPr="003A22EE" w:rsidRDefault="003A22EE" w:rsidP="003A2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pružanje tehničke pomoći u nezgodama i opasnim situacijama,</w:t>
      </w:r>
    </w:p>
    <w:p w14:paraId="53635179" w14:textId="7091511C" w:rsidR="003A22EE" w:rsidRPr="003A22EE" w:rsidRDefault="003A22EE" w:rsidP="003A2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obavljanje drugih poslova u ekološkim i inim nesrećama, </w:t>
      </w:r>
    </w:p>
    <w:p w14:paraId="243961E8" w14:textId="77777777" w:rsidR="003A22EE" w:rsidRPr="003A22EE" w:rsidRDefault="003A22EE" w:rsidP="003A2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održavanje vatrogasnih aparata,</w:t>
      </w:r>
    </w:p>
    <w:p w14:paraId="486DB7AE" w14:textId="77777777" w:rsidR="003A22EE" w:rsidRPr="003A22EE" w:rsidRDefault="003A22EE" w:rsidP="003A2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osposobljavanje pučanstva za provedbu preventivnih mjera zaštite od požara,</w:t>
      </w:r>
    </w:p>
    <w:p w14:paraId="342C631B" w14:textId="77777777" w:rsidR="003A22EE" w:rsidRPr="003A22EE" w:rsidRDefault="003A22EE" w:rsidP="003A22E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obavljanje i drugih poslova i usluga vezanih za vatrogasnu djelatnost.</w:t>
      </w:r>
    </w:p>
    <w:p w14:paraId="2E3923A6" w14:textId="77777777" w:rsidR="003A22EE" w:rsidRPr="003A22EE" w:rsidRDefault="003A22EE" w:rsidP="003A22EE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61195CC3" w14:textId="77777777" w:rsidR="003A22EE" w:rsidRPr="003A22EE" w:rsidRDefault="003A22EE" w:rsidP="00234B22">
      <w:pPr>
        <w:widowControl w:val="0"/>
        <w:autoSpaceDE w:val="0"/>
        <w:autoSpaceDN w:val="0"/>
        <w:adjustRightInd w:val="0"/>
        <w:spacing w:after="0" w:line="223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Područje odgovornosti i djelovanja JVP je Grad Koprivnica s prigradskim naseljima.</w:t>
      </w:r>
    </w:p>
    <w:p w14:paraId="25088D4B" w14:textId="426E2A4F" w:rsidR="003A22EE" w:rsidRPr="003A22EE" w:rsidRDefault="003A22EE" w:rsidP="00234B22">
      <w:pPr>
        <w:widowControl w:val="0"/>
        <w:autoSpaceDE w:val="0"/>
        <w:autoSpaceDN w:val="0"/>
        <w:adjustRightInd w:val="0"/>
        <w:spacing w:after="0" w:line="223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U JVP je na dan 3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0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.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lipnja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202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4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godine bilo ukupno 7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4</w:t>
      </w:r>
      <w:r w:rsidR="00DC449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-ero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zaposlenih radnika, od čega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2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pripravnik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a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vatrogasc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a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, te 66-ero profesionalnih vatrogasaca raspoređenih po smjenama i lokacijama prema dnevnom rasporedu službe. </w:t>
      </w:r>
    </w:p>
    <w:p w14:paraId="542131AA" w14:textId="77777777" w:rsidR="003A22EE" w:rsidRPr="003A22EE" w:rsidRDefault="003A22EE" w:rsidP="003A22EE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Dio operativnih vatrogasaca raspoređen je i obavlja poslove operativnog dežurstva na lokacijama:</w:t>
      </w:r>
    </w:p>
    <w:p w14:paraId="187B222C" w14:textId="77777777" w:rsidR="003A22EE" w:rsidRPr="003A22EE" w:rsidRDefault="003A22EE" w:rsidP="003A22E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Podravka d.d., Ante Starčevića 32, 48000 Koprivnica,</w:t>
      </w:r>
    </w:p>
    <w:p w14:paraId="46DABC8A" w14:textId="77777777" w:rsidR="003A22EE" w:rsidRPr="003A22EE" w:rsidRDefault="003A22EE" w:rsidP="003A22E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Podravka d.d. Tvornica juha i Vegete, Danica 12, 48000 Koprivnica, </w:t>
      </w:r>
    </w:p>
    <w:p w14:paraId="507FC9B5" w14:textId="77777777" w:rsidR="003A22EE" w:rsidRPr="003A22EE" w:rsidRDefault="003A22EE" w:rsidP="003A22E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Podravka d.d. Tvornica dječje hrane i </w:t>
      </w:r>
      <w:proofErr w:type="spellStart"/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kremnih</w:t>
      </w:r>
      <w:proofErr w:type="spellEnd"/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namaza, Danica 16, 48000 Koprivnica,</w:t>
      </w:r>
    </w:p>
    <w:p w14:paraId="5169FAD9" w14:textId="77777777" w:rsidR="003A22EE" w:rsidRPr="003A22EE" w:rsidRDefault="003A22EE" w:rsidP="003A22E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Podravka d.d. Tvornica Danica, </w:t>
      </w:r>
      <w:proofErr w:type="spellStart"/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Đelekovečka</w:t>
      </w:r>
      <w:proofErr w:type="spellEnd"/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cesta 21, 48000 Koprivnica, </w:t>
      </w:r>
    </w:p>
    <w:p w14:paraId="69C9255B" w14:textId="77777777" w:rsidR="003A22EE" w:rsidRPr="003A22EE" w:rsidRDefault="003A22EE" w:rsidP="003A22E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Belupo d.d., Danica 5, 48000 Koprivnica, </w:t>
      </w:r>
    </w:p>
    <w:p w14:paraId="64AAFBAF" w14:textId="77777777" w:rsidR="003A22EE" w:rsidRPr="003A22EE" w:rsidRDefault="003A22EE" w:rsidP="003A22E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Bilokalnik – IPA d.d., Dravska ulica 19, 48000 Koprivnica, </w:t>
      </w:r>
    </w:p>
    <w:p w14:paraId="0E864A6F" w14:textId="77777777" w:rsidR="003A22EE" w:rsidRPr="003A22EE" w:rsidRDefault="003A22EE" w:rsidP="003A22E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Hartmann d.o.o., Dravska ulica 13, 48000 Koprivnica.</w:t>
      </w:r>
    </w:p>
    <w:p w14:paraId="50E24057" w14:textId="05AC92E4" w:rsidR="003A22EE" w:rsidRPr="003A22EE" w:rsidRDefault="003A22EE" w:rsidP="00234B22">
      <w:pPr>
        <w:widowControl w:val="0"/>
        <w:autoSpaceDE w:val="0"/>
        <w:autoSpaceDN w:val="0"/>
        <w:adjustRightInd w:val="0"/>
        <w:spacing w:after="0" w:line="223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U prvoj smjeni zaposleno je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6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radnika, a to su: zapovjednica,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voditeljica stručne službe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, vatrogasac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viši referent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, vatrogasac referent, vatrogasac voditelj servisa vatrogasnih aparata,  te spremačica.</w:t>
      </w:r>
    </w:p>
    <w:p w14:paraId="33CE426B" w14:textId="1D3A4BCB" w:rsidR="003C4965" w:rsidRDefault="003A22EE" w:rsidP="003A22EE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Dana</w:t>
      </w:r>
      <w:r w:rsidR="00DC449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3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0.travnja 2024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. godine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jedan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vatrogasac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odlazi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u mirovinu,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a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sa datumom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20.</w:t>
      </w:r>
      <w:r w:rsidR="00DC449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svibnja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2024</w:t>
      </w:r>
      <w:r w:rsidR="00DC449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godine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odlazi i  vatrogasac pomoćnik za opremu i tehniku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Odlazak vatrogasaca u mirovinu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temeljen je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sukladno Zakonu o vatrogastvu, prema koj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i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m 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su im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i isplaćen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e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otpremnina.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S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a danom 31. 05.2024. godine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odlazi i pomoćni radnik u mirovinu, prema kojem</w:t>
      </w:r>
      <w:r w:rsidR="00DC449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mu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je isplaćena i otpremnina sukladno </w:t>
      </w:r>
      <w:r w:rsidR="00DC449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K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olektivnom ugovoru za radnike JVP.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</w:p>
    <w:p w14:paraId="12CB3668" w14:textId="70B83188" w:rsidR="003A22EE" w:rsidRPr="003A22EE" w:rsidRDefault="003A22EE" w:rsidP="003C4965">
      <w:pPr>
        <w:widowControl w:val="0"/>
        <w:autoSpaceDE w:val="0"/>
        <w:autoSpaceDN w:val="0"/>
        <w:adjustRightInd w:val="0"/>
        <w:spacing w:after="0" w:line="223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Objavljenim natječajem 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11. travnja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202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4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godine, zapošljav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aju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se 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2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vatrogasc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a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pripravnik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a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, sa početkom rada </w:t>
      </w:r>
      <w:r w:rsid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02. svibnja 2024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. godine. </w:t>
      </w:r>
    </w:p>
    <w:p w14:paraId="18F2DD5F" w14:textId="77777777" w:rsidR="003A22EE" w:rsidRPr="003A22EE" w:rsidRDefault="003A22EE" w:rsidP="003C4965">
      <w:pPr>
        <w:widowControl w:val="0"/>
        <w:autoSpaceDE w:val="0"/>
        <w:autoSpaceDN w:val="0"/>
        <w:adjustRightInd w:val="0"/>
        <w:spacing w:after="0" w:line="223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Sukladno članku 32. Zakonu o vatrogastvu (NN125/19,114/22,155/23), JVP-om upravlja 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lastRenderedPageBreak/>
        <w:t xml:space="preserve">Vatrogasno vijeće koje broji 5 članova, dok je zastupa i predstavlja Zapovjednica postrojbe. Članovi se biraju na mandat od 5 godina, a čine ga 1 predstavnik Hrvatske vatrogasne zajednice, 1 predstavnik Vatrogasne zajednice županije, 1 predstavnik Područne vatrogasne zajednice, 1 predstavnik osnivača, 1 predstavnik radnika JVP Koprivnica. Članovi Vatrogasnog vijeća nemaju pravo na naknadu. </w:t>
      </w:r>
    </w:p>
    <w:p w14:paraId="382331B8" w14:textId="77777777" w:rsidR="003A22EE" w:rsidRPr="003A22EE" w:rsidRDefault="003A22EE" w:rsidP="003A22EE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u w:val="single"/>
          <w14:ligatures w14:val="none"/>
        </w:rPr>
        <w:t>Zakonski okvir na kojem se zasniva program</w:t>
      </w:r>
      <w:r w:rsidRPr="003A22EE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14:ligatures w14:val="none"/>
        </w:rPr>
        <w:t xml:space="preserve"> čine zakoni i pravilnici Republike Hrvatske:</w:t>
      </w:r>
    </w:p>
    <w:p w14:paraId="39374021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Zakon o vatrogastvu („Narodne novine“, br.  125/19, 114/22 i 155/23),</w:t>
      </w:r>
    </w:p>
    <w:p w14:paraId="17A3F520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Zakon o ustanovama („Narodne novine“, br. 76/93, 29/97, 47/99, 35/08, 127/19, 151/22),</w:t>
      </w:r>
    </w:p>
    <w:p w14:paraId="07FF9CE0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Zakon o radu („Narodne novine“, br. 93/14, 127/17, 98/19, 151/22, 46/23 i 64/23),</w:t>
      </w:r>
    </w:p>
    <w:p w14:paraId="74320574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14:ligatures w14:val="none"/>
        </w:rPr>
        <w:t xml:space="preserve">Zakon o proračunu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(„Narodne novine“, br. </w:t>
      </w:r>
      <w:r w:rsidRPr="003A22EE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14:ligatures w14:val="none"/>
        </w:rPr>
        <w:t>144/21),</w:t>
      </w:r>
    </w:p>
    <w:p w14:paraId="3E08294E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Zakon o zaštiti od požara („Narodne novine“, br. 92/10, 114/22),</w:t>
      </w:r>
    </w:p>
    <w:p w14:paraId="5A255A0B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Zakon o sustavu civilne zaštite („Narodne novine“, br. 82/15, 118/18, 31/20, /20/21, 114/22),</w:t>
      </w:r>
    </w:p>
    <w:p w14:paraId="65FC477D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  <w:t>Odluka o donošenju Procjene rizika od velikih nesreća za Grad Koprivnicu (GGK 7/21)</w:t>
      </w:r>
    </w:p>
    <w:p w14:paraId="1A4F6B0B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  <w:t>Odluka o donošenju Plana djelovanja civilne zaštite Grada Koprivnice (GGK 3/22)</w:t>
      </w:r>
    </w:p>
    <w:p w14:paraId="73CA364C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Odluka o donošenju Procjene ugroženosti od požara i tehnološko eksplozije za Grad Koprivnicu i Plana zaštite od požara za Grad Koprivnicu, GGK 3/15., 3/16. i KLASA:214-01/18-01/0012, URBOJ: 2137/01-03/8-18-1 OD 17.7.2018.; KLASA: 214-01/18-01/0012, URBROJ: 2137/01-03-01/4-19-14 OD 11.6.2019.</w:t>
      </w:r>
    </w:p>
    <w:p w14:paraId="2F91EF61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  <w:t>Odluka o određivanju pravnih osoba od interesa za sustav civilne zaštite Grada Koprivnice (GGK 7/18)</w:t>
      </w:r>
    </w:p>
    <w:p w14:paraId="0C993A20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Plan motrenja, čuvanja i ophodnje otvorenog prostora i građevina za koje prijeti povećana opasnost od nastajanja i širenja požara na području Grada Koprivnice za 2023. godinu (GGK 2/23)</w:t>
      </w:r>
    </w:p>
    <w:p w14:paraId="6D57A7F4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Plan aktivnog uključivanja svih subjekata zaštite od požara na području Grada Koprivnice u protupožarnoj sezoni u 2023. godini (GGK 2/23)</w:t>
      </w:r>
    </w:p>
    <w:p w14:paraId="56D31CAC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Odluka o povjerenicima civilne zaštite Grada Koprivnice i njihovim zamjenicima (GGK 6/19)</w:t>
      </w:r>
    </w:p>
    <w:p w14:paraId="7BFFD503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  <w:t>Odluka o imenovanju koordinatora na lokaciji Grada Koprivnice (GGK 10/18 i 4/22)</w:t>
      </w:r>
    </w:p>
    <w:p w14:paraId="209BCED3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bCs/>
          <w:iCs/>
          <w:color w:val="000000"/>
          <w:kern w:val="0"/>
          <w:sz w:val="22"/>
          <w:szCs w:val="22"/>
          <w14:ligatures w14:val="none"/>
        </w:rPr>
        <w:t>Odluka o određivanju operativnih snaga zaštite i spašavanja i pravnih osoba i ostalih subjekata od interesa za zaštitu i spašavanje na području Grada Koprivnice (GGK 1/12 i 1/13)</w:t>
      </w:r>
    </w:p>
    <w:p w14:paraId="145A3C83" w14:textId="77777777" w:rsidR="003A22EE" w:rsidRPr="003A22EE" w:rsidRDefault="003A22EE" w:rsidP="003A22EE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14:ligatures w14:val="none"/>
        </w:rPr>
        <w:t>Odluka i Zaključaka, te odredbi Vlade Republike Hrvatske, odredbi Ministarstva unutarnjih poslova, Zapovjedi i uputa službe za vatrogastvo.</w:t>
      </w:r>
    </w:p>
    <w:p w14:paraId="64D0287B" w14:textId="77777777" w:rsidR="003A22EE" w:rsidRPr="003A22EE" w:rsidRDefault="003A22EE" w:rsidP="003A22EE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/>
          <w:color w:val="000000"/>
          <w:kern w:val="0"/>
          <w:sz w:val="22"/>
          <w:szCs w:val="22"/>
          <w14:ligatures w14:val="none"/>
        </w:rPr>
      </w:pPr>
    </w:p>
    <w:p w14:paraId="20ADEE0C" w14:textId="6551288A" w:rsidR="003A22EE" w:rsidRPr="003A22EE" w:rsidRDefault="003A22EE" w:rsidP="003A22EE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i/>
          <w:color w:val="000000"/>
          <w:kern w:val="0"/>
          <w:sz w:val="22"/>
          <w:szCs w:val="22"/>
          <w14:ligatures w14:val="none"/>
        </w:rPr>
      </w:pPr>
      <w:r w:rsidRPr="003A22EE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14:ligatures w14:val="none"/>
        </w:rPr>
        <w:t xml:space="preserve">Osim navedenih zakona i pravilnika temeljem kojih </w:t>
      </w:r>
      <w:r w:rsidRPr="003A22E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JVP </w:t>
      </w:r>
      <w:r w:rsidRPr="003A22EE"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14:ligatures w14:val="none"/>
        </w:rPr>
        <w:t>obavlja redovnu djelatnost u služni protupožarne zaštite, navedeno realizira i putem sljedećih akata:</w:t>
      </w:r>
    </w:p>
    <w:p w14:paraId="5C8038A5" w14:textId="77777777" w:rsidR="003C4965" w:rsidRPr="003C4965" w:rsidRDefault="003C4965" w:rsidP="003C496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i/>
          <w:color w:val="000000"/>
          <w:kern w:val="0"/>
          <w:sz w:val="22"/>
          <w:szCs w:val="22"/>
          <w14:ligatures w14:val="none"/>
        </w:rPr>
      </w:pPr>
      <w:r w:rsidRP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Statut JVP Koprivnica</w:t>
      </w:r>
      <w:r w:rsidRPr="003C4965"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14:ligatures w14:val="none"/>
        </w:rPr>
        <w:t xml:space="preserve"> </w:t>
      </w:r>
      <w:r w:rsidRP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(KLASA: 012-03-20-01/1, URBROJ: 2137-98-20-2 od 27.02.2020. i KLASA: 012-03/21-01/1, URBROJ: 2137-98/21-3 od 26.02.2021.),</w:t>
      </w:r>
    </w:p>
    <w:p w14:paraId="3E09F286" w14:textId="77777777" w:rsidR="003C4965" w:rsidRPr="003C4965" w:rsidRDefault="003C4965" w:rsidP="003C496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bCs/>
          <w:color w:val="000000"/>
          <w:kern w:val="0"/>
          <w:sz w:val="22"/>
          <w:szCs w:val="22"/>
          <w14:ligatures w14:val="none"/>
        </w:rPr>
      </w:pPr>
      <w:r w:rsidRPr="003C4965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Kolektivnom ugovoru za radnike Javne vatrogasne postrojbe Grada Koprivnice, KLASA: 152-01/22-01/0007, URBROJ: 2137-1-03/2-23-8, 10.02.2023. godine i KLASA:152-01/22-01/0007, URBROJ: 2137-1-03/2-24-15, od 01.03.2024. godine</w:t>
      </w:r>
    </w:p>
    <w:p w14:paraId="375D7B8D" w14:textId="2625E326" w:rsidR="007C5992" w:rsidRDefault="003C4965" w:rsidP="003C4965">
      <w:pPr>
        <w:pStyle w:val="Odlomakpopis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Pravilnik o unutarnjem ustrojstvu i načinu rada Javne vatrogasne postrojbe </w:t>
      </w:r>
      <w:r w:rsidR="00234B2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Grada Koprivnice, KLASA: 011-03/24-01/1, URBROJ: 2137-98/24-3 OD 20.02.2024. godine</w:t>
      </w:r>
    </w:p>
    <w:p w14:paraId="7992945A" w14:textId="77777777" w:rsidR="00234B22" w:rsidRPr="003C4965" w:rsidRDefault="00234B22" w:rsidP="00234B22">
      <w:pPr>
        <w:pStyle w:val="Odlomakpopisa"/>
        <w:widowControl w:val="0"/>
        <w:autoSpaceDE w:val="0"/>
        <w:autoSpaceDN w:val="0"/>
        <w:adjustRightInd w:val="0"/>
        <w:spacing w:after="0" w:line="223" w:lineRule="atLeast"/>
        <w:ind w:left="1080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18599C94" w14:textId="1B018298" w:rsidR="007C5992" w:rsidRPr="007C5992" w:rsidRDefault="00234B22" w:rsidP="007C5992">
      <w:pPr>
        <w:widowControl w:val="0"/>
        <w:autoSpaceDE w:val="0"/>
        <w:autoSpaceDN w:val="0"/>
        <w:adjustRightInd w:val="0"/>
        <w:spacing w:after="0" w:line="223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Prijedlog 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Financijsk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og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plan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a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Javne vatrogasne postrojbe Grada Koprivnice za 202</w:t>
      </w:r>
      <w:r w:rsidR="00856444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4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godinu i projekcije za 202</w:t>
      </w:r>
      <w:r w:rsidR="00856444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5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i 202</w:t>
      </w:r>
      <w:r w:rsidR="00856444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6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godinu, usvojen je na 1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6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</w:t>
      </w:r>
      <w:r w:rsidR="00EF2F68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sjednici Vatrogasnog vijeća održanoj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15.11.2023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godine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,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te je iznosio 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2.197.442,00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EU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R.</w:t>
      </w:r>
    </w:p>
    <w:p w14:paraId="40D890C3" w14:textId="3DA148D5" w:rsidR="007C5992" w:rsidRPr="007C5992" w:rsidRDefault="00234B22" w:rsidP="007C5992">
      <w:pPr>
        <w:widowControl w:val="0"/>
        <w:autoSpaceDE w:val="0"/>
        <w:autoSpaceDN w:val="0"/>
        <w:adjustRightInd w:val="0"/>
        <w:spacing w:after="0" w:line="223" w:lineRule="atLeast"/>
        <w:ind w:firstLine="708"/>
        <w:jc w:val="both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Prijedlog 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I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Izmjen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a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i dopun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a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Financijskog plana Javne vatrogasne postrojbe Grada Koprivnice usvoj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en je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na </w:t>
      </w:r>
      <w:r w:rsidR="00856444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5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sjednici</w:t>
      </w:r>
      <w:r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Vatrogasnog vijeća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, dana </w:t>
      </w:r>
      <w:r w:rsidR="00856444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28.05.2024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. godine u iznosu od 2.</w:t>
      </w:r>
      <w:r w:rsidR="00856444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523.691,00</w:t>
      </w:r>
      <w:r w:rsidR="007C5992" w:rsidRPr="007C5992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 xml:space="preserve"> EUR</w:t>
      </w:r>
      <w:r w:rsidR="00DC449E"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  <w:t>, a iste se nalaze unutar Prijedloga polugodišnjeg izvještaja o izvršenju financijskog plana Javne vatrogasne postrojbe Grada Koprivnice za 2024. godinu. (u daljnjem tekstu: Prijedlog polugodišnjeg izvještaja)</w:t>
      </w:r>
    </w:p>
    <w:p w14:paraId="7651A969" w14:textId="77777777" w:rsidR="007C5992" w:rsidRDefault="007C5992" w:rsidP="007C5992">
      <w:pPr>
        <w:widowControl w:val="0"/>
        <w:autoSpaceDE w:val="0"/>
        <w:autoSpaceDN w:val="0"/>
        <w:adjustRightInd w:val="0"/>
        <w:spacing w:after="0" w:line="223" w:lineRule="atLeast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14737B8E" w14:textId="77777777" w:rsidR="00EF2F68" w:rsidRDefault="00EF2F68" w:rsidP="007C5992">
      <w:pPr>
        <w:widowControl w:val="0"/>
        <w:autoSpaceDE w:val="0"/>
        <w:autoSpaceDN w:val="0"/>
        <w:adjustRightInd w:val="0"/>
        <w:spacing w:after="0" w:line="223" w:lineRule="atLeast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475D8F91" w14:textId="77777777" w:rsidR="00EF2F68" w:rsidRDefault="00EF2F68" w:rsidP="007C5992">
      <w:pPr>
        <w:widowControl w:val="0"/>
        <w:autoSpaceDE w:val="0"/>
        <w:autoSpaceDN w:val="0"/>
        <w:adjustRightInd w:val="0"/>
        <w:spacing w:after="0" w:line="223" w:lineRule="atLeast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18322D55" w14:textId="77777777" w:rsidR="00EF2F68" w:rsidRPr="007C5992" w:rsidRDefault="00EF2F68" w:rsidP="007C5992">
      <w:pPr>
        <w:widowControl w:val="0"/>
        <w:autoSpaceDE w:val="0"/>
        <w:autoSpaceDN w:val="0"/>
        <w:adjustRightInd w:val="0"/>
        <w:spacing w:after="0" w:line="223" w:lineRule="atLeast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35DD2758" w14:textId="50431BD3" w:rsidR="007C5992" w:rsidRPr="007C5992" w:rsidRDefault="007C5992" w:rsidP="007C5992">
      <w:pPr>
        <w:widowControl w:val="0"/>
        <w:autoSpaceDE w:val="0"/>
        <w:autoSpaceDN w:val="0"/>
        <w:adjustRightInd w:val="0"/>
        <w:spacing w:after="0" w:line="223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hr-HR"/>
          <w14:ligatures w14:val="none"/>
        </w:rPr>
        <w:lastRenderedPageBreak/>
        <w:t xml:space="preserve">OBRAZLOŽENJE PRIJEDLOGA OPĆEG DIJELA </w:t>
      </w:r>
      <w:r w:rsidR="00234B22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hr-HR"/>
          <w14:ligatures w14:val="none"/>
        </w:rPr>
        <w:t>POLU</w:t>
      </w:r>
      <w:r w:rsidRPr="007C5992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hr-HR"/>
          <w14:ligatures w14:val="none"/>
        </w:rPr>
        <w:t xml:space="preserve">GODIŠNJEG IZVJEŠTAJA </w:t>
      </w:r>
    </w:p>
    <w:p w14:paraId="003B1ABD" w14:textId="77777777" w:rsidR="007C5992" w:rsidRPr="007C5992" w:rsidRDefault="007C5992" w:rsidP="007C599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</w:p>
    <w:p w14:paraId="767D67E0" w14:textId="77777777" w:rsidR="007C5992" w:rsidRPr="007C5992" w:rsidRDefault="007C5992" w:rsidP="007C599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kern w:val="0"/>
          <w:lang w:eastAsia="hr-HR"/>
          <w14:ligatures w14:val="none"/>
        </w:rPr>
        <w:t>PRIHODI I PRIMICI</w:t>
      </w:r>
    </w:p>
    <w:p w14:paraId="4406E474" w14:textId="77777777" w:rsidR="007C5992" w:rsidRPr="007C5992" w:rsidRDefault="007C5992" w:rsidP="007C599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5777038A" w14:textId="531CDB24" w:rsidR="007C5992" w:rsidRPr="007C5992" w:rsidRDefault="007C5992" w:rsidP="007C59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Ukupno realizirani prihodi i primici  </w:t>
      </w:r>
      <w:r w:rsidR="00234B2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JVP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u prvih </w:t>
      </w:r>
      <w:r w:rsidR="00856444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6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mjeseci iznosili su </w:t>
      </w:r>
      <w:r w:rsidR="00856444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1.332.055,69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EUR. U skladu s očekivanim JVP ostvaruje najveći udio prihoda od nadležnog proračuna za financiranje redovne djelatnosti proračunskih korisnika u iznosu 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61,</w:t>
      </w:r>
      <w:r w:rsidR="00234B2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9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7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%, slijede 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prihodi od pruženih usluga u iznosu </w:t>
      </w:r>
      <w:r w:rsidR="00B42CD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38,</w:t>
      </w:r>
      <w:r w:rsidR="00234B2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0</w:t>
      </w:r>
      <w:r w:rsidR="00B42CD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3 %.</w:t>
      </w:r>
    </w:p>
    <w:p w14:paraId="0BCFB754" w14:textId="768D7B65" w:rsidR="007C5992" w:rsidRPr="007C5992" w:rsidRDefault="007C5992" w:rsidP="007C59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U tabelarnom prikazu struktura prihoda i primitaka na razini skupine ekonomske klasifikacije, kao i usporedba ostvarenja u odnosu </w:t>
      </w:r>
      <w:r w:rsidR="00B42CD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6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mjeseci 202</w:t>
      </w:r>
      <w:r w:rsidR="00B42CD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4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. godine izgleda kako slijedi:</w:t>
      </w:r>
    </w:p>
    <w:p w14:paraId="3AB8BE19" w14:textId="77777777" w:rsidR="007C5992" w:rsidRPr="007C5992" w:rsidRDefault="007C5992" w:rsidP="007C59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</w:pPr>
    </w:p>
    <w:p w14:paraId="5C61A1D8" w14:textId="77777777" w:rsidR="007C5992" w:rsidRDefault="007C5992" w:rsidP="007C59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Tablica 1. struktura prihoda i primitaka na razini skupine ekonomske klasifikacije</w:t>
      </w:r>
    </w:p>
    <w:p w14:paraId="5343AABA" w14:textId="77777777" w:rsidR="00EF2F68" w:rsidRPr="007C5992" w:rsidRDefault="00EF2F68" w:rsidP="007C599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</w:pPr>
    </w:p>
    <w:tbl>
      <w:tblPr>
        <w:tblW w:w="6800" w:type="dxa"/>
        <w:jc w:val="center"/>
        <w:tblLook w:val="04A0" w:firstRow="1" w:lastRow="0" w:firstColumn="1" w:lastColumn="0" w:noHBand="0" w:noVBand="1"/>
      </w:tblPr>
      <w:tblGrid>
        <w:gridCol w:w="938"/>
        <w:gridCol w:w="1960"/>
        <w:gridCol w:w="1420"/>
        <w:gridCol w:w="1680"/>
        <w:gridCol w:w="821"/>
      </w:tblGrid>
      <w:tr w:rsidR="00B42CD6" w:rsidRPr="00B42CD6" w14:paraId="6552DDF5" w14:textId="77777777" w:rsidTr="00B42CD6">
        <w:trPr>
          <w:trHeight w:val="615"/>
          <w:jc w:val="center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33B6963C" w14:textId="77777777" w:rsidR="00B42CD6" w:rsidRPr="00B42CD6" w:rsidRDefault="00B42CD6" w:rsidP="00B4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Skupina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7EAE4885" w14:textId="77777777" w:rsidR="00B42CD6" w:rsidRPr="00B42CD6" w:rsidRDefault="00B42CD6" w:rsidP="00B4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Naziv prihoda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7F211684" w14:textId="77777777" w:rsidR="00B42CD6" w:rsidRPr="00B42CD6" w:rsidRDefault="00B42CD6" w:rsidP="00B4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Ostvarenje       I-VI/2023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3369BE10" w14:textId="77777777" w:rsidR="00B42CD6" w:rsidRPr="00B42CD6" w:rsidRDefault="00B42CD6" w:rsidP="00B4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Ostvarenje            I-VI/2024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7AAD4C3E" w14:textId="77777777" w:rsidR="00B42CD6" w:rsidRPr="00B42CD6" w:rsidRDefault="00B42CD6" w:rsidP="00B4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Indeks </w:t>
            </w:r>
          </w:p>
        </w:tc>
      </w:tr>
      <w:tr w:rsidR="00B42CD6" w:rsidRPr="00B42CD6" w14:paraId="419BCE0B" w14:textId="77777777" w:rsidTr="00B42CD6">
        <w:trPr>
          <w:trHeight w:val="12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9EE86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06172" w14:textId="77777777" w:rsidR="00B42CD6" w:rsidRPr="00B42CD6" w:rsidRDefault="00B42CD6" w:rsidP="00B4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Prihodi o prodaje proizvoda i robe, te pruženih usluga, prihodi od donacija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7394A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277.624,18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DB4DB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506.628,72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021C2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182,49</w:t>
            </w:r>
          </w:p>
        </w:tc>
      </w:tr>
      <w:tr w:rsidR="00B42CD6" w:rsidRPr="00B42CD6" w14:paraId="033268F0" w14:textId="77777777" w:rsidTr="00B42CD6">
        <w:trPr>
          <w:trHeight w:val="12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C492D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FFA45" w14:textId="77777777" w:rsidR="00B42CD6" w:rsidRPr="00B42CD6" w:rsidRDefault="00B42CD6" w:rsidP="00B42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Prihodi iz nadležnog proračuna i od HZZO-a temeljem ugovornih obveza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10860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679.031,41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B2683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825.426,97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14F0C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121,56</w:t>
            </w:r>
          </w:p>
        </w:tc>
      </w:tr>
      <w:tr w:rsidR="00B42CD6" w:rsidRPr="00B42CD6" w14:paraId="4B3FFCFC" w14:textId="77777777" w:rsidTr="00B42CD6">
        <w:trPr>
          <w:trHeight w:val="315"/>
          <w:jc w:val="center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3FF0700B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060719F6" w14:textId="77777777" w:rsidR="00B42CD6" w:rsidRPr="00B42CD6" w:rsidRDefault="00B42CD6" w:rsidP="00B42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Ukupno razred 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597BB32E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956.655,59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7995CA1E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1.332.055,69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277DC02" w14:textId="77777777" w:rsidR="00B42CD6" w:rsidRPr="00B42CD6" w:rsidRDefault="00B42CD6" w:rsidP="00B42C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42CD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139,24</w:t>
            </w:r>
          </w:p>
        </w:tc>
      </w:tr>
    </w:tbl>
    <w:p w14:paraId="0C4F1C71" w14:textId="77777777" w:rsidR="007C5992" w:rsidRPr="007C5992" w:rsidRDefault="007C5992" w:rsidP="00B42CD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6A9302F0" w14:textId="77777777" w:rsidR="007C5992" w:rsidRPr="007C5992" w:rsidRDefault="007C5992" w:rsidP="007C59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Prihodi od prodaje proizvoda i robe te pruženih usluga i prihodi od donacija (Skupina 66)</w:t>
      </w:r>
    </w:p>
    <w:p w14:paraId="24E493CC" w14:textId="0ADBF62D" w:rsidR="007C5992" w:rsidRPr="007C5992" w:rsidRDefault="007C5992" w:rsidP="007C59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Prihodi od pruženih usluga bilježe rast od 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82,49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 u odnosu na prethodnu 202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3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godinu i realizaciju od 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506.628,72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EUR. U odnosu na plan riječ je o izvršenju od </w:t>
      </w:r>
      <w:r w:rsidR="008D3BBD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60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%.</w:t>
      </w:r>
    </w:p>
    <w:p w14:paraId="07E7129D" w14:textId="611154F0" w:rsidR="007C5992" w:rsidRDefault="008D3BBD" w:rsidP="00B42C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P</w:t>
      </w:r>
      <w:r w:rsidR="007C5992"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odskupinu prihoda čine Prihodi od pruženih usluga (661) koji su realizirani iz izvora Vlastiti prihodi</w:t>
      </w:r>
      <w:r w:rsidR="007C5992" w:rsidRPr="007C5992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hr-HR"/>
          <w14:ligatures w14:val="none"/>
        </w:rPr>
        <w:t xml:space="preserve"> </w:t>
      </w:r>
      <w:r w:rsidR="007C5992"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u iznosu od 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506.628,72</w:t>
      </w:r>
      <w:r w:rsidR="007C5992"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EUR. </w:t>
      </w:r>
      <w:r w:rsidR="007C5992"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Vlastiti prihodi,</w:t>
      </w:r>
      <w:r w:rsidR="007C5992"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ostvareni su obavljajući poslove na tržištu, na temelju sklopljenih ugovora protupožarnog osiguranja, priključaka na vatrodojavnu centralu za 202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4</w:t>
      </w:r>
      <w:r w:rsidR="007C5992"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godinu. Osim ugovorenih usluga tu su i prihodi koji se naplaćuju sukladno cjeniku ostalih usluga, te prihodi od Servisa vatrogasnih aparata. Vlastiti prihodi bilježe rast u iznosu  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82,49 </w:t>
      </w:r>
      <w:r w:rsidR="007C5992"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 u odnosu na prethodnu godinu. Rast prihoda najvećim dijelom je ostvaren </w:t>
      </w:r>
      <w:r w:rsidR="00B42CD6" w:rsidRP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zbog povećanja cijena usluga vatrogasnog dežurstva i preventivno operativnih poslova, a sve sukladno sklopljenim ugovorima, te sukladno dospjelosti plaćanja istih.</w:t>
      </w:r>
    </w:p>
    <w:p w14:paraId="0AF962F5" w14:textId="77777777" w:rsidR="00B42CD6" w:rsidRPr="007C5992" w:rsidRDefault="00B42CD6" w:rsidP="00B42C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</w:pPr>
    </w:p>
    <w:p w14:paraId="46C1CE54" w14:textId="77777777" w:rsidR="007C5992" w:rsidRPr="007C5992" w:rsidRDefault="007C5992" w:rsidP="007C59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hr-HR"/>
          <w14:ligatures w14:val="none"/>
        </w:rPr>
        <w:t>Prihodi iz nadležnog proračuna i od HZZO-a temeljem ugovornih obveza (skupina 67)</w:t>
      </w:r>
    </w:p>
    <w:p w14:paraId="0CD1BE69" w14:textId="5C0600BA" w:rsidR="007C5992" w:rsidRDefault="007C5992" w:rsidP="00B42C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Prihodi skupine</w:t>
      </w:r>
      <w:r w:rsidR="008D3BB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u ukupnom iznosu od 825.426,97 EUR,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raspoređeni su u podskupinu Prihodi iz nadležnog proračuna za financiranje redovne djelatnosti proračunskih korisnika (671)</w:t>
      </w:r>
      <w:r w:rsidR="008D3BB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.Prema i</w:t>
      </w:r>
      <w:r w:rsidR="00FC6C3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z</w:t>
      </w:r>
      <w:r w:rsidR="008D3BBD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vorima financiranja prihodi se sastoje 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iz Proračuna grada Koprivnice, iz izvora financiranja 11 opći prihodi i primici u iznosu </w:t>
      </w:r>
      <w:r w:rsidR="00B42CD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392.715,59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EUR. Prihodi uključuju i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sredstva koja se ostvaruju sukladno Uredbi Vlade Republike Hrvatske o načinu financiranja decentraliziranih funkcija, te izračuna iznosa pomoći izravnavanja za decentralizirane funkcije jedinica lokalne i područne samouprave za 202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4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 godinu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iz izvora opći prihodi i primici decentralizacija vatrogastvo u iznosu </w:t>
      </w:r>
      <w:r w:rsidR="00B42CD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196.142,00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EUR, te pomoći unutar općeg proračuna </w:t>
      </w:r>
      <w:r w:rsidR="00B42CD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236.569,38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EUR.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Rast prihoda u iznosu </w:t>
      </w:r>
      <w:r w:rsid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21,56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% </w:t>
      </w:r>
      <w:r w:rsidR="00B42CD6" w:rsidRPr="00B42CD6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najvećim dijelom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proizlazi </w:t>
      </w:r>
      <w:r w:rsidR="00B42CD6" w:rsidRPr="00B42CD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zbog isplate dviju otpremnina za jednog vatrogasca i jednog pomoćnog radnika iz gradskih sredstava, te povećanjem plaća sukladno Dodatku I. Kolektivnog ugovora za radnike</w:t>
      </w:r>
      <w:r w:rsidR="002C4CB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JVP</w:t>
      </w:r>
      <w:r w:rsidR="00B42CD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. </w:t>
      </w:r>
    </w:p>
    <w:p w14:paraId="6DD24053" w14:textId="77777777" w:rsidR="00B42CD6" w:rsidRPr="007C5992" w:rsidRDefault="00B42CD6" w:rsidP="00B42C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hr-HR"/>
          <w14:ligatures w14:val="none"/>
        </w:rPr>
      </w:pPr>
    </w:p>
    <w:p w14:paraId="7C16FD45" w14:textId="77777777" w:rsidR="007C5992" w:rsidRDefault="007C5992" w:rsidP="007C59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27F1F715" w14:textId="77777777" w:rsidR="009446B1" w:rsidRPr="007C5992" w:rsidRDefault="009446B1" w:rsidP="007C59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18FF3615" w14:textId="77777777" w:rsidR="007C5992" w:rsidRPr="007C5992" w:rsidRDefault="007C5992" w:rsidP="007C5992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        Ova datoteka je stvorena od Oracle </w:t>
      </w:r>
      <w:proofErr w:type="spellStart"/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Reports</w:t>
      </w:r>
      <w:proofErr w:type="spellEnd"/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-a. Molim vas pregledajte ovaj dokument na </w:t>
      </w:r>
      <w:proofErr w:type="spellStart"/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nanačin</w:t>
      </w:r>
      <w:proofErr w:type="spellEnd"/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Straničnog razmještaja.</w:t>
      </w:r>
    </w:p>
    <w:p w14:paraId="11CA7A68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bCs/>
          <w:kern w:val="0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kern w:val="0"/>
          <w:lang w:eastAsia="hr-HR"/>
          <w14:ligatures w14:val="none"/>
        </w:rPr>
        <w:lastRenderedPageBreak/>
        <w:t>RASHODI I IZDACI</w:t>
      </w:r>
    </w:p>
    <w:p w14:paraId="1FC692CB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</w:p>
    <w:p w14:paraId="1FFA3344" w14:textId="77777777" w:rsid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Tablica 2. Struktura rashoda i izdataka izgleda kako slijedi:</w:t>
      </w:r>
    </w:p>
    <w:p w14:paraId="62915D11" w14:textId="77777777" w:rsidR="00EF2F68" w:rsidRPr="007C5992" w:rsidRDefault="00EF2F68" w:rsidP="007C5992">
      <w:pPr>
        <w:widowControl w:val="0"/>
        <w:tabs>
          <w:tab w:val="left" w:pos="839"/>
        </w:tabs>
        <w:spacing w:after="0" w:line="240" w:lineRule="auto"/>
        <w:ind w:right="96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tbl>
      <w:tblPr>
        <w:tblW w:w="6500" w:type="dxa"/>
        <w:jc w:val="center"/>
        <w:tblLook w:val="04A0" w:firstRow="1" w:lastRow="0" w:firstColumn="1" w:lastColumn="0" w:noHBand="0" w:noVBand="1"/>
      </w:tblPr>
      <w:tblGrid>
        <w:gridCol w:w="2560"/>
        <w:gridCol w:w="1460"/>
        <w:gridCol w:w="1420"/>
        <w:gridCol w:w="1060"/>
      </w:tblGrid>
      <w:tr w:rsidR="00BA530C" w:rsidRPr="00BA530C" w14:paraId="735708E0" w14:textId="77777777" w:rsidTr="0023720F">
        <w:trPr>
          <w:trHeight w:val="615"/>
          <w:jc w:val="center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2DBD9408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Skupina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5CE4B9AA" w14:textId="6B6CACA0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Ostvarenje I. -VI. 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</w:t>
            </w: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.g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4DB3A8E4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Ostvarenje I. -VI. 2024.g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14:paraId="00630F85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Indeks</w:t>
            </w:r>
          </w:p>
        </w:tc>
      </w:tr>
      <w:tr w:rsidR="00BA530C" w:rsidRPr="00BA530C" w14:paraId="38849BD7" w14:textId="77777777" w:rsidTr="0023720F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C75FB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31 Rashodi za zaposlene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7091C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865.015,77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53271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1.058.232,71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CE686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122,34</w:t>
            </w:r>
          </w:p>
        </w:tc>
      </w:tr>
      <w:tr w:rsidR="00BA530C" w:rsidRPr="00BA530C" w14:paraId="19D42707" w14:textId="77777777" w:rsidTr="0023720F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B55EE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32 Materijalni rashodi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C689A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109.587,77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586F5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116.576,14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72285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106,38</w:t>
            </w:r>
          </w:p>
        </w:tc>
      </w:tr>
      <w:tr w:rsidR="00BA530C" w:rsidRPr="00BA530C" w14:paraId="2D8BA4AF" w14:textId="77777777" w:rsidTr="0023720F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A01CB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34 Financijski rashodi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3C92B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983B5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43,95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EB827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125,21</w:t>
            </w:r>
          </w:p>
        </w:tc>
      </w:tr>
      <w:tr w:rsidR="00BA530C" w:rsidRPr="00BA530C" w14:paraId="7E753B8C" w14:textId="77777777" w:rsidTr="0023720F">
        <w:trPr>
          <w:trHeight w:val="1020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9925B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42 Rashodi za nabavu proizvedene dugotrajne imovine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0A384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290,04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E05D3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247B2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0,00</w:t>
            </w:r>
          </w:p>
        </w:tc>
      </w:tr>
      <w:tr w:rsidR="00BA530C" w:rsidRPr="00BA530C" w14:paraId="53094BF0" w14:textId="77777777" w:rsidTr="0023720F">
        <w:trPr>
          <w:trHeight w:val="85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A596D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45 Rashodi za dodatna ulaganja na nefinancijskoj imovini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59645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2AFA7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3.082,75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98AA8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0,00</w:t>
            </w:r>
          </w:p>
        </w:tc>
      </w:tr>
      <w:tr w:rsidR="00BA530C" w:rsidRPr="00BA530C" w14:paraId="3EFFB70A" w14:textId="77777777" w:rsidTr="0023720F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26B3083C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RAZRED 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3D4FBBAA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974.638,64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36DF48BE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1.174.852,80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EF66EA7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120,54</w:t>
            </w:r>
          </w:p>
        </w:tc>
      </w:tr>
      <w:tr w:rsidR="00BA530C" w:rsidRPr="00BA530C" w14:paraId="0699A88C" w14:textId="77777777" w:rsidTr="0023720F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731DC136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RAZRED 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578A38DD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290,04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6CB4670D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3.082,75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5FE245B9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1.062,87</w:t>
            </w:r>
          </w:p>
        </w:tc>
      </w:tr>
      <w:tr w:rsidR="00BA530C" w:rsidRPr="00BA530C" w14:paraId="52315280" w14:textId="77777777" w:rsidTr="0023720F">
        <w:trPr>
          <w:trHeight w:val="315"/>
          <w:jc w:val="center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4FE3AA45" w14:textId="77777777" w:rsidR="00BA530C" w:rsidRPr="00BA530C" w:rsidRDefault="00BA530C" w:rsidP="00BA5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UKUPNI RASHODI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6C0807BC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1.745.195,95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noWrap/>
            <w:vAlign w:val="center"/>
            <w:hideMark/>
          </w:tcPr>
          <w:p w14:paraId="0B1D9C01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2.078.714,64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09F68AA3" w14:textId="77777777" w:rsidR="00BA530C" w:rsidRPr="00BA530C" w:rsidRDefault="00BA530C" w:rsidP="00BA5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BA530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119,11</w:t>
            </w:r>
          </w:p>
        </w:tc>
      </w:tr>
    </w:tbl>
    <w:p w14:paraId="48694C51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0AA18A95" w14:textId="1E20308C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ab/>
        <w:t xml:space="preserve">U okviru ukupnih rashoda, rashodi poslovanja (razred 3) realizirani su u iznosu od </w:t>
      </w:r>
      <w:r w:rsidR="00BA530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974.638,64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 EUR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, što je 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20,54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% više nego u istom razdoblju prethodne godine kada su isti izvršeni na razini od </w:t>
      </w:r>
      <w:r w:rsidR="00BA530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 xml:space="preserve">1.174.852,80 </w:t>
      </w:r>
      <w:r w:rsidRPr="007C599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hr-HR"/>
          <w14:ligatures w14:val="none"/>
        </w:rPr>
        <w:t>EUR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 </w:t>
      </w:r>
    </w:p>
    <w:p w14:paraId="724E30B8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3CB004B2" w14:textId="3DC01E6D" w:rsidR="007C5992" w:rsidRPr="00BA530C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Skupina 31/Rashodi za zaposlene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bilježe rast u odnosu na prethodnu godinu u iznosu od 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22,34</w:t>
      </w:r>
      <w:r w:rsidR="00FA5AA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%, odnosno govorimo o izvršenju od 1.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058.232,71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EUR. U odnosu na plan govorimo o realizaciji od 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5</w:t>
      </w:r>
      <w:r w:rsidR="00FA5AA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0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  utvrđenog. Podskupine ( 311, 312 i 313) realizirane su u većem iznosu u odnosu na prethodnu godinu. </w:t>
      </w:r>
      <w:r w:rsidR="00BA530C" w:rsidRP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Prema Pravilniku o klasifikaciji radnih mjesta profesionalnih vatrogasaca, mjerilima za njihovo utvrđivanje i koeficijentima složenosti poslova (dalje u tekstu: Pravilnik) izmijenili su se nazivi radnih mjesta i mjerila za utvrđivanje radnih mjesta profesionalnih vatrogasaca, kao i koeficijenti složenosti poslova profesionalnih vatrogasaca. Shodno tomu od 01.ožujka 2024. godine stupio je na snagu novi Dodatak I. Kolektivnog ugovora za radnike JVP koji se uskladio s navedenim Pravilnikom, te se osnovica za obračun plaće uskladila s osnovicom za državne službenike i namještenike. Osim povećanja plaća, na rast je utjecala i isplata triju otpremnina, za dva vatrogasca i jednog pomoćnog radnika.</w:t>
      </w:r>
    </w:p>
    <w:p w14:paraId="47B0F243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</w:p>
    <w:p w14:paraId="6A4AC6C2" w14:textId="6F0EFF2D" w:rsid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Skupina 32 /Materijalni rashodi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bilježe 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rast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u odnosu na prethodnu godinu u iznosu od 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6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%, odnosno 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116.576,14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EUR. Izvršenje se bilježi na</w:t>
      </w:r>
      <w:r w:rsidR="00FA5AA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34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 plana.</w:t>
      </w:r>
    </w:p>
    <w:p w14:paraId="56A6F842" w14:textId="77777777" w:rsidR="00234B22" w:rsidRPr="007C5992" w:rsidRDefault="00234B2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51B7F92F" w14:textId="515277C1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Podskupina 321-Naknade troškova zaposlenima bilježi realizaciju od 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36.225,72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EUR.</w:t>
      </w:r>
    </w:p>
    <w:p w14:paraId="19DF71D1" w14:textId="2B1AFB7F" w:rsidR="007C5992" w:rsidRPr="007C5992" w:rsidRDefault="00234B2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="007C5992"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Odjeljak 3211 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S</w:t>
      </w:r>
      <w:r w:rsidR="007C5992"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lužbena putovanja 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bilježe rast u iznosu 1.305,74 EUR 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najvećim</w:t>
      </w:r>
      <w:r w:rsidR="00BA530C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dijelom zbog osposobljavanja 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koje je provela Hrvatska vatrogasna zajednica sukladno Programu osposobljavanja voditelja intervencija za navođenje zrakoplova, programu koji se provodio od 27. </w:t>
      </w:r>
      <w:r w:rsidR="002C4CB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svibnja 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do 7. lipnja 2024. godine. Osposobljavanju je pristupilo petero vatrogasaca JVP.</w:t>
      </w:r>
    </w:p>
    <w:p w14:paraId="2C1E2E6D" w14:textId="150FDF61" w:rsidR="007C5992" w:rsidRPr="007C5992" w:rsidRDefault="00234B2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="007C5992"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Odjeljak 3212 Naknade za prijevoz ne bilježe značajnija odstupanja iznad 5%.</w:t>
      </w:r>
    </w:p>
    <w:p w14:paraId="1CE7DAB9" w14:textId="1CF943EA" w:rsidR="007C5992" w:rsidRDefault="00234B2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</w:r>
      <w:r w:rsidR="007C5992"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Odjeljak 3213 Stručno usavršavanje zaposlenika </w:t>
      </w:r>
      <w:r w:rsidR="00527749" w:rsidRP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ne bilježe značajnija odstupanja iznad 5%.</w:t>
      </w:r>
    </w:p>
    <w:p w14:paraId="7158FD87" w14:textId="77777777" w:rsidR="00234B22" w:rsidRPr="007C5992" w:rsidRDefault="00234B2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308C8DD5" w14:textId="3DD85771" w:rsidR="00527749" w:rsidRPr="00527749" w:rsidRDefault="007C5992" w:rsidP="00527749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Podskupina 322 - Rashodi za materijal i energiju bilježi 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rast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od 5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9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 i realizacij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u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od 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41.349,13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EUR. Najveća odstupanja podskupine bilježi se na razini odjeljka 3227 – Službena, radna i zaštitna odjeća i obuća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, gdje je zabilježen rast u iznosu od 26.296,24 EUR. Uzrok rasta odjeljka 3227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je za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</w:t>
      </w:r>
      <w:r w:rsidR="00527749" w:rsidRP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javnu nabavu provedenu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krajem </w:t>
      </w:r>
      <w:r w:rsidR="00527749" w:rsidRP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2023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 godine</w:t>
      </w:r>
      <w:r w:rsidR="0052774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, 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za isporuku svečane i radne odjeće i obuće u 2024. godini. </w:t>
      </w:r>
    </w:p>
    <w:p w14:paraId="01863B73" w14:textId="69164AE3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lastRenderedPageBreak/>
        <w:tab/>
        <w:t xml:space="preserve">Odjeljak 3221 -Uredski materijal i ostali materijalni rashodi bilježi 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pad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od 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15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 u odnosu na 202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3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godinu zbog 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manjih potreba za nabavom uredskih i higijenskih potrepština.</w:t>
      </w:r>
    </w:p>
    <w:p w14:paraId="15A369CC" w14:textId="3F0CEF6F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3222 Materijal i sirovine bilježe 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pad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od 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32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 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.Posljedica je to odlaska Voditelja servisa na godišnji odmor, za evidenciju koja će se nakon povratka uskladiti s radom Servisa u idućem razdoblju.</w:t>
      </w:r>
    </w:p>
    <w:p w14:paraId="391E615F" w14:textId="7E19BECA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>Odjeljak 3223 -Energija bilježi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pad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od </w:t>
      </w:r>
      <w:r w:rsidR="00A814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32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%, sukladno </w:t>
      </w:r>
      <w:r w:rsid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manjoj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potrošnji plina</w:t>
      </w:r>
      <w:r w:rsid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u odnosu na isto razdoblje prethodne godine.</w:t>
      </w:r>
    </w:p>
    <w:p w14:paraId="5D8A4992" w14:textId="179776E0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3224 -Materijal i dijelovi za tekuće i investicijsko održavanje bilježi pad u iznosu </w:t>
      </w:r>
      <w:r w:rsid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72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 zbog manjih potreba nabave raznog materijala za opremu, vozila i sl.</w:t>
      </w:r>
    </w:p>
    <w:p w14:paraId="1D355649" w14:textId="7347A8DC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3225 -Sitni inventar i auto gume </w:t>
      </w:r>
      <w:r w:rsid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ne bilježe realizaciju za 2024. godinu</w:t>
      </w:r>
      <w:r w:rsidR="0099295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</w:t>
      </w:r>
    </w:p>
    <w:p w14:paraId="223BE5BE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6EE97ED7" w14:textId="18463CD9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Podskupina 323 - Rashodi za usluge bilježi realizaciju od </w:t>
      </w:r>
      <w:r w:rsid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22.465,96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EUR.</w:t>
      </w:r>
    </w:p>
    <w:p w14:paraId="0EB3EFA0" w14:textId="37095503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3231 Usluge telefona, pošte i prijevoza </w:t>
      </w:r>
      <w:r w:rsidR="00E31BA1" w:rsidRP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ne bilježe značajnija odstupanja iznad 5%.</w:t>
      </w:r>
    </w:p>
    <w:p w14:paraId="27FC87CC" w14:textId="14FCAA4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3232 – Usluge tekućeg investicijskog održavanja bilježe </w:t>
      </w:r>
      <w:r w:rsid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pad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od</w:t>
      </w:r>
      <w:r w:rsid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41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 </w:t>
      </w:r>
      <w:r w:rsid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.Posljedica je to troškova popravka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i kvara</w:t>
      </w:r>
      <w:r w:rsidR="00E31BA1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vozila DVD Koprivnica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u prethodnoj godini.</w:t>
      </w:r>
    </w:p>
    <w:p w14:paraId="1DF25934" w14:textId="612D025A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Odjeljak 3233 -Usluge promidžbe i informiranja 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bilježe pad od 6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,</w:t>
      </w:r>
      <w:r w:rsidR="00FA5AA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u odnosu na 2023. godinu u kojoj je najvećim dijelom r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ast uzrokovan objavama natječaja za zapošljavanje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za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vatrogasce pripravnike u tisku lokalnih novina, te za voditelja računovodstva.</w:t>
      </w:r>
    </w:p>
    <w:p w14:paraId="7554ED4A" w14:textId="5FF4DAD9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>Odjeljak 3234 -Komunalne usluge biljež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e pad od 27%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Posljedica je to </w:t>
      </w:r>
      <w:r w:rsidR="009B146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pogrešne evidencije 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knjiženja ispravljen</w:t>
      </w:r>
      <w:r w:rsidR="009B146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e 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u drugom polugodištu</w:t>
      </w:r>
      <w:r w:rsidR="00FA5AA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2023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</w:t>
      </w:r>
      <w:r w:rsidR="00FA5AA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godine.</w:t>
      </w:r>
    </w:p>
    <w:p w14:paraId="56202213" w14:textId="5FE78FC8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3235 Zakupnine i najamnine bilježe 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pad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od 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24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%, odnosno realizaciju od </w:t>
      </w:r>
      <w:r w:rsidR="00174DD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3.660,65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</w:t>
      </w:r>
      <w:r w:rsidR="00C41DA7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Uzrok tomu, najvećim dijelom je nabava licenci za digitalnu pisarnicu za 2023. godinu. </w:t>
      </w:r>
    </w:p>
    <w:p w14:paraId="29C805DA" w14:textId="48F2A6FF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>Odjeljak 3236 Zdravstvene i veterinarske usluge bilježe realizaciju</w:t>
      </w:r>
      <w:r w:rsidR="00FA5AA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u iznosu 52 EUR, za plaćanje zdravstvenog pregleda izvan utvrđenog roka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</w:t>
      </w:r>
    </w:p>
    <w:p w14:paraId="79953297" w14:textId="750F6E31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3237 -Intelektualne i osobne usluge bilježe rast </w:t>
      </w:r>
      <w:r w:rsidR="0099295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od 13% sukladno ispitivanju elektroinstalacija, </w:t>
      </w:r>
      <w:proofErr w:type="spellStart"/>
      <w:r w:rsidR="0099295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panik</w:t>
      </w:r>
      <w:proofErr w:type="spellEnd"/>
      <w:r w:rsidR="0099295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rasvjete, JPR tipkala i gromobranskih instalacija</w:t>
      </w:r>
    </w:p>
    <w:p w14:paraId="6BC2C61C" w14:textId="58AA1C2E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3238 Računalne usluge bilježe rast od </w:t>
      </w:r>
      <w:r w:rsidR="0099295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96%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, najvećim dijelom </w:t>
      </w:r>
      <w:r w:rsidR="0099295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za usluge održavanja sustava vatrodojave za usluge digitalne vatrodojave, a sve sukladno novom Ugovoru. Isto tako rast je uzrokovan i dijelom za izradu sustava Transparentnosti, prikazu mjesečnih troškova i javnoj objavi na web stranici JVP sukladno Zakonu o proračunu.</w:t>
      </w:r>
    </w:p>
    <w:p w14:paraId="1AB8E3AB" w14:textId="77777777" w:rsidR="00992959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3239-Ostale usluge </w:t>
      </w:r>
      <w:r w:rsidR="00992959" w:rsidRPr="0099295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ne bilježe značajnija odstupanja iznad 5%.</w:t>
      </w:r>
    </w:p>
    <w:p w14:paraId="4A351481" w14:textId="77777777" w:rsidR="00642990" w:rsidRDefault="00642990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1EBCA1D1" w14:textId="7FB67F69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Podskupina 329 – Ostali nespomenuti rashodi poslovanja bilježe realizaciju od </w:t>
      </w:r>
      <w:r w:rsidR="0099295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16.535,33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EUR, što je za </w:t>
      </w:r>
      <w:r w:rsidR="00992959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16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 manje nego prethodne godine. </w:t>
      </w:r>
    </w:p>
    <w:p w14:paraId="45988746" w14:textId="4622BB06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3292 Premije osiguranja </w:t>
      </w:r>
      <w:r w:rsidR="00451A5E" w:rsidRP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bilježi 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pad</w:t>
      </w:r>
      <w:r w:rsidR="00451A5E" w:rsidRP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od 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15</w:t>
      </w:r>
      <w:r w:rsidR="00451A5E" w:rsidRP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</w:t>
      </w:r>
      <w:r w:rsidR="00E91CA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osljedica je to</w:t>
      </w:r>
      <w:r w:rsidR="00E91CA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,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</w:t>
      </w:r>
      <w:r w:rsidR="00E91CA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n</w:t>
      </w:r>
      <w:r w:rsidR="00E91CA0" w:rsidRPr="00E91CA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ajvećim dijelom </w:t>
      </w:r>
      <w:r w:rsidR="00E91CA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zbog 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evidentiranja sistematskih pregleda kao osiguranja zaposlenih za 2023. godinu, što je ispravljeno u drugom polugodištu 2023. godine, sukladno uputi Ministarstva za izradu polugodišnjih izvještaja.</w:t>
      </w:r>
    </w:p>
    <w:p w14:paraId="078A52B0" w14:textId="074AC6CB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3293-Reprezentacija bilježi 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pad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od 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7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%,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sukladno potrebama i količinama  za nabavu razne robe, u odnosu na prethodnu godinu.</w:t>
      </w:r>
    </w:p>
    <w:p w14:paraId="6092DDA3" w14:textId="4DE886B5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Odjeljak 3295 Pristojbe i naknade 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ne bilježe realizaciju za 2024. godinu</w:t>
      </w:r>
      <w:r w:rsidR="003C6D1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, u </w:t>
      </w:r>
      <w:r w:rsidR="00451A5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odnosu na </w:t>
      </w:r>
      <w:r w:rsidR="003C6D1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2023. godinu za koju su evidentirane za plaćanje troškova stručnog ispita</w:t>
      </w:r>
    </w:p>
    <w:p w14:paraId="7D4D9CCA" w14:textId="1EB88888" w:rsidR="007C5992" w:rsidRPr="007C5992" w:rsidRDefault="007C5992" w:rsidP="007C59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Odjeljak 3299 Ostali nespomenuti rashodi poslovanja bilježe pad od </w:t>
      </w:r>
      <w:r w:rsidR="003C6D1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72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%, </w:t>
      </w:r>
      <w:r w:rsidRPr="007C5992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najvećim dijelom zbog </w:t>
      </w:r>
      <w:r w:rsidR="003C6D10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nabave vijenaca i lampiona za 2023. godinu</w:t>
      </w:r>
      <w:r w:rsidR="00E91CA0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. U 2024. godini nije bilo navedene nabave.</w:t>
      </w:r>
    </w:p>
    <w:p w14:paraId="2584E4C6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76494F47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5F66C7E0" w14:textId="35221601" w:rsidR="007C5992" w:rsidRPr="003C6D10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Skupina 34/ Financijski rashodi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bilježi realizaciju od </w:t>
      </w:r>
      <w:r w:rsidR="003C6D1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43,95 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EUR i izvršenje na razini od </w:t>
      </w:r>
      <w:r w:rsidR="003C6D1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2</w:t>
      </w:r>
      <w:r w:rsidR="00CB7EA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0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% plana.</w:t>
      </w:r>
      <w:r w:rsidR="003C6D1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Skupina bilježi rast sukladno plaćanju zateznih kamata za režijske troškove temeljem dospijeća plaćanja.</w:t>
      </w:r>
    </w:p>
    <w:p w14:paraId="050EC787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</w:p>
    <w:p w14:paraId="23092FC8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 xml:space="preserve">RASHODI ZA NABAVU NEFINANCIJSKE IMOVINE (Razred 4) </w:t>
      </w:r>
    </w:p>
    <w:p w14:paraId="327AC5CD" w14:textId="647F6ED1" w:rsid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ab/>
        <w:t xml:space="preserve">U okviru ukupnih rashoda, rashodi za nabavu nefinancijske imovine (razred 4) realizirani su u iznosu od </w:t>
      </w:r>
      <w:r w:rsidR="003C6D10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3.082,75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 što predstavlja rast od </w:t>
      </w:r>
      <w:r w:rsidR="0023720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2.792,71 EUR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u odnosu na 202</w:t>
      </w:r>
      <w:r w:rsidR="0023720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3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. godinu kada su isti realizirani u iznosu od </w:t>
      </w:r>
      <w:r w:rsidR="0023720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290,04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EUR</w:t>
      </w:r>
      <w:r w:rsidR="0023720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 za nabavu građevinske dizalice za dizanje cjevina.</w:t>
      </w:r>
    </w:p>
    <w:p w14:paraId="5C2043FA" w14:textId="44594BE8" w:rsidR="0023720F" w:rsidRPr="007C5992" w:rsidRDefault="0023720F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Za </w:t>
      </w:r>
      <w:r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d</w:t>
      </w:r>
      <w:r w:rsidRPr="0023720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odatna ulaganja</w:t>
      </w:r>
      <w:r w:rsidRPr="0023720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</w:t>
      </w:r>
      <w:r w:rsidRPr="0023720F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  <w:t>na prijevoznim sredstvima</w:t>
      </w:r>
      <w:r w:rsidRPr="0023720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( skupinu 45)</w:t>
      </w:r>
      <w:r w:rsidRPr="0023720F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="003216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p</w:t>
      </w:r>
      <w:r w:rsidRPr="0023720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rovedena je i izvršen</w:t>
      </w:r>
      <w:r w:rsidR="0032164B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a</w:t>
      </w:r>
      <w:r w:rsidRPr="0023720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jednostavna nabave svjetlosno-zvučne signalizacije za vatrogasno vozilo i atest.</w:t>
      </w:r>
    </w:p>
    <w:p w14:paraId="7A70777F" w14:textId="2D75E25F" w:rsidR="007C5992" w:rsidRPr="0037673E" w:rsidRDefault="007C5992" w:rsidP="0037673E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hr-HR"/>
          <w14:ligatures w14:val="none"/>
        </w:rPr>
      </w:pPr>
    </w:p>
    <w:p w14:paraId="47A54C8E" w14:textId="77777777" w:rsidR="007C5992" w:rsidRPr="007C5992" w:rsidRDefault="007C5992" w:rsidP="007C599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  <w:r w:rsidRPr="007C5992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2"/>
          <w:szCs w:val="22"/>
          <w14:ligatures w14:val="none"/>
        </w:rPr>
        <w:t xml:space="preserve">Prikaz ostvarenog manjka odnosno viška JVP u izvještajnom razdoblju </w:t>
      </w:r>
    </w:p>
    <w:p w14:paraId="6703AC1D" w14:textId="0A667ED4" w:rsidR="0037673E" w:rsidRDefault="007C5992" w:rsidP="003767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Temeljem članka 43.</w:t>
      </w:r>
      <w:r w:rsidR="00A11648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, stavka 1. podstavka 2.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 Pravilnika o polugodišnjem i godišnjem izvještaju o izvršenju proračuna i financijskog plana („Narodne novine“, br. 85/23) obrazloženje općeg dijela izvještaja o izvršenju financijskog plana proračunskog korisnika sadrži </w:t>
      </w:r>
      <w:r w:rsidR="0037673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ob</w:t>
      </w:r>
      <w:r w:rsidR="0037673E" w:rsidRPr="0037673E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razloženje prenesenog manjka odnosno viška iz prethodne godine i viška odnosno manjka za prijenos u sljedeću godinu/razdoblje.</w:t>
      </w:r>
    </w:p>
    <w:p w14:paraId="0E309A9D" w14:textId="13A8BECC" w:rsidR="0023720F" w:rsidRPr="0023720F" w:rsidRDefault="0023720F" w:rsidP="003767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  <w:r w:rsidRPr="0023720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Višak prihoda  za  prvih 6 mjeseci 2024. godine iznosi</w:t>
      </w:r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o je</w:t>
      </w:r>
      <w:r w:rsidRPr="0023720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 154.120,14 </w:t>
      </w:r>
      <w:r w:rsidR="008D3BBD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EUR</w:t>
      </w:r>
      <w:r w:rsidRPr="0023720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, dok je manjak za 2023. godinu iznosio -9.929,24 </w:t>
      </w:r>
      <w:r w:rsidR="008D3BBD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EUR</w:t>
      </w:r>
      <w:r w:rsidRPr="0023720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. Višak prihoda najvećim dijelom je proizašao zbog rasta cijena usluga vatrogasnog dežurstva i preventivno operativnih poslova, te dospijeću plaćanja računa navedenih usluga.</w:t>
      </w:r>
    </w:p>
    <w:p w14:paraId="79A82CA8" w14:textId="21EADBCD" w:rsidR="0023720F" w:rsidRDefault="0023720F" w:rsidP="0023720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  <w:r w:rsidRPr="0023720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Višak prihoda raspoloživ u slijedećem razdoblju iznosi 144.190,90  </w:t>
      </w:r>
      <w:r w:rsidR="008D3BBD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EUR</w:t>
      </w:r>
      <w:r w:rsidRPr="0023720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.</w:t>
      </w:r>
    </w:p>
    <w:p w14:paraId="7447A484" w14:textId="77777777" w:rsidR="0023720F" w:rsidRPr="0023720F" w:rsidRDefault="0023720F" w:rsidP="00237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</w:p>
    <w:p w14:paraId="415504C7" w14:textId="3FB9AF13" w:rsidR="007C5992" w:rsidRPr="007C5992" w:rsidRDefault="007C5992" w:rsidP="007C59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 xml:space="preserve">Tablica 3. Rezultat Financijskog plana na dan </w:t>
      </w:r>
      <w:r w:rsidR="0023720F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30.06.2024</w:t>
      </w:r>
      <w:r w:rsidRPr="007C5992"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  <w:t>. godine</w:t>
      </w:r>
    </w:p>
    <w:p w14:paraId="75A5248D" w14:textId="77777777" w:rsidR="007C5992" w:rsidRPr="007C5992" w:rsidRDefault="007C5992" w:rsidP="007C599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2"/>
          <w:szCs w:val="22"/>
          <w14:ligatures w14:val="none"/>
        </w:rPr>
      </w:pPr>
    </w:p>
    <w:tbl>
      <w:tblPr>
        <w:tblW w:w="8949" w:type="dxa"/>
        <w:tblInd w:w="113" w:type="dxa"/>
        <w:tblLook w:val="04A0" w:firstRow="1" w:lastRow="0" w:firstColumn="1" w:lastColumn="0" w:noHBand="0" w:noVBand="1"/>
      </w:tblPr>
      <w:tblGrid>
        <w:gridCol w:w="1574"/>
        <w:gridCol w:w="1850"/>
        <w:gridCol w:w="1561"/>
        <w:gridCol w:w="1745"/>
        <w:gridCol w:w="2219"/>
      </w:tblGrid>
      <w:tr w:rsidR="007C5992" w:rsidRPr="007C5992" w14:paraId="0124CBEC" w14:textId="77777777" w:rsidTr="007C5992">
        <w:trPr>
          <w:trHeight w:val="84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  <w:hideMark/>
          </w:tcPr>
          <w:p w14:paraId="5B782264" w14:textId="77777777" w:rsidR="007C5992" w:rsidRPr="007C5992" w:rsidRDefault="007C5992" w:rsidP="007C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r-HR"/>
                <w14:ligatures w14:val="none"/>
              </w:rPr>
            </w:pPr>
            <w:r w:rsidRPr="007C599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Naziv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  <w:hideMark/>
          </w:tcPr>
          <w:p w14:paraId="2ACC4932" w14:textId="71CDF825" w:rsidR="007C5992" w:rsidRPr="007C5992" w:rsidRDefault="007C5992" w:rsidP="007C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r-HR"/>
                <w14:ligatures w14:val="none"/>
              </w:rPr>
            </w:pPr>
            <w:r w:rsidRPr="007C599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Preneseni rezultat iz 202</w:t>
            </w:r>
            <w:r w:rsidR="0023720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  <w:hideMark/>
          </w:tcPr>
          <w:p w14:paraId="7A20C818" w14:textId="1AFF6606" w:rsidR="007C5992" w:rsidRPr="007C5992" w:rsidRDefault="007C5992" w:rsidP="007C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r-HR"/>
                <w14:ligatures w14:val="none"/>
              </w:rPr>
            </w:pPr>
            <w:r w:rsidRPr="007C599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Prihodi </w:t>
            </w:r>
            <w:r w:rsidR="0023720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06</w:t>
            </w:r>
            <w:r w:rsidRPr="007C599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/202</w:t>
            </w:r>
            <w:r w:rsidR="0023720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4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  <w:hideMark/>
          </w:tcPr>
          <w:p w14:paraId="56A9451E" w14:textId="3D9C25D0" w:rsidR="007C5992" w:rsidRPr="007C5992" w:rsidRDefault="007C5992" w:rsidP="007C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r-HR"/>
                <w14:ligatures w14:val="none"/>
              </w:rPr>
            </w:pPr>
            <w:r w:rsidRPr="007C599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Rashodi </w:t>
            </w:r>
            <w:r w:rsidR="0023720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06</w:t>
            </w:r>
            <w:r w:rsidRPr="007C599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/202</w:t>
            </w:r>
            <w:r w:rsidR="0023720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4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  <w:hideMark/>
          </w:tcPr>
          <w:p w14:paraId="36CD683D" w14:textId="494F3CB6" w:rsidR="007C5992" w:rsidRPr="007C5992" w:rsidRDefault="007C5992" w:rsidP="007C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r-HR"/>
                <w14:ligatures w14:val="none"/>
              </w:rPr>
            </w:pPr>
            <w:r w:rsidRPr="007C599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 xml:space="preserve">Ukupni rezultat financijskog plana </w:t>
            </w:r>
            <w:r w:rsidR="0023720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30.06.2024.</w:t>
            </w:r>
          </w:p>
        </w:tc>
      </w:tr>
      <w:tr w:rsidR="007C5992" w:rsidRPr="007C5992" w14:paraId="7E99E9AC" w14:textId="77777777" w:rsidTr="004C5A2C">
        <w:trPr>
          <w:trHeight w:val="31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D574" w14:textId="77777777" w:rsidR="007C5992" w:rsidRPr="007C5992" w:rsidRDefault="007C5992" w:rsidP="007C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r-HR"/>
                <w14:ligatures w14:val="none"/>
              </w:rPr>
            </w:pPr>
            <w:r w:rsidRPr="007C599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JVP Koprivnica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B03D" w14:textId="79C3AD8F" w:rsidR="007C5992" w:rsidRPr="007C5992" w:rsidRDefault="007C5992" w:rsidP="007C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 w:rsidRPr="007C599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-</w:t>
            </w:r>
            <w:r w:rsidR="0023720F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9.929,24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E528" w14:textId="2624183D" w:rsidR="007C5992" w:rsidRPr="007C5992" w:rsidRDefault="0023720F" w:rsidP="007C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1.332.055,69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16EF" w14:textId="3108B4B5" w:rsidR="007C5992" w:rsidRPr="007C5992" w:rsidRDefault="00E54BFE" w:rsidP="007C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1.177.935,55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9BC7" w14:textId="1AACB9D0" w:rsidR="007C5992" w:rsidRPr="007C5992" w:rsidRDefault="0023720F" w:rsidP="007C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hr-HR"/>
                <w14:ligatures w14:val="none"/>
              </w:rPr>
              <w:t>144.190,90</w:t>
            </w:r>
          </w:p>
        </w:tc>
      </w:tr>
    </w:tbl>
    <w:p w14:paraId="71A65727" w14:textId="77777777" w:rsidR="007C5992" w:rsidRPr="007C5992" w:rsidRDefault="007C5992" w:rsidP="007C5992">
      <w:pPr>
        <w:widowControl w:val="0"/>
        <w:tabs>
          <w:tab w:val="left" w:pos="839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r-HR"/>
          <w14:ligatures w14:val="none"/>
        </w:rPr>
      </w:pPr>
    </w:p>
    <w:p w14:paraId="156A741F" w14:textId="4ED225A0" w:rsidR="007C5992" w:rsidRDefault="007C5992" w:rsidP="007C59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  <w:r w:rsidRPr="007C5992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hr-HR"/>
          <w14:ligatures w14:val="none"/>
        </w:rPr>
        <w:t>Stanje na računu 16721 početkom razdoblja</w:t>
      </w:r>
      <w:r w:rsidRPr="007C5992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 </w:t>
      </w:r>
      <w:r w:rsidR="00E54BFE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je</w:t>
      </w:r>
      <w:r w:rsidRPr="007C5992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 iznosilo  20.695,98 EUR</w:t>
      </w:r>
      <w:r w:rsidR="00E54BFE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, a krajem izvještajnog razdoblja  iznosilo je 140.470,27 EUR.</w:t>
      </w:r>
    </w:p>
    <w:p w14:paraId="60918530" w14:textId="77777777" w:rsidR="00234B22" w:rsidRDefault="00234B22" w:rsidP="007C59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</w:p>
    <w:p w14:paraId="6C142C2E" w14:textId="77777777" w:rsidR="00234B22" w:rsidRDefault="00234B22" w:rsidP="007C59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</w:p>
    <w:p w14:paraId="78079499" w14:textId="77777777" w:rsidR="00234B22" w:rsidRDefault="00234B22" w:rsidP="007C59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</w:p>
    <w:p w14:paraId="0E949E15" w14:textId="236426A2" w:rsidR="00234B22" w:rsidRDefault="00234B22" w:rsidP="00234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PREDSJEDNIK VATROGASNOG VIJEĆA:</w:t>
      </w:r>
    </w:p>
    <w:p w14:paraId="0C536227" w14:textId="0BEFBCB0" w:rsidR="00234B22" w:rsidRPr="007C5992" w:rsidRDefault="00234B22" w:rsidP="00234B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 xml:space="preserve">Zdravko Punčikar 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dipl.oec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hr-HR"/>
          <w14:ligatures w14:val="none"/>
        </w:rPr>
        <w:t>.</w:t>
      </w:r>
    </w:p>
    <w:sectPr w:rsidR="00234B22" w:rsidRPr="007C5992" w:rsidSect="007C5992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A66D6" w14:textId="77777777" w:rsidR="00C04C3E" w:rsidRDefault="00C04C3E">
      <w:pPr>
        <w:spacing w:after="0" w:line="240" w:lineRule="auto"/>
      </w:pPr>
      <w:r>
        <w:separator/>
      </w:r>
    </w:p>
  </w:endnote>
  <w:endnote w:type="continuationSeparator" w:id="0">
    <w:p w14:paraId="732066F4" w14:textId="77777777" w:rsidR="00C04C3E" w:rsidRDefault="00C0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CDB50" w14:textId="77777777" w:rsidR="009C5D3A" w:rsidRPr="007C5992" w:rsidRDefault="008A312F" w:rsidP="00497672">
    <w:pPr>
      <w:pStyle w:val="Podnoje"/>
      <w:framePr w:wrap="around" w:vAnchor="text" w:hAnchor="margin" w:xAlign="center" w:y="1"/>
      <w:rPr>
        <w:rStyle w:val="Brojstranice"/>
      </w:rPr>
    </w:pPr>
    <w:r w:rsidRPr="007C5992">
      <w:rPr>
        <w:rStyle w:val="Brojstranice"/>
      </w:rPr>
      <w:fldChar w:fldCharType="begin"/>
    </w:r>
    <w:r w:rsidRPr="007C5992">
      <w:rPr>
        <w:rStyle w:val="Brojstranice"/>
      </w:rPr>
      <w:instrText xml:space="preserve">PAGE  </w:instrText>
    </w:r>
    <w:r w:rsidRPr="007C5992">
      <w:rPr>
        <w:rStyle w:val="Brojstranice"/>
      </w:rPr>
      <w:fldChar w:fldCharType="separate"/>
    </w:r>
    <w:r w:rsidRPr="007C5992">
      <w:rPr>
        <w:rStyle w:val="Brojstranice"/>
        <w:noProof/>
      </w:rPr>
      <w:t>11</w:t>
    </w:r>
    <w:r w:rsidRPr="007C5992">
      <w:rPr>
        <w:rStyle w:val="Brojstranice"/>
      </w:rPr>
      <w:fldChar w:fldCharType="end"/>
    </w:r>
  </w:p>
  <w:p w14:paraId="0066593E" w14:textId="77777777" w:rsidR="009C5D3A" w:rsidRDefault="009C5D3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332B9" w14:textId="77777777" w:rsidR="009C5D3A" w:rsidRPr="00F63717" w:rsidRDefault="008A312F" w:rsidP="00F63717">
    <w:pPr>
      <w:pStyle w:val="Bezproreda"/>
      <w:jc w:val="center"/>
      <w:rPr>
        <w:rStyle w:val="adr"/>
        <w:b/>
        <w:bCs/>
        <w:sz w:val="12"/>
        <w:szCs w:val="12"/>
      </w:rPr>
    </w:pPr>
    <w:r w:rsidRPr="00F63717">
      <w:rPr>
        <w:sz w:val="12"/>
        <w:szCs w:val="12"/>
      </w:rPr>
      <w:t xml:space="preserve">Javna vatrogasna postrojba Grada Koprivnice, Oružanska 1, OIB: 16767340001, </w:t>
    </w:r>
    <w:r w:rsidRPr="00F63717">
      <w:rPr>
        <w:rStyle w:val="adr"/>
        <w:sz w:val="12"/>
        <w:szCs w:val="12"/>
      </w:rPr>
      <w:t>IBAN: HR5523860021820100005,</w:t>
    </w:r>
  </w:p>
  <w:p w14:paraId="7BCDCD3A" w14:textId="028EAA46" w:rsidR="009C5D3A" w:rsidRPr="00F63717" w:rsidRDefault="008A312F" w:rsidP="00F63717">
    <w:pPr>
      <w:pStyle w:val="Bezproreda"/>
      <w:jc w:val="center"/>
      <w:rPr>
        <w:sz w:val="12"/>
        <w:szCs w:val="12"/>
      </w:rPr>
    </w:pPr>
    <w:r w:rsidRPr="00F63717">
      <w:rPr>
        <w:sz w:val="12"/>
        <w:szCs w:val="12"/>
      </w:rPr>
      <w:t>Zapovjednik:048/674-602, e-mail:</w:t>
    </w:r>
    <w:r w:rsidRPr="00F63717">
      <w:rPr>
        <w:rStyle w:val="adr"/>
        <w:sz w:val="12"/>
        <w:szCs w:val="12"/>
      </w:rPr>
      <w:t xml:space="preserve"> </w:t>
    </w:r>
    <w:hyperlink r:id="rId1" w:history="1">
      <w:r w:rsidRPr="00F63717">
        <w:rPr>
          <w:rStyle w:val="Hiperveza1"/>
          <w:bCs/>
          <w:sz w:val="12"/>
          <w:szCs w:val="12"/>
        </w:rPr>
        <w:t>jvp-koprivnica@jvp-koprivnica.hr</w:t>
      </w:r>
    </w:hyperlink>
    <w:r w:rsidRPr="00F63717">
      <w:rPr>
        <w:sz w:val="12"/>
        <w:szCs w:val="12"/>
      </w:rPr>
      <w:t>,</w:t>
    </w:r>
  </w:p>
  <w:p w14:paraId="21472B2D" w14:textId="77777777" w:rsidR="009C5D3A" w:rsidRPr="00F63717" w:rsidRDefault="008A312F" w:rsidP="00F63717">
    <w:pPr>
      <w:pStyle w:val="Bezproreda"/>
      <w:jc w:val="center"/>
      <w:rPr>
        <w:rStyle w:val="adr"/>
        <w:b/>
        <w:bCs/>
        <w:sz w:val="12"/>
        <w:szCs w:val="12"/>
      </w:rPr>
    </w:pPr>
    <w:r w:rsidRPr="00F63717">
      <w:rPr>
        <w:sz w:val="12"/>
        <w:szCs w:val="12"/>
      </w:rPr>
      <w:t>Centrala: 048/674-600,Stručna služba:048/674-604,: 048/674-601, Servis vatrogasnih aparata: 048/674-607,</w:t>
    </w:r>
  </w:p>
  <w:p w14:paraId="42500FA0" w14:textId="77777777" w:rsidR="009C5D3A" w:rsidRPr="00F63717" w:rsidRDefault="008A312F" w:rsidP="00F63717">
    <w:pPr>
      <w:pStyle w:val="Bezproreda"/>
      <w:jc w:val="center"/>
      <w:rPr>
        <w:b/>
        <w:bCs/>
        <w:sz w:val="12"/>
        <w:szCs w:val="12"/>
      </w:rPr>
    </w:pPr>
    <w:r w:rsidRPr="00F63717">
      <w:rPr>
        <w:sz w:val="12"/>
        <w:szCs w:val="12"/>
      </w:rPr>
      <w:t>www.jvp-koprivnica.hr</w:t>
    </w:r>
  </w:p>
  <w:p w14:paraId="14744265" w14:textId="77777777" w:rsidR="009C5D3A" w:rsidRDefault="009C5D3A" w:rsidP="00BC6781">
    <w:pPr>
      <w:pStyle w:val="Podnoje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13B2B" w14:textId="77777777" w:rsidR="00C04C3E" w:rsidRDefault="00C04C3E">
      <w:pPr>
        <w:spacing w:after="0" w:line="240" w:lineRule="auto"/>
      </w:pPr>
      <w:r>
        <w:separator/>
      </w:r>
    </w:p>
  </w:footnote>
  <w:footnote w:type="continuationSeparator" w:id="0">
    <w:p w14:paraId="06778273" w14:textId="77777777" w:rsidR="00C04C3E" w:rsidRDefault="00C04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62F1D"/>
    <w:multiLevelType w:val="multilevel"/>
    <w:tmpl w:val="2C14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D97959"/>
    <w:multiLevelType w:val="hybridMultilevel"/>
    <w:tmpl w:val="8D7682BA"/>
    <w:lvl w:ilvl="0" w:tplc="6056187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49BF"/>
    <w:multiLevelType w:val="hybridMultilevel"/>
    <w:tmpl w:val="B85AED6A"/>
    <w:lvl w:ilvl="0" w:tplc="A470C5DE">
      <w:numFmt w:val="bullet"/>
      <w:lvlText w:val="-"/>
      <w:lvlJc w:val="left"/>
      <w:pPr>
        <w:ind w:left="838" w:hanging="360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 w:tplc="47F63A9A"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7C36CAFC"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A9ACCB42"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404AEB36"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32821E5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C3D2EB80"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542EB9CA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05C47FD0"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3" w15:restartNumberingAfterBreak="0">
    <w:nsid w:val="0C456E63"/>
    <w:multiLevelType w:val="multilevel"/>
    <w:tmpl w:val="216A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CA5498"/>
    <w:multiLevelType w:val="hybridMultilevel"/>
    <w:tmpl w:val="FED4D75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A59E6"/>
    <w:multiLevelType w:val="hybridMultilevel"/>
    <w:tmpl w:val="3998E1BC"/>
    <w:lvl w:ilvl="0" w:tplc="79005D78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DA4C42C"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59D499A8"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65D873AA"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DA7C49D0"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164EEC0E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83C80D12"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CB7606B0"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D84C9672"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6" w15:restartNumberingAfterBreak="0">
    <w:nsid w:val="0ED941AD"/>
    <w:multiLevelType w:val="hybridMultilevel"/>
    <w:tmpl w:val="2E141F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D4BD4"/>
    <w:multiLevelType w:val="multilevel"/>
    <w:tmpl w:val="ACC0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4B79F4"/>
    <w:multiLevelType w:val="hybridMultilevel"/>
    <w:tmpl w:val="B6E60F84"/>
    <w:lvl w:ilvl="0" w:tplc="5BF2D960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52CBC"/>
    <w:multiLevelType w:val="multilevel"/>
    <w:tmpl w:val="E3083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036F86"/>
    <w:multiLevelType w:val="hybridMultilevel"/>
    <w:tmpl w:val="40EADB5A"/>
    <w:lvl w:ilvl="0" w:tplc="9A72A570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b w:val="0"/>
        <w:color w:val="00000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EE6521"/>
    <w:multiLevelType w:val="hybridMultilevel"/>
    <w:tmpl w:val="956A8CF4"/>
    <w:lvl w:ilvl="0" w:tplc="0EB0E8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B3211"/>
    <w:multiLevelType w:val="hybridMultilevel"/>
    <w:tmpl w:val="CE425C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A7C45"/>
    <w:multiLevelType w:val="hybridMultilevel"/>
    <w:tmpl w:val="9364F1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6064D"/>
    <w:multiLevelType w:val="hybridMultilevel"/>
    <w:tmpl w:val="C0CE2548"/>
    <w:lvl w:ilvl="0" w:tplc="9C12CF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E19E7"/>
    <w:multiLevelType w:val="multilevel"/>
    <w:tmpl w:val="ADA8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9A2567"/>
    <w:multiLevelType w:val="hybridMultilevel"/>
    <w:tmpl w:val="223A8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4B7700"/>
    <w:multiLevelType w:val="hybridMultilevel"/>
    <w:tmpl w:val="E93090EA"/>
    <w:lvl w:ilvl="0" w:tplc="30D820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F96E4B"/>
    <w:multiLevelType w:val="multilevel"/>
    <w:tmpl w:val="21EC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A970D4"/>
    <w:multiLevelType w:val="hybridMultilevel"/>
    <w:tmpl w:val="8026AC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B70530"/>
    <w:multiLevelType w:val="hybridMultilevel"/>
    <w:tmpl w:val="F61652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E707D4"/>
    <w:multiLevelType w:val="hybridMultilevel"/>
    <w:tmpl w:val="AF98CD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37914"/>
    <w:multiLevelType w:val="hybridMultilevel"/>
    <w:tmpl w:val="07C801D0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5BF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A2F54A3"/>
    <w:multiLevelType w:val="hybridMultilevel"/>
    <w:tmpl w:val="69C41046"/>
    <w:lvl w:ilvl="0" w:tplc="041A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5" w15:restartNumberingAfterBreak="0">
    <w:nsid w:val="3C8F03F2"/>
    <w:multiLevelType w:val="hybridMultilevel"/>
    <w:tmpl w:val="38126804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E0204C6"/>
    <w:multiLevelType w:val="hybridMultilevel"/>
    <w:tmpl w:val="3EE2BF8A"/>
    <w:lvl w:ilvl="0" w:tplc="AB66E742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32E78D5"/>
    <w:multiLevelType w:val="multilevel"/>
    <w:tmpl w:val="93D60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7E84E0D"/>
    <w:multiLevelType w:val="hybridMultilevel"/>
    <w:tmpl w:val="3A3EBE2C"/>
    <w:lvl w:ilvl="0" w:tplc="394EB7D0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C4AD0"/>
    <w:multiLevelType w:val="hybridMultilevel"/>
    <w:tmpl w:val="DE641C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A08A5"/>
    <w:multiLevelType w:val="hybridMultilevel"/>
    <w:tmpl w:val="EAD0C0E6"/>
    <w:lvl w:ilvl="0" w:tplc="041A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1" w15:restartNumberingAfterBreak="0">
    <w:nsid w:val="54854A9E"/>
    <w:multiLevelType w:val="hybridMultilevel"/>
    <w:tmpl w:val="A4EEDAA8"/>
    <w:lvl w:ilvl="0" w:tplc="041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943F7D"/>
    <w:multiLevelType w:val="hybridMultilevel"/>
    <w:tmpl w:val="73B8C5A0"/>
    <w:lvl w:ilvl="0" w:tplc="7D9A1D18">
      <w:numFmt w:val="bullet"/>
      <w:lvlText w:val="-"/>
      <w:lvlJc w:val="left"/>
      <w:pPr>
        <w:ind w:left="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3" w15:restartNumberingAfterBreak="0">
    <w:nsid w:val="58643AEC"/>
    <w:multiLevelType w:val="hybridMultilevel"/>
    <w:tmpl w:val="DE641C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170D95"/>
    <w:multiLevelType w:val="hybridMultilevel"/>
    <w:tmpl w:val="439C39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C6562"/>
    <w:multiLevelType w:val="hybridMultilevel"/>
    <w:tmpl w:val="455EB03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500BAD"/>
    <w:multiLevelType w:val="hybridMultilevel"/>
    <w:tmpl w:val="CD76A48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2EA74E5"/>
    <w:multiLevelType w:val="multilevel"/>
    <w:tmpl w:val="77B0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0C569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51401A9"/>
    <w:multiLevelType w:val="multilevel"/>
    <w:tmpl w:val="D478B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41645C"/>
    <w:multiLevelType w:val="hybridMultilevel"/>
    <w:tmpl w:val="DB1A01C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2F1CD6"/>
    <w:multiLevelType w:val="multilevel"/>
    <w:tmpl w:val="DEAE5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2E327A"/>
    <w:multiLevelType w:val="hybridMultilevel"/>
    <w:tmpl w:val="9DA41E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0EF6B2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F15166"/>
    <w:multiLevelType w:val="hybridMultilevel"/>
    <w:tmpl w:val="25D23E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EC5C3E"/>
    <w:multiLevelType w:val="multilevel"/>
    <w:tmpl w:val="2892B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67D6B1E"/>
    <w:multiLevelType w:val="hybridMultilevel"/>
    <w:tmpl w:val="0BA4E9C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A171449"/>
    <w:multiLevelType w:val="hybridMultilevel"/>
    <w:tmpl w:val="DAC082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A67E7C"/>
    <w:multiLevelType w:val="hybridMultilevel"/>
    <w:tmpl w:val="61AA45EC"/>
    <w:lvl w:ilvl="0" w:tplc="CC985C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369340">
    <w:abstractNumId w:val="17"/>
  </w:num>
  <w:num w:numId="2" w16cid:durableId="119368581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316261">
    <w:abstractNumId w:val="44"/>
  </w:num>
  <w:num w:numId="4" w16cid:durableId="182942374">
    <w:abstractNumId w:val="27"/>
  </w:num>
  <w:num w:numId="5" w16cid:durableId="169025875">
    <w:abstractNumId w:val="32"/>
  </w:num>
  <w:num w:numId="6" w16cid:durableId="297226766">
    <w:abstractNumId w:val="6"/>
  </w:num>
  <w:num w:numId="7" w16cid:durableId="786047434">
    <w:abstractNumId w:val="19"/>
  </w:num>
  <w:num w:numId="8" w16cid:durableId="583027198">
    <w:abstractNumId w:val="30"/>
  </w:num>
  <w:num w:numId="9" w16cid:durableId="688337357">
    <w:abstractNumId w:val="20"/>
  </w:num>
  <w:num w:numId="10" w16cid:durableId="432626576">
    <w:abstractNumId w:val="24"/>
  </w:num>
  <w:num w:numId="11" w16cid:durableId="928345235">
    <w:abstractNumId w:val="2"/>
  </w:num>
  <w:num w:numId="12" w16cid:durableId="126704292">
    <w:abstractNumId w:val="42"/>
  </w:num>
  <w:num w:numId="13" w16cid:durableId="776606080">
    <w:abstractNumId w:val="4"/>
  </w:num>
  <w:num w:numId="14" w16cid:durableId="652486021">
    <w:abstractNumId w:val="26"/>
  </w:num>
  <w:num w:numId="15" w16cid:durableId="1784378034">
    <w:abstractNumId w:val="43"/>
  </w:num>
  <w:num w:numId="16" w16cid:durableId="464736657">
    <w:abstractNumId w:val="5"/>
  </w:num>
  <w:num w:numId="17" w16cid:durableId="308633967">
    <w:abstractNumId w:val="29"/>
  </w:num>
  <w:num w:numId="18" w16cid:durableId="878007564">
    <w:abstractNumId w:val="33"/>
  </w:num>
  <w:num w:numId="19" w16cid:durableId="649289025">
    <w:abstractNumId w:val="47"/>
  </w:num>
  <w:num w:numId="20" w16cid:durableId="997418979">
    <w:abstractNumId w:val="14"/>
  </w:num>
  <w:num w:numId="21" w16cid:durableId="1375621306">
    <w:abstractNumId w:val="21"/>
  </w:num>
  <w:num w:numId="22" w16cid:durableId="352071479">
    <w:abstractNumId w:val="34"/>
  </w:num>
  <w:num w:numId="23" w16cid:durableId="1674145250">
    <w:abstractNumId w:val="12"/>
  </w:num>
  <w:num w:numId="24" w16cid:durableId="1594783179">
    <w:abstractNumId w:val="35"/>
  </w:num>
  <w:num w:numId="25" w16cid:durableId="1060398871">
    <w:abstractNumId w:val="22"/>
  </w:num>
  <w:num w:numId="26" w16cid:durableId="1430353301">
    <w:abstractNumId w:val="13"/>
  </w:num>
  <w:num w:numId="27" w16cid:durableId="607464902">
    <w:abstractNumId w:val="11"/>
  </w:num>
  <w:num w:numId="28" w16cid:durableId="2109228385">
    <w:abstractNumId w:val="40"/>
  </w:num>
  <w:num w:numId="29" w16cid:durableId="8051213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2874450">
    <w:abstractNumId w:val="25"/>
  </w:num>
  <w:num w:numId="31" w16cid:durableId="1868177757">
    <w:abstractNumId w:val="36"/>
  </w:num>
  <w:num w:numId="32" w16cid:durableId="318074646">
    <w:abstractNumId w:val="45"/>
  </w:num>
  <w:num w:numId="33" w16cid:durableId="192303100">
    <w:abstractNumId w:val="10"/>
  </w:num>
  <w:num w:numId="34" w16cid:durableId="863984910">
    <w:abstractNumId w:val="1"/>
  </w:num>
  <w:num w:numId="35" w16cid:durableId="1374574708">
    <w:abstractNumId w:val="28"/>
  </w:num>
  <w:num w:numId="36" w16cid:durableId="2005694749">
    <w:abstractNumId w:val="8"/>
  </w:num>
  <w:num w:numId="37" w16cid:durableId="29035040">
    <w:abstractNumId w:val="37"/>
  </w:num>
  <w:num w:numId="38" w16cid:durableId="2084332187">
    <w:abstractNumId w:val="41"/>
  </w:num>
  <w:num w:numId="39" w16cid:durableId="1967273115">
    <w:abstractNumId w:val="7"/>
  </w:num>
  <w:num w:numId="40" w16cid:durableId="1856770820">
    <w:abstractNumId w:val="18"/>
  </w:num>
  <w:num w:numId="41" w16cid:durableId="1884752740">
    <w:abstractNumId w:val="15"/>
  </w:num>
  <w:num w:numId="42" w16cid:durableId="1932083629">
    <w:abstractNumId w:val="9"/>
  </w:num>
  <w:num w:numId="43" w16cid:durableId="408967482">
    <w:abstractNumId w:val="0"/>
  </w:num>
  <w:num w:numId="44" w16cid:durableId="1503088779">
    <w:abstractNumId w:val="3"/>
  </w:num>
  <w:num w:numId="45" w16cid:durableId="2099136845">
    <w:abstractNumId w:val="39"/>
  </w:num>
  <w:num w:numId="46" w16cid:durableId="1787043846">
    <w:abstractNumId w:val="23"/>
  </w:num>
  <w:num w:numId="47" w16cid:durableId="1321469254">
    <w:abstractNumId w:val="38"/>
  </w:num>
  <w:num w:numId="48" w16cid:durableId="2079863828">
    <w:abstractNumId w:val="16"/>
  </w:num>
  <w:num w:numId="49" w16cid:durableId="889614362">
    <w:abstractNumId w:val="46"/>
  </w:num>
  <w:num w:numId="50" w16cid:durableId="184748071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992"/>
    <w:rsid w:val="00001D37"/>
    <w:rsid w:val="000B2CBE"/>
    <w:rsid w:val="001174C7"/>
    <w:rsid w:val="00174DD7"/>
    <w:rsid w:val="00180C5A"/>
    <w:rsid w:val="00234B22"/>
    <w:rsid w:val="0023720F"/>
    <w:rsid w:val="002C4CBE"/>
    <w:rsid w:val="0032164B"/>
    <w:rsid w:val="0037673E"/>
    <w:rsid w:val="003A22EE"/>
    <w:rsid w:val="003C4965"/>
    <w:rsid w:val="003C6D10"/>
    <w:rsid w:val="00451A5E"/>
    <w:rsid w:val="004532B2"/>
    <w:rsid w:val="004E0319"/>
    <w:rsid w:val="00527749"/>
    <w:rsid w:val="00642990"/>
    <w:rsid w:val="00725C44"/>
    <w:rsid w:val="007C167E"/>
    <w:rsid w:val="007C5992"/>
    <w:rsid w:val="00856444"/>
    <w:rsid w:val="008A312F"/>
    <w:rsid w:val="008D3BBD"/>
    <w:rsid w:val="009446B1"/>
    <w:rsid w:val="00992959"/>
    <w:rsid w:val="009B1460"/>
    <w:rsid w:val="009C2E79"/>
    <w:rsid w:val="009C5D3A"/>
    <w:rsid w:val="009F6F6B"/>
    <w:rsid w:val="00A11648"/>
    <w:rsid w:val="00A8144B"/>
    <w:rsid w:val="00A92968"/>
    <w:rsid w:val="00B42CD6"/>
    <w:rsid w:val="00BA223A"/>
    <w:rsid w:val="00BA530C"/>
    <w:rsid w:val="00C04C3E"/>
    <w:rsid w:val="00C41DA7"/>
    <w:rsid w:val="00CB7EAF"/>
    <w:rsid w:val="00DC449E"/>
    <w:rsid w:val="00E31BA1"/>
    <w:rsid w:val="00E54BFE"/>
    <w:rsid w:val="00E773E7"/>
    <w:rsid w:val="00E91CA0"/>
    <w:rsid w:val="00EB60B8"/>
    <w:rsid w:val="00EF2F68"/>
    <w:rsid w:val="00F63717"/>
    <w:rsid w:val="00F8527B"/>
    <w:rsid w:val="00FA5AA2"/>
    <w:rsid w:val="00FC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BD5FA"/>
  <w15:chartTrackingRefBased/>
  <w15:docId w15:val="{CB10A952-AFAC-4153-BB51-3087EAE7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7C59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C59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7C59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C59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C59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nhideWhenUsed/>
    <w:qFormat/>
    <w:rsid w:val="007C59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C59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C59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C59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C59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C59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7C59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C599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C5992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rsid w:val="007C599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C599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C599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C599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C59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C5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C59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C5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C59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C599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1"/>
    <w:qFormat/>
    <w:rsid w:val="007C599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C5992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C59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C5992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C5992"/>
    <w:rPr>
      <w:b/>
      <w:bCs/>
      <w:smallCaps/>
      <w:color w:val="0F4761" w:themeColor="accent1" w:themeShade="BF"/>
      <w:spacing w:val="5"/>
    </w:rPr>
  </w:style>
  <w:style w:type="numbering" w:customStyle="1" w:styleId="Bezpopisa1">
    <w:name w:val="Bez popisa1"/>
    <w:next w:val="Bezpopisa"/>
    <w:uiPriority w:val="99"/>
    <w:semiHidden/>
    <w:unhideWhenUsed/>
    <w:rsid w:val="007C5992"/>
  </w:style>
  <w:style w:type="paragraph" w:styleId="Podnoje">
    <w:name w:val="footer"/>
    <w:basedOn w:val="Normal"/>
    <w:link w:val="PodnojeChar"/>
    <w:rsid w:val="007C59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customStyle="1" w:styleId="PodnojeChar">
    <w:name w:val="Podnožje Char"/>
    <w:basedOn w:val="Zadanifontodlomka"/>
    <w:link w:val="Podnoje"/>
    <w:rsid w:val="007C5992"/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styleId="Brojstranice">
    <w:name w:val="page number"/>
    <w:basedOn w:val="Zadanifontodlomka"/>
    <w:rsid w:val="007C5992"/>
  </w:style>
  <w:style w:type="character" w:customStyle="1" w:styleId="Hiperveza1">
    <w:name w:val="Hiperveza1"/>
    <w:basedOn w:val="Zadanifontodlomka"/>
    <w:uiPriority w:val="99"/>
    <w:unhideWhenUsed/>
    <w:rsid w:val="007C5992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C59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7C5992"/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ListParagraph1">
    <w:name w:val="List Paragraph1"/>
    <w:basedOn w:val="Normal"/>
    <w:qFormat/>
    <w:rsid w:val="007C5992"/>
    <w:pPr>
      <w:spacing w:after="200" w:line="276" w:lineRule="auto"/>
      <w:ind w:left="720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dr">
    <w:name w:val="adr"/>
    <w:basedOn w:val="Zadanifontodlomka"/>
    <w:rsid w:val="007C5992"/>
  </w:style>
  <w:style w:type="paragraph" w:styleId="Tekstbalonia">
    <w:name w:val="Balloon Text"/>
    <w:basedOn w:val="Normal"/>
    <w:link w:val="TekstbaloniaChar"/>
    <w:uiPriority w:val="99"/>
    <w:semiHidden/>
    <w:unhideWhenUsed/>
    <w:rsid w:val="007C5992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hr-HR"/>
      <w14:ligatures w14:val="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5992"/>
    <w:rPr>
      <w:rFonts w:ascii="Tahoma" w:eastAsia="Times New Roman" w:hAnsi="Tahoma" w:cs="Tahoma"/>
      <w:kern w:val="0"/>
      <w:sz w:val="16"/>
      <w:szCs w:val="16"/>
      <w:lang w:eastAsia="hr-HR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C5992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C599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jeloteksta">
    <w:name w:val="Body Text"/>
    <w:basedOn w:val="Normal"/>
    <w:link w:val="TijelotekstaChar"/>
    <w:uiPriority w:val="1"/>
    <w:qFormat/>
    <w:rsid w:val="007C599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16"/>
      <w:szCs w:val="16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7C5992"/>
    <w:rPr>
      <w:rFonts w:ascii="Arial" w:eastAsia="Arial" w:hAnsi="Arial" w:cs="Arial"/>
      <w:kern w:val="0"/>
      <w:sz w:val="16"/>
      <w:szCs w:val="16"/>
      <w14:ligatures w14:val="none"/>
    </w:rPr>
  </w:style>
  <w:style w:type="paragraph" w:styleId="Bezproreda">
    <w:name w:val="No Spacing"/>
    <w:uiPriority w:val="1"/>
    <w:qFormat/>
    <w:rsid w:val="007C5992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table" w:styleId="Reetkatablice">
    <w:name w:val="Table Grid"/>
    <w:basedOn w:val="Obinatablica"/>
    <w:uiPriority w:val="59"/>
    <w:rsid w:val="007C599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C5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Revizija">
    <w:name w:val="Revision"/>
    <w:hidden/>
    <w:uiPriority w:val="99"/>
    <w:semiHidden/>
    <w:rsid w:val="007C5992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styleId="Nerijeenospominjanje">
    <w:name w:val="Unresolved Mention"/>
    <w:basedOn w:val="Zadanifontodlomka"/>
    <w:uiPriority w:val="99"/>
    <w:semiHidden/>
    <w:unhideWhenUsed/>
    <w:rsid w:val="007C5992"/>
    <w:rPr>
      <w:color w:val="605E5C"/>
      <w:shd w:val="clear" w:color="auto" w:fill="E1DFDD"/>
    </w:rPr>
  </w:style>
  <w:style w:type="character" w:customStyle="1" w:styleId="UvuenotijelotekstaChar">
    <w:name w:val="Uvučeno tijelo teksta Char"/>
    <w:link w:val="Uvuenotijeloteksta"/>
    <w:locked/>
    <w:rsid w:val="007C5992"/>
    <w:rPr>
      <w:sz w:val="24"/>
      <w:szCs w:val="24"/>
    </w:rPr>
  </w:style>
  <w:style w:type="paragraph" w:customStyle="1" w:styleId="Char1">
    <w:name w:val="Char1"/>
    <w:basedOn w:val="Normal"/>
    <w:next w:val="Uvuenotijeloteksta"/>
    <w:unhideWhenUsed/>
    <w:rsid w:val="007C5992"/>
    <w:pPr>
      <w:spacing w:after="120" w:line="240" w:lineRule="auto"/>
      <w:ind w:left="283"/>
    </w:pPr>
    <w:rPr>
      <w:kern w:val="0"/>
      <w14:ligatures w14:val="none"/>
    </w:rPr>
  </w:style>
  <w:style w:type="character" w:customStyle="1" w:styleId="UvuenotijelotekstaChar1">
    <w:name w:val="Uvučeno tijelo teksta Char1"/>
    <w:basedOn w:val="Zadanifontodlomka"/>
    <w:uiPriority w:val="99"/>
    <w:semiHidden/>
    <w:rsid w:val="007C599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C599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C59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C5992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C599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C5992"/>
    <w:rPr>
      <w:rFonts w:ascii="Times New Roman" w:eastAsia="Times New Roman" w:hAnsi="Times New Roman" w:cs="Times New Roman"/>
      <w:b/>
      <w:bCs/>
      <w:kern w:val="0"/>
      <w:sz w:val="20"/>
      <w:szCs w:val="20"/>
      <w:lang w:eastAsia="hr-HR"/>
      <w14:ligatures w14:val="none"/>
    </w:rPr>
  </w:style>
  <w:style w:type="character" w:styleId="Hiperveza">
    <w:name w:val="Hyperlink"/>
    <w:basedOn w:val="Zadanifontodlomka"/>
    <w:uiPriority w:val="99"/>
    <w:semiHidden/>
    <w:unhideWhenUsed/>
    <w:rsid w:val="007C5992"/>
    <w:rPr>
      <w:color w:val="467886" w:themeColor="hyperlink"/>
      <w:u w:val="single"/>
    </w:rPr>
  </w:style>
  <w:style w:type="paragraph" w:styleId="Uvuenotijeloteksta">
    <w:name w:val="Body Text Indent"/>
    <w:basedOn w:val="Normal"/>
    <w:link w:val="UvuenotijelotekstaChar"/>
    <w:semiHidden/>
    <w:unhideWhenUsed/>
    <w:rsid w:val="007C5992"/>
    <w:pPr>
      <w:spacing w:after="120"/>
      <w:ind w:left="283"/>
    </w:pPr>
  </w:style>
  <w:style w:type="character" w:customStyle="1" w:styleId="UvuenotijelotekstaChar2">
    <w:name w:val="Uvučeno tijelo teksta Char2"/>
    <w:basedOn w:val="Zadanifontodlomka"/>
    <w:uiPriority w:val="99"/>
    <w:semiHidden/>
    <w:rsid w:val="007C5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5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vp-koprivnica@jvp-koprivnic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2652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Brković Koren</dc:creator>
  <cp:keywords/>
  <dc:description/>
  <cp:lastModifiedBy>Ines Horvatić Jambor</cp:lastModifiedBy>
  <cp:revision>2</cp:revision>
  <cp:lastPrinted>2024-07-25T07:06:00Z</cp:lastPrinted>
  <dcterms:created xsi:type="dcterms:W3CDTF">2024-08-19T10:25:00Z</dcterms:created>
  <dcterms:modified xsi:type="dcterms:W3CDTF">2024-08-19T10:25:00Z</dcterms:modified>
</cp:coreProperties>
</file>