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3DA93" w14:textId="77777777" w:rsidR="002F7564" w:rsidRDefault="00000000">
      <w:pPr>
        <w:jc w:val="center"/>
        <w:rPr>
          <w:rFonts w:ascii="Source Sans Pro" w:eastAsia="Source Sans Pro" w:hAnsi="Source Sans Pro" w:cs="Source Sans Pro"/>
          <w:sz w:val="40"/>
          <w:szCs w:val="40"/>
        </w:rPr>
      </w:pPr>
      <w:r>
        <w:rPr>
          <w:rFonts w:ascii="Source Sans Pro" w:eastAsia="Source Sans Pro" w:hAnsi="Source Sans Pro" w:cs="Source Sans Pro"/>
          <w:noProof/>
          <w:sz w:val="40"/>
          <w:szCs w:val="40"/>
        </w:rPr>
        <w:drawing>
          <wp:anchor distT="114300" distB="114300" distL="114300" distR="114300" simplePos="0" relativeHeight="251658240" behindDoc="0" locked="0" layoutInCell="1" hidden="0" allowOverlap="1" wp14:anchorId="134E5601" wp14:editId="3F4629BF">
            <wp:simplePos x="0" y="0"/>
            <wp:positionH relativeFrom="page">
              <wp:posOffset>12700</wp:posOffset>
            </wp:positionH>
            <wp:positionV relativeFrom="page">
              <wp:posOffset>-2908</wp:posOffset>
            </wp:positionV>
            <wp:extent cx="7581900" cy="10710030"/>
            <wp:effectExtent l="0" t="0" r="0" b="0"/>
            <wp:wrapNone/>
            <wp:docPr id="1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7"/>
                    <a:srcRect/>
                    <a:stretch>
                      <a:fillRect/>
                    </a:stretch>
                  </pic:blipFill>
                  <pic:spPr>
                    <a:xfrm>
                      <a:off x="0" y="0"/>
                      <a:ext cx="7581900" cy="10710030"/>
                    </a:xfrm>
                    <a:prstGeom prst="rect">
                      <a:avLst/>
                    </a:prstGeom>
                    <a:ln/>
                  </pic:spPr>
                </pic:pic>
              </a:graphicData>
            </a:graphic>
          </wp:anchor>
        </w:drawing>
      </w:r>
    </w:p>
    <w:p w14:paraId="0F750DFE" w14:textId="77777777" w:rsidR="002F7564" w:rsidRDefault="002F7564">
      <w:pPr>
        <w:jc w:val="center"/>
        <w:rPr>
          <w:rFonts w:ascii="Source Sans Pro" w:eastAsia="Source Sans Pro" w:hAnsi="Source Sans Pro" w:cs="Source Sans Pro"/>
          <w:sz w:val="40"/>
          <w:szCs w:val="40"/>
        </w:rPr>
      </w:pPr>
    </w:p>
    <w:p w14:paraId="18A6703D" w14:textId="77777777" w:rsidR="002F7564" w:rsidRDefault="002F7564">
      <w:pPr>
        <w:jc w:val="center"/>
        <w:rPr>
          <w:rFonts w:ascii="Source Sans Pro" w:eastAsia="Source Sans Pro" w:hAnsi="Source Sans Pro" w:cs="Source Sans Pro"/>
          <w:sz w:val="40"/>
          <w:szCs w:val="40"/>
        </w:rPr>
      </w:pPr>
    </w:p>
    <w:p w14:paraId="442C9905" w14:textId="77777777" w:rsidR="002F7564" w:rsidRDefault="002F7564">
      <w:pPr>
        <w:jc w:val="center"/>
        <w:rPr>
          <w:rFonts w:ascii="Source Sans Pro" w:eastAsia="Source Sans Pro" w:hAnsi="Source Sans Pro" w:cs="Source Sans Pro"/>
          <w:sz w:val="40"/>
          <w:szCs w:val="40"/>
        </w:rPr>
      </w:pPr>
    </w:p>
    <w:p w14:paraId="7DF72BE1" w14:textId="77777777" w:rsidR="002F7564" w:rsidRDefault="002F7564">
      <w:pPr>
        <w:jc w:val="center"/>
        <w:rPr>
          <w:rFonts w:ascii="Source Sans Pro" w:eastAsia="Source Sans Pro" w:hAnsi="Source Sans Pro" w:cs="Source Sans Pro"/>
          <w:sz w:val="40"/>
          <w:szCs w:val="40"/>
        </w:rPr>
      </w:pPr>
    </w:p>
    <w:p w14:paraId="0E5B597E" w14:textId="77777777" w:rsidR="002F7564" w:rsidRDefault="002F7564">
      <w:pPr>
        <w:jc w:val="center"/>
        <w:rPr>
          <w:rFonts w:ascii="Source Sans Pro" w:eastAsia="Source Sans Pro" w:hAnsi="Source Sans Pro" w:cs="Source Sans Pro"/>
          <w:sz w:val="40"/>
          <w:szCs w:val="40"/>
        </w:rPr>
      </w:pPr>
    </w:p>
    <w:p w14:paraId="6184E8E6" w14:textId="77777777" w:rsidR="002F7564" w:rsidRDefault="00000000">
      <w:pPr>
        <w:jc w:val="center"/>
        <w:rPr>
          <w:rFonts w:ascii="Source Sans Pro" w:eastAsia="Source Sans Pro" w:hAnsi="Source Sans Pro" w:cs="Source Sans Pro"/>
          <w:b/>
          <w:sz w:val="40"/>
          <w:szCs w:val="40"/>
        </w:rPr>
      </w:pPr>
      <w:r>
        <w:rPr>
          <w:rFonts w:ascii="Source Sans Pro" w:eastAsia="Source Sans Pro" w:hAnsi="Source Sans Pro" w:cs="Source Sans Pro"/>
          <w:b/>
          <w:sz w:val="40"/>
          <w:szCs w:val="40"/>
        </w:rPr>
        <w:t>Strategija razvoja Urbanog područja Koprivnica</w:t>
      </w:r>
    </w:p>
    <w:p w14:paraId="42E7AD40" w14:textId="77777777" w:rsidR="002F7564" w:rsidRDefault="00000000">
      <w:pPr>
        <w:jc w:val="center"/>
        <w:rPr>
          <w:rFonts w:ascii="Source Sans Pro" w:eastAsia="Source Sans Pro" w:hAnsi="Source Sans Pro" w:cs="Source Sans Pro"/>
          <w:b/>
          <w:sz w:val="40"/>
          <w:szCs w:val="40"/>
        </w:rPr>
      </w:pPr>
      <w:r>
        <w:rPr>
          <w:rFonts w:ascii="Source Sans Pro" w:eastAsia="Source Sans Pro" w:hAnsi="Source Sans Pro" w:cs="Source Sans Pro"/>
          <w:b/>
          <w:sz w:val="40"/>
          <w:szCs w:val="40"/>
        </w:rPr>
        <w:t>2021. - 2027.</w:t>
      </w:r>
    </w:p>
    <w:p w14:paraId="4CEE4717" w14:textId="77777777" w:rsidR="002F7564" w:rsidRDefault="002F7564">
      <w:pPr>
        <w:jc w:val="center"/>
        <w:rPr>
          <w:rFonts w:ascii="Source Sans Pro" w:eastAsia="Source Sans Pro" w:hAnsi="Source Sans Pro" w:cs="Source Sans Pro"/>
          <w:sz w:val="40"/>
          <w:szCs w:val="40"/>
        </w:rPr>
      </w:pPr>
    </w:p>
    <w:p w14:paraId="6C2A2B33" w14:textId="77777777" w:rsidR="002F7564" w:rsidRDefault="00000000">
      <w:pPr>
        <w:jc w:val="center"/>
        <w:rPr>
          <w:rFonts w:ascii="Source Sans Pro" w:eastAsia="Source Sans Pro" w:hAnsi="Source Sans Pro" w:cs="Source Sans Pro"/>
          <w:i/>
          <w:sz w:val="28"/>
          <w:szCs w:val="28"/>
        </w:rPr>
      </w:pPr>
      <w:r>
        <w:rPr>
          <w:rFonts w:ascii="Source Sans Pro" w:eastAsia="Source Sans Pro" w:hAnsi="Source Sans Pro" w:cs="Source Sans Pro"/>
          <w:i/>
          <w:sz w:val="28"/>
          <w:szCs w:val="28"/>
        </w:rPr>
        <w:t>Nacrt</w:t>
      </w:r>
    </w:p>
    <w:p w14:paraId="28C8284F" w14:textId="77777777" w:rsidR="002F7564" w:rsidRDefault="002F7564">
      <w:pPr>
        <w:jc w:val="center"/>
        <w:rPr>
          <w:rFonts w:ascii="Source Sans Pro" w:eastAsia="Source Sans Pro" w:hAnsi="Source Sans Pro" w:cs="Source Sans Pro"/>
          <w:i/>
          <w:sz w:val="28"/>
          <w:szCs w:val="28"/>
        </w:rPr>
      </w:pPr>
    </w:p>
    <w:p w14:paraId="21BF1E04" w14:textId="77777777" w:rsidR="002F7564" w:rsidRDefault="002F7564">
      <w:pPr>
        <w:jc w:val="center"/>
        <w:rPr>
          <w:rFonts w:ascii="Source Sans Pro" w:eastAsia="Source Sans Pro" w:hAnsi="Source Sans Pro" w:cs="Source Sans Pro"/>
          <w:i/>
          <w:sz w:val="28"/>
          <w:szCs w:val="28"/>
        </w:rPr>
      </w:pPr>
    </w:p>
    <w:p w14:paraId="3BEF4596" w14:textId="77777777" w:rsidR="002F7564" w:rsidRDefault="002F7564">
      <w:pPr>
        <w:jc w:val="center"/>
        <w:rPr>
          <w:rFonts w:ascii="Source Sans Pro" w:eastAsia="Source Sans Pro" w:hAnsi="Source Sans Pro" w:cs="Source Sans Pro"/>
          <w:i/>
          <w:sz w:val="28"/>
          <w:szCs w:val="28"/>
        </w:rPr>
      </w:pPr>
    </w:p>
    <w:p w14:paraId="654D65EE" w14:textId="77777777" w:rsidR="002F7564" w:rsidRDefault="002F7564">
      <w:pPr>
        <w:jc w:val="center"/>
        <w:rPr>
          <w:rFonts w:ascii="Source Sans Pro" w:eastAsia="Source Sans Pro" w:hAnsi="Source Sans Pro" w:cs="Source Sans Pro"/>
          <w:i/>
          <w:sz w:val="28"/>
          <w:szCs w:val="28"/>
        </w:rPr>
      </w:pPr>
    </w:p>
    <w:p w14:paraId="654C3E84" w14:textId="77777777" w:rsidR="002F7564" w:rsidRDefault="002F7564">
      <w:pPr>
        <w:jc w:val="center"/>
        <w:rPr>
          <w:rFonts w:ascii="Source Sans Pro" w:eastAsia="Source Sans Pro" w:hAnsi="Source Sans Pro" w:cs="Source Sans Pro"/>
          <w:i/>
          <w:sz w:val="28"/>
          <w:szCs w:val="28"/>
        </w:rPr>
      </w:pPr>
    </w:p>
    <w:p w14:paraId="39072CBD" w14:textId="77777777" w:rsidR="002F7564" w:rsidRDefault="002F7564">
      <w:pPr>
        <w:jc w:val="center"/>
        <w:rPr>
          <w:rFonts w:ascii="Source Sans Pro" w:eastAsia="Source Sans Pro" w:hAnsi="Source Sans Pro" w:cs="Source Sans Pro"/>
          <w:i/>
          <w:sz w:val="28"/>
          <w:szCs w:val="28"/>
        </w:rPr>
      </w:pPr>
    </w:p>
    <w:p w14:paraId="634C1FE1" w14:textId="77777777" w:rsidR="002F7564" w:rsidRDefault="002F7564">
      <w:pPr>
        <w:jc w:val="center"/>
        <w:rPr>
          <w:rFonts w:ascii="Source Sans Pro" w:eastAsia="Source Sans Pro" w:hAnsi="Source Sans Pro" w:cs="Source Sans Pro"/>
          <w:i/>
          <w:sz w:val="28"/>
          <w:szCs w:val="28"/>
        </w:rPr>
      </w:pPr>
    </w:p>
    <w:p w14:paraId="7A6FF70B" w14:textId="77777777" w:rsidR="002F7564" w:rsidRDefault="002F7564">
      <w:pPr>
        <w:jc w:val="center"/>
        <w:rPr>
          <w:rFonts w:ascii="Source Sans Pro" w:eastAsia="Source Sans Pro" w:hAnsi="Source Sans Pro" w:cs="Source Sans Pro"/>
          <w:i/>
          <w:sz w:val="28"/>
          <w:szCs w:val="28"/>
        </w:rPr>
      </w:pPr>
    </w:p>
    <w:p w14:paraId="346547F3" w14:textId="77777777" w:rsidR="002F7564" w:rsidRDefault="002F7564">
      <w:pPr>
        <w:jc w:val="center"/>
        <w:rPr>
          <w:rFonts w:ascii="Source Sans Pro" w:eastAsia="Source Sans Pro" w:hAnsi="Source Sans Pro" w:cs="Source Sans Pro"/>
          <w:i/>
          <w:sz w:val="28"/>
          <w:szCs w:val="28"/>
        </w:rPr>
      </w:pPr>
    </w:p>
    <w:p w14:paraId="2C85FEEF" w14:textId="77777777" w:rsidR="002F7564" w:rsidRDefault="002F7564">
      <w:pPr>
        <w:jc w:val="center"/>
        <w:rPr>
          <w:rFonts w:ascii="Source Sans Pro" w:eastAsia="Source Sans Pro" w:hAnsi="Source Sans Pro" w:cs="Source Sans Pro"/>
          <w:i/>
          <w:sz w:val="28"/>
          <w:szCs w:val="28"/>
        </w:rPr>
      </w:pPr>
    </w:p>
    <w:p w14:paraId="2B91DF82" w14:textId="77777777" w:rsidR="002F7564" w:rsidRDefault="002F7564">
      <w:pPr>
        <w:jc w:val="center"/>
        <w:rPr>
          <w:rFonts w:ascii="Source Sans Pro" w:eastAsia="Source Sans Pro" w:hAnsi="Source Sans Pro" w:cs="Source Sans Pro"/>
          <w:i/>
          <w:sz w:val="28"/>
          <w:szCs w:val="28"/>
        </w:rPr>
      </w:pPr>
    </w:p>
    <w:p w14:paraId="1638390C" w14:textId="77777777" w:rsidR="002F7564" w:rsidRDefault="002F7564">
      <w:pPr>
        <w:jc w:val="center"/>
        <w:rPr>
          <w:rFonts w:ascii="Source Sans Pro" w:eastAsia="Source Sans Pro" w:hAnsi="Source Sans Pro" w:cs="Source Sans Pro"/>
          <w:i/>
          <w:sz w:val="28"/>
          <w:szCs w:val="28"/>
        </w:rPr>
      </w:pPr>
    </w:p>
    <w:p w14:paraId="05F14B64" w14:textId="77777777" w:rsidR="002F7564" w:rsidRDefault="002F7564">
      <w:pPr>
        <w:jc w:val="center"/>
        <w:rPr>
          <w:rFonts w:ascii="Source Sans Pro" w:eastAsia="Source Sans Pro" w:hAnsi="Source Sans Pro" w:cs="Source Sans Pro"/>
          <w:i/>
          <w:sz w:val="28"/>
          <w:szCs w:val="28"/>
        </w:rPr>
      </w:pPr>
    </w:p>
    <w:p w14:paraId="14E6007D" w14:textId="77777777" w:rsidR="002F7564" w:rsidRDefault="002F7564">
      <w:pPr>
        <w:jc w:val="center"/>
        <w:rPr>
          <w:rFonts w:ascii="Source Sans Pro" w:eastAsia="Source Sans Pro" w:hAnsi="Source Sans Pro" w:cs="Source Sans Pro"/>
          <w:i/>
          <w:sz w:val="28"/>
          <w:szCs w:val="28"/>
        </w:rPr>
      </w:pPr>
    </w:p>
    <w:p w14:paraId="56AD87FC" w14:textId="77777777" w:rsidR="002F7564" w:rsidRDefault="002F7564">
      <w:pPr>
        <w:jc w:val="center"/>
        <w:rPr>
          <w:rFonts w:ascii="Source Sans Pro" w:eastAsia="Source Sans Pro" w:hAnsi="Source Sans Pro" w:cs="Source Sans Pro"/>
          <w:i/>
          <w:sz w:val="28"/>
          <w:szCs w:val="28"/>
        </w:rPr>
      </w:pPr>
    </w:p>
    <w:p w14:paraId="5A46C0D0" w14:textId="77777777" w:rsidR="002F7564" w:rsidRDefault="002F7564">
      <w:pPr>
        <w:jc w:val="center"/>
        <w:rPr>
          <w:rFonts w:ascii="Source Sans Pro" w:eastAsia="Source Sans Pro" w:hAnsi="Source Sans Pro" w:cs="Source Sans Pro"/>
          <w:i/>
          <w:sz w:val="28"/>
          <w:szCs w:val="28"/>
        </w:rPr>
      </w:pPr>
    </w:p>
    <w:p w14:paraId="675FC579" w14:textId="77777777" w:rsidR="002F7564" w:rsidRDefault="002F7564">
      <w:pPr>
        <w:jc w:val="center"/>
        <w:rPr>
          <w:rFonts w:ascii="Source Sans Pro" w:eastAsia="Source Sans Pro" w:hAnsi="Source Sans Pro" w:cs="Source Sans Pro"/>
          <w:i/>
          <w:sz w:val="28"/>
          <w:szCs w:val="28"/>
        </w:rPr>
      </w:pPr>
    </w:p>
    <w:p w14:paraId="6027B1F5" w14:textId="77777777" w:rsidR="002F7564" w:rsidRDefault="002F7564">
      <w:pPr>
        <w:jc w:val="center"/>
        <w:rPr>
          <w:rFonts w:ascii="Source Sans Pro" w:eastAsia="Source Sans Pro" w:hAnsi="Source Sans Pro" w:cs="Source Sans Pro"/>
          <w:i/>
          <w:sz w:val="28"/>
          <w:szCs w:val="28"/>
        </w:rPr>
      </w:pPr>
    </w:p>
    <w:p w14:paraId="6DE2FFA2" w14:textId="77777777" w:rsidR="002F7564" w:rsidRDefault="00000000">
      <w:pPr>
        <w:jc w:val="center"/>
        <w:rPr>
          <w:rFonts w:ascii="Source Sans Pro" w:eastAsia="Source Sans Pro" w:hAnsi="Source Sans Pro" w:cs="Source Sans Pro"/>
          <w:sz w:val="24"/>
          <w:szCs w:val="24"/>
        </w:rPr>
      </w:pPr>
      <w:r>
        <w:br w:type="page"/>
      </w:r>
    </w:p>
    <w:p w14:paraId="3875DED1" w14:textId="77777777" w:rsidR="002F7564" w:rsidRDefault="00000000">
      <w:pPr>
        <w:rPr>
          <w:rFonts w:ascii="Source Sans Pro" w:eastAsia="Source Sans Pro" w:hAnsi="Source Sans Pro" w:cs="Source Sans Pro"/>
          <w:b/>
        </w:rPr>
      </w:pPr>
      <w:r>
        <w:rPr>
          <w:rFonts w:ascii="Source Sans Pro" w:eastAsia="Source Sans Pro" w:hAnsi="Source Sans Pro" w:cs="Source Sans Pro"/>
          <w:b/>
        </w:rPr>
        <w:lastRenderedPageBreak/>
        <w:t>Sadržaj</w:t>
      </w:r>
    </w:p>
    <w:p w14:paraId="1CF1C03C" w14:textId="77777777" w:rsidR="002F7564" w:rsidRDefault="002F7564">
      <w:pPr>
        <w:rPr>
          <w:rFonts w:ascii="Source Sans Pro" w:eastAsia="Source Sans Pro" w:hAnsi="Source Sans Pro" w:cs="Source Sans Pro"/>
        </w:rPr>
      </w:pPr>
    </w:p>
    <w:sdt>
      <w:sdtPr>
        <w:id w:val="-1763827338"/>
        <w:docPartObj>
          <w:docPartGallery w:val="Table of Contents"/>
          <w:docPartUnique/>
        </w:docPartObj>
      </w:sdtPr>
      <w:sdtContent>
        <w:p w14:paraId="01687C24" w14:textId="473EA459" w:rsidR="002F7564" w:rsidRDefault="00000000">
          <w:pPr>
            <w:tabs>
              <w:tab w:val="right" w:pos="9025"/>
            </w:tabs>
            <w:spacing w:before="80" w:line="240" w:lineRule="auto"/>
            <w:rPr>
              <w:rFonts w:ascii="Source Sans Pro" w:eastAsia="Source Sans Pro" w:hAnsi="Source Sans Pro" w:cs="Source Sans Pro"/>
              <w:color w:val="000000"/>
            </w:rPr>
          </w:pPr>
          <w:r>
            <w:fldChar w:fldCharType="begin"/>
          </w:r>
          <w:r>
            <w:instrText xml:space="preserve"> TOC \h \u \z </w:instrText>
          </w:r>
          <w:r>
            <w:fldChar w:fldCharType="separate"/>
          </w:r>
          <w:hyperlink w:anchor="_gjdgxs">
            <w:r>
              <w:rPr>
                <w:rFonts w:ascii="Source Sans Pro" w:eastAsia="Source Sans Pro" w:hAnsi="Source Sans Pro" w:cs="Source Sans Pro"/>
                <w:color w:val="000000"/>
              </w:rPr>
              <w:t>1. Uvod</w:t>
            </w:r>
          </w:hyperlink>
          <w:r>
            <w:rPr>
              <w:rFonts w:ascii="Source Sans Pro" w:eastAsia="Source Sans Pro" w:hAnsi="Source Sans Pro" w:cs="Source Sans Pro"/>
              <w:color w:val="000000"/>
            </w:rPr>
            <w:tab/>
          </w:r>
          <w:r>
            <w:fldChar w:fldCharType="begin"/>
          </w:r>
          <w:r>
            <w:instrText xml:space="preserve"> PAGEREF _gjdgxs \h </w:instrText>
          </w:r>
          <w:r>
            <w:fldChar w:fldCharType="separate"/>
          </w:r>
          <w:r w:rsidR="0033749F">
            <w:rPr>
              <w:noProof/>
            </w:rPr>
            <w:t>2</w:t>
          </w:r>
          <w:r>
            <w:fldChar w:fldCharType="end"/>
          </w:r>
        </w:p>
        <w:p w14:paraId="206F295A" w14:textId="634FAE44" w:rsidR="002F7564" w:rsidRDefault="00000000">
          <w:pPr>
            <w:tabs>
              <w:tab w:val="right" w:pos="9025"/>
            </w:tabs>
            <w:spacing w:before="200" w:line="240" w:lineRule="auto"/>
            <w:rPr>
              <w:rFonts w:ascii="Source Sans Pro" w:eastAsia="Source Sans Pro" w:hAnsi="Source Sans Pro" w:cs="Source Sans Pro"/>
              <w:color w:val="000000"/>
            </w:rPr>
          </w:pPr>
          <w:hyperlink w:anchor="_30j0zll">
            <w:r>
              <w:rPr>
                <w:rFonts w:ascii="Source Sans Pro" w:eastAsia="Source Sans Pro" w:hAnsi="Source Sans Pro" w:cs="Source Sans Pro"/>
                <w:color w:val="000000"/>
              </w:rPr>
              <w:t>2. Zemljopisno područje koje SRUP obuhvaća</w:t>
            </w:r>
          </w:hyperlink>
          <w:r>
            <w:rPr>
              <w:rFonts w:ascii="Source Sans Pro" w:eastAsia="Source Sans Pro" w:hAnsi="Source Sans Pro" w:cs="Source Sans Pro"/>
              <w:color w:val="000000"/>
            </w:rPr>
            <w:tab/>
          </w:r>
          <w:r>
            <w:fldChar w:fldCharType="begin"/>
          </w:r>
          <w:r>
            <w:instrText xml:space="preserve"> PAGEREF _30j0zll \h </w:instrText>
          </w:r>
          <w:r>
            <w:fldChar w:fldCharType="separate"/>
          </w:r>
          <w:r w:rsidR="0033749F">
            <w:rPr>
              <w:noProof/>
            </w:rPr>
            <w:t>6</w:t>
          </w:r>
          <w:r>
            <w:fldChar w:fldCharType="end"/>
          </w:r>
        </w:p>
        <w:p w14:paraId="639224FB" w14:textId="7E2FB896" w:rsidR="002F7564" w:rsidRDefault="00000000">
          <w:pPr>
            <w:tabs>
              <w:tab w:val="right" w:pos="9025"/>
            </w:tabs>
            <w:spacing w:before="60" w:line="240" w:lineRule="auto"/>
            <w:ind w:left="360"/>
            <w:rPr>
              <w:rFonts w:ascii="Source Sans Pro" w:eastAsia="Source Sans Pro" w:hAnsi="Source Sans Pro" w:cs="Source Sans Pro"/>
              <w:color w:val="000000"/>
            </w:rPr>
          </w:pPr>
          <w:hyperlink w:anchor="_1fob9te">
            <w:r>
              <w:rPr>
                <w:rFonts w:ascii="Source Sans Pro" w:eastAsia="Source Sans Pro" w:hAnsi="Source Sans Pro" w:cs="Source Sans Pro"/>
                <w:color w:val="000000"/>
              </w:rPr>
              <w:t>2.1. Teritorijalni obuhvat</w:t>
            </w:r>
          </w:hyperlink>
          <w:r>
            <w:rPr>
              <w:rFonts w:ascii="Source Sans Pro" w:eastAsia="Source Sans Pro" w:hAnsi="Source Sans Pro" w:cs="Source Sans Pro"/>
              <w:color w:val="000000"/>
            </w:rPr>
            <w:tab/>
          </w:r>
          <w:r>
            <w:fldChar w:fldCharType="begin"/>
          </w:r>
          <w:r>
            <w:instrText xml:space="preserve"> PAGEREF _1fob9te \h </w:instrText>
          </w:r>
          <w:r>
            <w:fldChar w:fldCharType="separate"/>
          </w:r>
          <w:r w:rsidR="0033749F">
            <w:rPr>
              <w:noProof/>
            </w:rPr>
            <w:t>6</w:t>
          </w:r>
          <w:r>
            <w:fldChar w:fldCharType="end"/>
          </w:r>
        </w:p>
        <w:p w14:paraId="78A19ADE" w14:textId="4FCA12AF" w:rsidR="002F7564" w:rsidRDefault="00000000">
          <w:pPr>
            <w:tabs>
              <w:tab w:val="right" w:pos="9025"/>
            </w:tabs>
            <w:spacing w:before="60" w:line="240" w:lineRule="auto"/>
            <w:ind w:left="360"/>
            <w:rPr>
              <w:rFonts w:ascii="Source Sans Pro" w:eastAsia="Source Sans Pro" w:hAnsi="Source Sans Pro" w:cs="Source Sans Pro"/>
              <w:color w:val="000000"/>
            </w:rPr>
          </w:pPr>
          <w:hyperlink w:anchor="_1jgsrhfbuaug">
            <w:r>
              <w:rPr>
                <w:rFonts w:ascii="Source Sans Pro" w:eastAsia="Source Sans Pro" w:hAnsi="Source Sans Pro" w:cs="Source Sans Pro"/>
                <w:color w:val="000000"/>
              </w:rPr>
              <w:t>2.2. Teritorijalni kontekst</w:t>
            </w:r>
          </w:hyperlink>
          <w:r>
            <w:rPr>
              <w:rFonts w:ascii="Source Sans Pro" w:eastAsia="Source Sans Pro" w:hAnsi="Source Sans Pro" w:cs="Source Sans Pro"/>
              <w:color w:val="000000"/>
            </w:rPr>
            <w:tab/>
          </w:r>
          <w:r>
            <w:fldChar w:fldCharType="begin"/>
          </w:r>
          <w:r>
            <w:instrText xml:space="preserve"> PAGEREF _1jgsrhfbuaug \h </w:instrText>
          </w:r>
          <w:r>
            <w:fldChar w:fldCharType="separate"/>
          </w:r>
          <w:r w:rsidR="0033749F">
            <w:rPr>
              <w:noProof/>
            </w:rPr>
            <w:t>9</w:t>
          </w:r>
          <w:r>
            <w:fldChar w:fldCharType="end"/>
          </w:r>
        </w:p>
        <w:p w14:paraId="6ABF2B89" w14:textId="07B9A131" w:rsidR="002F7564" w:rsidRDefault="00000000">
          <w:pPr>
            <w:tabs>
              <w:tab w:val="right" w:pos="9025"/>
            </w:tabs>
            <w:spacing w:before="60" w:line="240" w:lineRule="auto"/>
            <w:ind w:left="720"/>
            <w:rPr>
              <w:rFonts w:ascii="Source Sans Pro" w:eastAsia="Source Sans Pro" w:hAnsi="Source Sans Pro" w:cs="Source Sans Pro"/>
              <w:color w:val="000000"/>
            </w:rPr>
          </w:pPr>
          <w:hyperlink w:anchor="_3znysh7">
            <w:r>
              <w:rPr>
                <w:rFonts w:ascii="Source Sans Pro" w:eastAsia="Source Sans Pro" w:hAnsi="Source Sans Pro" w:cs="Source Sans Pro"/>
                <w:color w:val="000000"/>
              </w:rPr>
              <w:t>2.2.1. Geoprometni položaj</w:t>
            </w:r>
          </w:hyperlink>
          <w:r>
            <w:rPr>
              <w:rFonts w:ascii="Source Sans Pro" w:eastAsia="Source Sans Pro" w:hAnsi="Source Sans Pro" w:cs="Source Sans Pro"/>
              <w:color w:val="000000"/>
            </w:rPr>
            <w:tab/>
          </w:r>
          <w:r>
            <w:fldChar w:fldCharType="begin"/>
          </w:r>
          <w:r>
            <w:instrText xml:space="preserve"> PAGEREF _3znysh7 \h </w:instrText>
          </w:r>
          <w:r>
            <w:fldChar w:fldCharType="separate"/>
          </w:r>
          <w:r w:rsidR="0033749F">
            <w:rPr>
              <w:noProof/>
            </w:rPr>
            <w:t>9</w:t>
          </w:r>
          <w:r>
            <w:fldChar w:fldCharType="end"/>
          </w:r>
        </w:p>
        <w:p w14:paraId="42F60E65" w14:textId="28726863" w:rsidR="002F7564" w:rsidRDefault="00000000">
          <w:pPr>
            <w:tabs>
              <w:tab w:val="right" w:pos="9025"/>
            </w:tabs>
            <w:spacing w:before="60" w:line="240" w:lineRule="auto"/>
            <w:ind w:left="720"/>
            <w:rPr>
              <w:rFonts w:ascii="Source Sans Pro" w:eastAsia="Source Sans Pro" w:hAnsi="Source Sans Pro" w:cs="Source Sans Pro"/>
              <w:color w:val="000000"/>
            </w:rPr>
          </w:pPr>
          <w:hyperlink w:anchor="_2et92p0">
            <w:r>
              <w:rPr>
                <w:rFonts w:ascii="Source Sans Pro" w:eastAsia="Source Sans Pro" w:hAnsi="Source Sans Pro" w:cs="Source Sans Pro"/>
                <w:color w:val="000000"/>
              </w:rPr>
              <w:t>2.2.2. Prirodna obilježja</w:t>
            </w:r>
          </w:hyperlink>
          <w:r>
            <w:rPr>
              <w:rFonts w:ascii="Source Sans Pro" w:eastAsia="Source Sans Pro" w:hAnsi="Source Sans Pro" w:cs="Source Sans Pro"/>
              <w:color w:val="000000"/>
            </w:rPr>
            <w:tab/>
          </w:r>
          <w:r>
            <w:fldChar w:fldCharType="begin"/>
          </w:r>
          <w:r>
            <w:instrText xml:space="preserve"> PAGEREF _2et92p0 \h </w:instrText>
          </w:r>
          <w:r>
            <w:fldChar w:fldCharType="separate"/>
          </w:r>
          <w:r w:rsidR="0033749F">
            <w:rPr>
              <w:noProof/>
            </w:rPr>
            <w:t>10</w:t>
          </w:r>
          <w:r>
            <w:fldChar w:fldCharType="end"/>
          </w:r>
        </w:p>
        <w:p w14:paraId="74931A8B" w14:textId="5DD34DE8" w:rsidR="002F7564" w:rsidRDefault="00000000">
          <w:pPr>
            <w:tabs>
              <w:tab w:val="right" w:pos="9025"/>
            </w:tabs>
            <w:spacing w:before="200" w:line="240" w:lineRule="auto"/>
            <w:rPr>
              <w:rFonts w:ascii="Source Sans Pro" w:eastAsia="Source Sans Pro" w:hAnsi="Source Sans Pro" w:cs="Source Sans Pro"/>
              <w:color w:val="000000"/>
            </w:rPr>
          </w:pPr>
          <w:hyperlink w:anchor="_tyjcwt">
            <w:r>
              <w:rPr>
                <w:rFonts w:ascii="Source Sans Pro" w:eastAsia="Source Sans Pro" w:hAnsi="Source Sans Pro" w:cs="Source Sans Pro"/>
                <w:color w:val="000000"/>
              </w:rPr>
              <w:t>3. Opis sudjelovanja partnera u pripremi i provedbi SRUP-a</w:t>
            </w:r>
          </w:hyperlink>
          <w:r>
            <w:rPr>
              <w:rFonts w:ascii="Source Sans Pro" w:eastAsia="Source Sans Pro" w:hAnsi="Source Sans Pro" w:cs="Source Sans Pro"/>
              <w:color w:val="000000"/>
            </w:rPr>
            <w:tab/>
          </w:r>
          <w:r>
            <w:fldChar w:fldCharType="begin"/>
          </w:r>
          <w:r>
            <w:instrText xml:space="preserve"> PAGEREF _tyjcwt \h </w:instrText>
          </w:r>
          <w:r>
            <w:fldChar w:fldCharType="separate"/>
          </w:r>
          <w:r w:rsidR="0033749F">
            <w:rPr>
              <w:noProof/>
            </w:rPr>
            <w:t>11</w:t>
          </w:r>
          <w:r>
            <w:fldChar w:fldCharType="end"/>
          </w:r>
        </w:p>
        <w:p w14:paraId="4A6E4F3D" w14:textId="2DCE2CB0" w:rsidR="002F7564" w:rsidRDefault="00000000">
          <w:pPr>
            <w:tabs>
              <w:tab w:val="right" w:pos="9025"/>
            </w:tabs>
            <w:spacing w:before="200" w:line="240" w:lineRule="auto"/>
            <w:rPr>
              <w:rFonts w:ascii="Source Sans Pro" w:eastAsia="Source Sans Pro" w:hAnsi="Source Sans Pro" w:cs="Source Sans Pro"/>
              <w:color w:val="000000"/>
            </w:rPr>
          </w:pPr>
          <w:hyperlink w:anchor="_3dy6vkm">
            <w:r>
              <w:rPr>
                <w:rFonts w:ascii="Source Sans Pro" w:eastAsia="Source Sans Pro" w:hAnsi="Source Sans Pro" w:cs="Source Sans Pro"/>
                <w:color w:val="000000"/>
              </w:rPr>
              <w:t>4. Srednjoročna vizija razvoja</w:t>
            </w:r>
          </w:hyperlink>
          <w:r>
            <w:rPr>
              <w:rFonts w:ascii="Source Sans Pro" w:eastAsia="Source Sans Pro" w:hAnsi="Source Sans Pro" w:cs="Source Sans Pro"/>
              <w:color w:val="000000"/>
            </w:rPr>
            <w:tab/>
          </w:r>
          <w:r>
            <w:fldChar w:fldCharType="begin"/>
          </w:r>
          <w:r>
            <w:instrText xml:space="preserve"> PAGEREF _3dy6vkm \h </w:instrText>
          </w:r>
          <w:r>
            <w:fldChar w:fldCharType="separate"/>
          </w:r>
          <w:r w:rsidR="0033749F">
            <w:rPr>
              <w:noProof/>
            </w:rPr>
            <w:t>15</w:t>
          </w:r>
          <w:r>
            <w:fldChar w:fldCharType="end"/>
          </w:r>
        </w:p>
        <w:p w14:paraId="04E2C409" w14:textId="4C87A19A" w:rsidR="002F7564" w:rsidRDefault="00000000">
          <w:pPr>
            <w:tabs>
              <w:tab w:val="right" w:pos="9025"/>
            </w:tabs>
            <w:spacing w:before="200" w:line="240" w:lineRule="auto"/>
            <w:rPr>
              <w:rFonts w:ascii="Source Sans Pro" w:eastAsia="Source Sans Pro" w:hAnsi="Source Sans Pro" w:cs="Source Sans Pro"/>
              <w:color w:val="000000"/>
            </w:rPr>
          </w:pPr>
          <w:hyperlink w:anchor="_1t3h5sf">
            <w:r>
              <w:rPr>
                <w:rFonts w:ascii="Source Sans Pro" w:eastAsia="Source Sans Pro" w:hAnsi="Source Sans Pro" w:cs="Source Sans Pro"/>
                <w:color w:val="000000"/>
              </w:rPr>
              <w:t>5. Opis srednjoročnih razvojnih potreba i razvojnih potencijala</w:t>
            </w:r>
          </w:hyperlink>
          <w:r>
            <w:rPr>
              <w:rFonts w:ascii="Source Sans Pro" w:eastAsia="Source Sans Pro" w:hAnsi="Source Sans Pro" w:cs="Source Sans Pro"/>
              <w:color w:val="000000"/>
            </w:rPr>
            <w:tab/>
          </w:r>
          <w:r>
            <w:fldChar w:fldCharType="begin"/>
          </w:r>
          <w:r>
            <w:instrText xml:space="preserve"> PAGEREF _1t3h5sf \h </w:instrText>
          </w:r>
          <w:r>
            <w:fldChar w:fldCharType="separate"/>
          </w:r>
          <w:r w:rsidR="0033749F">
            <w:rPr>
              <w:noProof/>
            </w:rPr>
            <w:t>16</w:t>
          </w:r>
          <w:r>
            <w:fldChar w:fldCharType="end"/>
          </w:r>
        </w:p>
        <w:p w14:paraId="0A873DD4" w14:textId="24DFE5C3" w:rsidR="002F7564" w:rsidRDefault="00000000">
          <w:pPr>
            <w:tabs>
              <w:tab w:val="right" w:pos="9025"/>
            </w:tabs>
            <w:spacing w:before="60" w:line="240" w:lineRule="auto"/>
            <w:ind w:left="360"/>
            <w:rPr>
              <w:rFonts w:ascii="Source Sans Pro" w:eastAsia="Source Sans Pro" w:hAnsi="Source Sans Pro" w:cs="Source Sans Pro"/>
              <w:color w:val="000000"/>
            </w:rPr>
          </w:pPr>
          <w:hyperlink w:anchor="_4d34og8">
            <w:r>
              <w:rPr>
                <w:rFonts w:ascii="Source Sans Pro" w:eastAsia="Source Sans Pro" w:hAnsi="Source Sans Pro" w:cs="Source Sans Pro"/>
                <w:color w:val="000000"/>
              </w:rPr>
              <w:t>5.1. Društvo</w:t>
            </w:r>
          </w:hyperlink>
          <w:r>
            <w:rPr>
              <w:rFonts w:ascii="Source Sans Pro" w:eastAsia="Source Sans Pro" w:hAnsi="Source Sans Pro" w:cs="Source Sans Pro"/>
              <w:color w:val="000000"/>
            </w:rPr>
            <w:tab/>
          </w:r>
          <w:r>
            <w:fldChar w:fldCharType="begin"/>
          </w:r>
          <w:r>
            <w:instrText xml:space="preserve"> PAGEREF _4d34og8 \h </w:instrText>
          </w:r>
          <w:r>
            <w:fldChar w:fldCharType="separate"/>
          </w:r>
          <w:r w:rsidR="0033749F">
            <w:rPr>
              <w:noProof/>
            </w:rPr>
            <w:t>16</w:t>
          </w:r>
          <w:r>
            <w:fldChar w:fldCharType="end"/>
          </w:r>
        </w:p>
        <w:p w14:paraId="015B961B" w14:textId="4EA1ADCD" w:rsidR="002F7564" w:rsidRDefault="00000000">
          <w:pPr>
            <w:tabs>
              <w:tab w:val="right" w:pos="9025"/>
            </w:tabs>
            <w:spacing w:before="60" w:line="240" w:lineRule="auto"/>
            <w:ind w:left="360"/>
            <w:rPr>
              <w:rFonts w:ascii="Source Sans Pro" w:eastAsia="Source Sans Pro" w:hAnsi="Source Sans Pro" w:cs="Source Sans Pro"/>
              <w:color w:val="000000"/>
            </w:rPr>
          </w:pPr>
          <w:hyperlink w:anchor="_2s8eyo1">
            <w:r>
              <w:rPr>
                <w:rFonts w:ascii="Source Sans Pro" w:eastAsia="Source Sans Pro" w:hAnsi="Source Sans Pro" w:cs="Source Sans Pro"/>
                <w:color w:val="000000"/>
              </w:rPr>
              <w:t>5.2. Gospodarstvo</w:t>
            </w:r>
          </w:hyperlink>
          <w:r>
            <w:rPr>
              <w:rFonts w:ascii="Source Sans Pro" w:eastAsia="Source Sans Pro" w:hAnsi="Source Sans Pro" w:cs="Source Sans Pro"/>
              <w:color w:val="000000"/>
            </w:rPr>
            <w:tab/>
          </w:r>
          <w:r>
            <w:fldChar w:fldCharType="begin"/>
          </w:r>
          <w:r>
            <w:instrText xml:space="preserve"> PAGEREF _2s8eyo1 \h </w:instrText>
          </w:r>
          <w:r>
            <w:fldChar w:fldCharType="separate"/>
          </w:r>
          <w:r w:rsidR="0033749F">
            <w:rPr>
              <w:noProof/>
            </w:rPr>
            <w:t>17</w:t>
          </w:r>
          <w:r>
            <w:fldChar w:fldCharType="end"/>
          </w:r>
        </w:p>
        <w:p w14:paraId="319A441B" w14:textId="20DD8FBC" w:rsidR="002F7564" w:rsidRDefault="00000000">
          <w:pPr>
            <w:tabs>
              <w:tab w:val="right" w:pos="9025"/>
            </w:tabs>
            <w:spacing w:before="60" w:line="240" w:lineRule="auto"/>
            <w:ind w:left="360"/>
            <w:rPr>
              <w:rFonts w:ascii="Source Sans Pro" w:eastAsia="Source Sans Pro" w:hAnsi="Source Sans Pro" w:cs="Source Sans Pro"/>
              <w:color w:val="000000"/>
            </w:rPr>
          </w:pPr>
          <w:hyperlink w:anchor="_17dp8vu">
            <w:r>
              <w:rPr>
                <w:rFonts w:ascii="Source Sans Pro" w:eastAsia="Source Sans Pro" w:hAnsi="Source Sans Pro" w:cs="Source Sans Pro"/>
                <w:color w:val="000000"/>
              </w:rPr>
              <w:t>5.3. Urbano okruženje</w:t>
            </w:r>
          </w:hyperlink>
          <w:r>
            <w:rPr>
              <w:rFonts w:ascii="Source Sans Pro" w:eastAsia="Source Sans Pro" w:hAnsi="Source Sans Pro" w:cs="Source Sans Pro"/>
              <w:color w:val="000000"/>
            </w:rPr>
            <w:tab/>
          </w:r>
          <w:r>
            <w:fldChar w:fldCharType="begin"/>
          </w:r>
          <w:r>
            <w:instrText xml:space="preserve"> PAGEREF _17dp8vu \h </w:instrText>
          </w:r>
          <w:r>
            <w:fldChar w:fldCharType="separate"/>
          </w:r>
          <w:r w:rsidR="0033749F">
            <w:rPr>
              <w:noProof/>
            </w:rPr>
            <w:t>18</w:t>
          </w:r>
          <w:r>
            <w:fldChar w:fldCharType="end"/>
          </w:r>
        </w:p>
        <w:p w14:paraId="06337F6E" w14:textId="1C078335" w:rsidR="002F7564" w:rsidRDefault="00000000">
          <w:pPr>
            <w:tabs>
              <w:tab w:val="right" w:pos="9025"/>
            </w:tabs>
            <w:spacing w:before="200" w:line="240" w:lineRule="auto"/>
            <w:rPr>
              <w:rFonts w:ascii="Source Sans Pro" w:eastAsia="Source Sans Pro" w:hAnsi="Source Sans Pro" w:cs="Source Sans Pro"/>
              <w:color w:val="000000"/>
            </w:rPr>
          </w:pPr>
          <w:hyperlink w:anchor="_3rdcrjn">
            <w:r>
              <w:rPr>
                <w:rFonts w:ascii="Source Sans Pro" w:eastAsia="Source Sans Pro" w:hAnsi="Source Sans Pro" w:cs="Source Sans Pro"/>
                <w:color w:val="000000"/>
              </w:rPr>
              <w:t>6. Opis integriranog pristupa rješavanju utvrđenih razvojnih potreba i potencijala uključujući ispunjavanje kriterija vezano uz stratešku relevantnost projekata</w:t>
            </w:r>
          </w:hyperlink>
          <w:r>
            <w:rPr>
              <w:rFonts w:ascii="Source Sans Pro" w:eastAsia="Source Sans Pro" w:hAnsi="Source Sans Pro" w:cs="Source Sans Pro"/>
              <w:color w:val="000000"/>
            </w:rPr>
            <w:tab/>
          </w:r>
          <w:r>
            <w:fldChar w:fldCharType="begin"/>
          </w:r>
          <w:r>
            <w:instrText xml:space="preserve"> PAGEREF _3rdcrjn \h </w:instrText>
          </w:r>
          <w:r>
            <w:fldChar w:fldCharType="separate"/>
          </w:r>
          <w:r w:rsidR="0033749F">
            <w:rPr>
              <w:noProof/>
            </w:rPr>
            <w:t>21</w:t>
          </w:r>
          <w:r>
            <w:fldChar w:fldCharType="end"/>
          </w:r>
        </w:p>
        <w:p w14:paraId="00AC3FBF" w14:textId="4E8BB05C" w:rsidR="002F7564" w:rsidRDefault="00000000">
          <w:pPr>
            <w:tabs>
              <w:tab w:val="right" w:pos="9025"/>
            </w:tabs>
            <w:spacing w:before="60" w:line="240" w:lineRule="auto"/>
            <w:ind w:left="360"/>
            <w:rPr>
              <w:rFonts w:ascii="Source Sans Pro" w:eastAsia="Source Sans Pro" w:hAnsi="Source Sans Pro" w:cs="Source Sans Pro"/>
              <w:color w:val="000000"/>
            </w:rPr>
          </w:pPr>
          <w:hyperlink w:anchor="_26in1rg">
            <w:r>
              <w:rPr>
                <w:rFonts w:ascii="Source Sans Pro" w:eastAsia="Source Sans Pro" w:hAnsi="Source Sans Pro" w:cs="Source Sans Pro"/>
                <w:color w:val="000000"/>
              </w:rPr>
              <w:t>6.1. Opis integriranih teritorijalnih ulaganja te sektorske i teritorijalne integracije kroz ITU mehanizam</w:t>
            </w:r>
          </w:hyperlink>
          <w:r>
            <w:rPr>
              <w:rFonts w:ascii="Source Sans Pro" w:eastAsia="Source Sans Pro" w:hAnsi="Source Sans Pro" w:cs="Source Sans Pro"/>
              <w:color w:val="000000"/>
            </w:rPr>
            <w:tab/>
          </w:r>
          <w:r>
            <w:fldChar w:fldCharType="begin"/>
          </w:r>
          <w:r>
            <w:instrText xml:space="preserve"> PAGEREF _26in1rg \h </w:instrText>
          </w:r>
          <w:r>
            <w:fldChar w:fldCharType="separate"/>
          </w:r>
          <w:r w:rsidR="0033749F">
            <w:rPr>
              <w:noProof/>
            </w:rPr>
            <w:t>21</w:t>
          </w:r>
          <w:r>
            <w:fldChar w:fldCharType="end"/>
          </w:r>
        </w:p>
        <w:p w14:paraId="6B1634A0" w14:textId="07846122" w:rsidR="002F7564" w:rsidRDefault="00000000">
          <w:pPr>
            <w:tabs>
              <w:tab w:val="right" w:pos="9025"/>
            </w:tabs>
            <w:spacing w:before="60" w:line="240" w:lineRule="auto"/>
            <w:ind w:left="360"/>
            <w:rPr>
              <w:rFonts w:ascii="Source Sans Pro" w:eastAsia="Source Sans Pro" w:hAnsi="Source Sans Pro" w:cs="Source Sans Pro"/>
              <w:color w:val="000000"/>
            </w:rPr>
          </w:pPr>
          <w:hyperlink w:anchor="_lnxbz9">
            <w:r>
              <w:rPr>
                <w:rFonts w:ascii="Source Sans Pro" w:eastAsia="Source Sans Pro" w:hAnsi="Source Sans Pro" w:cs="Source Sans Pro"/>
                <w:color w:val="000000"/>
              </w:rPr>
              <w:t>6.2. Opis strateške relevantnosti kroz ITU mehanizam</w:t>
            </w:r>
          </w:hyperlink>
          <w:r>
            <w:rPr>
              <w:rFonts w:ascii="Source Sans Pro" w:eastAsia="Source Sans Pro" w:hAnsi="Source Sans Pro" w:cs="Source Sans Pro"/>
              <w:color w:val="000000"/>
            </w:rPr>
            <w:tab/>
          </w:r>
          <w:r>
            <w:fldChar w:fldCharType="begin"/>
          </w:r>
          <w:r>
            <w:instrText xml:space="preserve"> PAGEREF _lnxbz9 \h </w:instrText>
          </w:r>
          <w:r>
            <w:fldChar w:fldCharType="separate"/>
          </w:r>
          <w:r w:rsidR="0033749F">
            <w:rPr>
              <w:noProof/>
            </w:rPr>
            <w:t>23</w:t>
          </w:r>
          <w:r>
            <w:fldChar w:fldCharType="end"/>
          </w:r>
        </w:p>
        <w:p w14:paraId="4DEDC317" w14:textId="156C8909" w:rsidR="002F7564" w:rsidRDefault="00000000">
          <w:pPr>
            <w:tabs>
              <w:tab w:val="right" w:pos="9025"/>
            </w:tabs>
            <w:spacing w:before="60" w:line="240" w:lineRule="auto"/>
            <w:ind w:left="360"/>
            <w:rPr>
              <w:rFonts w:ascii="Source Sans Pro" w:eastAsia="Source Sans Pro" w:hAnsi="Source Sans Pro" w:cs="Source Sans Pro"/>
              <w:color w:val="000000"/>
            </w:rPr>
          </w:pPr>
          <w:hyperlink w:anchor="_35nkun2">
            <w:r>
              <w:rPr>
                <w:rFonts w:ascii="Source Sans Pro" w:eastAsia="Source Sans Pro" w:hAnsi="Source Sans Pro" w:cs="Source Sans Pro"/>
                <w:color w:val="000000"/>
              </w:rPr>
              <w:t>6.3. Opis sustava provedbe ITU mehanizma</w:t>
            </w:r>
          </w:hyperlink>
          <w:r>
            <w:rPr>
              <w:rFonts w:ascii="Source Sans Pro" w:eastAsia="Source Sans Pro" w:hAnsi="Source Sans Pro" w:cs="Source Sans Pro"/>
              <w:color w:val="000000"/>
            </w:rPr>
            <w:tab/>
          </w:r>
          <w:r>
            <w:fldChar w:fldCharType="begin"/>
          </w:r>
          <w:r>
            <w:instrText xml:space="preserve"> PAGEREF _35nkun2 \h </w:instrText>
          </w:r>
          <w:r>
            <w:fldChar w:fldCharType="separate"/>
          </w:r>
          <w:r w:rsidR="0033749F">
            <w:rPr>
              <w:noProof/>
            </w:rPr>
            <w:t>26</w:t>
          </w:r>
          <w:r>
            <w:fldChar w:fldCharType="end"/>
          </w:r>
        </w:p>
        <w:p w14:paraId="356238C6" w14:textId="32C6B743" w:rsidR="002F7564" w:rsidRDefault="00000000">
          <w:pPr>
            <w:tabs>
              <w:tab w:val="right" w:pos="9025"/>
            </w:tabs>
            <w:spacing w:before="200" w:line="240" w:lineRule="auto"/>
            <w:rPr>
              <w:rFonts w:ascii="Source Sans Pro" w:eastAsia="Source Sans Pro" w:hAnsi="Source Sans Pro" w:cs="Source Sans Pro"/>
              <w:color w:val="000000"/>
            </w:rPr>
          </w:pPr>
          <w:hyperlink w:anchor="_1ksv4uv">
            <w:r>
              <w:rPr>
                <w:rFonts w:ascii="Source Sans Pro" w:eastAsia="Source Sans Pro" w:hAnsi="Source Sans Pro" w:cs="Source Sans Pro"/>
                <w:color w:val="000000"/>
              </w:rPr>
              <w:t>7. Usklađenost s EU strateškim dokumentima, Nacionalnom razvojnom strategijom, sektorskim i višesektorskim strategijama, planovima razvoja županija te dokumentima prostornog uređenja</w:t>
            </w:r>
          </w:hyperlink>
          <w:r>
            <w:rPr>
              <w:rFonts w:ascii="Source Sans Pro" w:eastAsia="Source Sans Pro" w:hAnsi="Source Sans Pro" w:cs="Source Sans Pro"/>
              <w:color w:val="000000"/>
            </w:rPr>
            <w:tab/>
          </w:r>
          <w:r>
            <w:fldChar w:fldCharType="begin"/>
          </w:r>
          <w:r>
            <w:instrText xml:space="preserve"> PAGEREF _1ksv4uv \h </w:instrText>
          </w:r>
          <w:r>
            <w:fldChar w:fldCharType="separate"/>
          </w:r>
          <w:r w:rsidR="0033749F">
            <w:rPr>
              <w:noProof/>
            </w:rPr>
            <w:t>28</w:t>
          </w:r>
          <w:r>
            <w:fldChar w:fldCharType="end"/>
          </w:r>
        </w:p>
        <w:p w14:paraId="1428E198" w14:textId="730448E6" w:rsidR="002F7564" w:rsidRDefault="00000000">
          <w:pPr>
            <w:tabs>
              <w:tab w:val="right" w:pos="9025"/>
            </w:tabs>
            <w:spacing w:before="60" w:line="240" w:lineRule="auto"/>
            <w:ind w:left="360"/>
            <w:rPr>
              <w:rFonts w:ascii="Source Sans Pro" w:eastAsia="Source Sans Pro" w:hAnsi="Source Sans Pro" w:cs="Source Sans Pro"/>
              <w:color w:val="000000"/>
            </w:rPr>
          </w:pPr>
          <w:hyperlink w:anchor="_44sinio">
            <w:r>
              <w:rPr>
                <w:rFonts w:ascii="Source Sans Pro" w:eastAsia="Source Sans Pro" w:hAnsi="Source Sans Pro" w:cs="Source Sans Pro"/>
                <w:color w:val="000000"/>
              </w:rPr>
              <w:t>7.1. Nacionalna razvojna strategija 2030.</w:t>
            </w:r>
          </w:hyperlink>
          <w:r>
            <w:rPr>
              <w:rFonts w:ascii="Source Sans Pro" w:eastAsia="Source Sans Pro" w:hAnsi="Source Sans Pro" w:cs="Source Sans Pro"/>
              <w:color w:val="000000"/>
            </w:rPr>
            <w:tab/>
          </w:r>
          <w:r>
            <w:fldChar w:fldCharType="begin"/>
          </w:r>
          <w:r>
            <w:instrText xml:space="preserve"> PAGEREF _44sinio \h </w:instrText>
          </w:r>
          <w:r>
            <w:fldChar w:fldCharType="separate"/>
          </w:r>
          <w:r w:rsidR="0033749F">
            <w:rPr>
              <w:noProof/>
            </w:rPr>
            <w:t>30</w:t>
          </w:r>
          <w:r>
            <w:fldChar w:fldCharType="end"/>
          </w:r>
        </w:p>
        <w:p w14:paraId="7F6339A4" w14:textId="35E46F3E" w:rsidR="002F7564" w:rsidRDefault="00000000">
          <w:pPr>
            <w:tabs>
              <w:tab w:val="right" w:pos="9025"/>
            </w:tabs>
            <w:spacing w:before="60" w:line="240" w:lineRule="auto"/>
            <w:ind w:left="360"/>
            <w:rPr>
              <w:rFonts w:ascii="Source Sans Pro" w:eastAsia="Source Sans Pro" w:hAnsi="Source Sans Pro" w:cs="Source Sans Pro"/>
              <w:color w:val="000000"/>
            </w:rPr>
          </w:pPr>
          <w:hyperlink w:anchor="_2jxsxqh">
            <w:r>
              <w:rPr>
                <w:rFonts w:ascii="Source Sans Pro" w:eastAsia="Source Sans Pro" w:hAnsi="Source Sans Pro" w:cs="Source Sans Pro"/>
                <w:color w:val="000000"/>
              </w:rPr>
              <w:t>7.2. Plan razvoja Koprivničko-križevačke županije za razdoblje 2021.-2027.</w:t>
            </w:r>
          </w:hyperlink>
          <w:r>
            <w:rPr>
              <w:rFonts w:ascii="Source Sans Pro" w:eastAsia="Source Sans Pro" w:hAnsi="Source Sans Pro" w:cs="Source Sans Pro"/>
              <w:color w:val="000000"/>
            </w:rPr>
            <w:tab/>
          </w:r>
          <w:r>
            <w:fldChar w:fldCharType="begin"/>
          </w:r>
          <w:r>
            <w:instrText xml:space="preserve"> PAGEREF _2jxsxqh \h </w:instrText>
          </w:r>
          <w:r>
            <w:fldChar w:fldCharType="separate"/>
          </w:r>
          <w:r w:rsidR="0033749F">
            <w:rPr>
              <w:noProof/>
            </w:rPr>
            <w:t>32</w:t>
          </w:r>
          <w:r>
            <w:fldChar w:fldCharType="end"/>
          </w:r>
        </w:p>
        <w:p w14:paraId="1CA735FA" w14:textId="01D1E7B6" w:rsidR="002F7564" w:rsidRDefault="00000000">
          <w:pPr>
            <w:tabs>
              <w:tab w:val="right" w:pos="9025"/>
            </w:tabs>
            <w:spacing w:before="60" w:line="240" w:lineRule="auto"/>
            <w:ind w:left="360"/>
            <w:rPr>
              <w:rFonts w:ascii="Source Sans Pro" w:eastAsia="Source Sans Pro" w:hAnsi="Source Sans Pro" w:cs="Source Sans Pro"/>
              <w:color w:val="000000"/>
            </w:rPr>
          </w:pPr>
          <w:hyperlink w:anchor="_z337ya">
            <w:r>
              <w:rPr>
                <w:rFonts w:ascii="Source Sans Pro" w:eastAsia="Source Sans Pro" w:hAnsi="Source Sans Pro" w:cs="Source Sans Pro"/>
                <w:color w:val="000000"/>
              </w:rPr>
              <w:t>7.3. EU strateški dokumenti</w:t>
            </w:r>
          </w:hyperlink>
          <w:r>
            <w:rPr>
              <w:rFonts w:ascii="Source Sans Pro" w:eastAsia="Source Sans Pro" w:hAnsi="Source Sans Pro" w:cs="Source Sans Pro"/>
              <w:color w:val="000000"/>
            </w:rPr>
            <w:tab/>
          </w:r>
          <w:r>
            <w:fldChar w:fldCharType="begin"/>
          </w:r>
          <w:r>
            <w:instrText xml:space="preserve"> PAGEREF _z337ya \h </w:instrText>
          </w:r>
          <w:r>
            <w:fldChar w:fldCharType="separate"/>
          </w:r>
          <w:r w:rsidR="0033749F">
            <w:rPr>
              <w:noProof/>
            </w:rPr>
            <w:t>34</w:t>
          </w:r>
          <w:r>
            <w:fldChar w:fldCharType="end"/>
          </w:r>
        </w:p>
        <w:p w14:paraId="55CE72CA" w14:textId="27E3F6C8" w:rsidR="002F7564" w:rsidRDefault="00000000">
          <w:pPr>
            <w:tabs>
              <w:tab w:val="right" w:pos="9025"/>
            </w:tabs>
            <w:spacing w:before="200" w:line="240" w:lineRule="auto"/>
            <w:rPr>
              <w:rFonts w:ascii="Source Sans Pro" w:eastAsia="Source Sans Pro" w:hAnsi="Source Sans Pro" w:cs="Source Sans Pro"/>
              <w:color w:val="000000"/>
            </w:rPr>
          </w:pPr>
          <w:hyperlink w:anchor="_1y810tw">
            <w:r>
              <w:rPr>
                <w:rFonts w:ascii="Source Sans Pro" w:eastAsia="Source Sans Pro" w:hAnsi="Source Sans Pro" w:cs="Source Sans Pro"/>
                <w:color w:val="000000"/>
              </w:rPr>
              <w:t>8. Opis prioriteta javne politike u srednjoročnom razdoblju</w:t>
            </w:r>
          </w:hyperlink>
          <w:r>
            <w:rPr>
              <w:rFonts w:ascii="Source Sans Pro" w:eastAsia="Source Sans Pro" w:hAnsi="Source Sans Pro" w:cs="Source Sans Pro"/>
              <w:color w:val="000000"/>
            </w:rPr>
            <w:tab/>
          </w:r>
          <w:r>
            <w:fldChar w:fldCharType="begin"/>
          </w:r>
          <w:r>
            <w:instrText xml:space="preserve"> PAGEREF _1y810tw \h </w:instrText>
          </w:r>
          <w:r>
            <w:fldChar w:fldCharType="separate"/>
          </w:r>
          <w:r w:rsidR="0033749F">
            <w:rPr>
              <w:noProof/>
            </w:rPr>
            <w:t>35</w:t>
          </w:r>
          <w:r>
            <w:fldChar w:fldCharType="end"/>
          </w:r>
        </w:p>
        <w:p w14:paraId="6C168759" w14:textId="78F67D89" w:rsidR="002F7564" w:rsidRDefault="00000000">
          <w:pPr>
            <w:tabs>
              <w:tab w:val="right" w:pos="9025"/>
            </w:tabs>
            <w:spacing w:before="60" w:line="240" w:lineRule="auto"/>
            <w:ind w:left="360"/>
            <w:rPr>
              <w:rFonts w:ascii="Source Sans Pro" w:eastAsia="Source Sans Pro" w:hAnsi="Source Sans Pro" w:cs="Source Sans Pro"/>
              <w:color w:val="000000"/>
            </w:rPr>
          </w:pPr>
          <w:hyperlink w:anchor="_4i7ojhp">
            <w:r>
              <w:rPr>
                <w:rFonts w:ascii="Source Sans Pro" w:eastAsia="Source Sans Pro" w:hAnsi="Source Sans Pro" w:cs="Source Sans Pro"/>
                <w:color w:val="000000"/>
              </w:rPr>
              <w:t>8.1. Vitalno područje</w:t>
            </w:r>
          </w:hyperlink>
          <w:r>
            <w:rPr>
              <w:rFonts w:ascii="Source Sans Pro" w:eastAsia="Source Sans Pro" w:hAnsi="Source Sans Pro" w:cs="Source Sans Pro"/>
              <w:color w:val="000000"/>
            </w:rPr>
            <w:tab/>
          </w:r>
          <w:r>
            <w:fldChar w:fldCharType="begin"/>
          </w:r>
          <w:r>
            <w:instrText xml:space="preserve"> PAGEREF _4i7ojhp \h </w:instrText>
          </w:r>
          <w:r>
            <w:fldChar w:fldCharType="separate"/>
          </w:r>
          <w:r w:rsidR="0033749F">
            <w:rPr>
              <w:noProof/>
            </w:rPr>
            <w:t>35</w:t>
          </w:r>
          <w:r>
            <w:fldChar w:fldCharType="end"/>
          </w:r>
        </w:p>
        <w:p w14:paraId="3753449D" w14:textId="2701D4CB" w:rsidR="002F7564" w:rsidRDefault="00000000">
          <w:pPr>
            <w:tabs>
              <w:tab w:val="right" w:pos="9025"/>
            </w:tabs>
            <w:spacing w:before="60" w:line="240" w:lineRule="auto"/>
            <w:ind w:left="360"/>
            <w:rPr>
              <w:rFonts w:ascii="Source Sans Pro" w:eastAsia="Source Sans Pro" w:hAnsi="Source Sans Pro" w:cs="Source Sans Pro"/>
              <w:color w:val="000000"/>
            </w:rPr>
          </w:pPr>
          <w:hyperlink w:anchor="_2xcytpi">
            <w:r>
              <w:rPr>
                <w:rFonts w:ascii="Source Sans Pro" w:eastAsia="Source Sans Pro" w:hAnsi="Source Sans Pro" w:cs="Source Sans Pro"/>
                <w:color w:val="000000"/>
              </w:rPr>
              <w:t>8.2. Funkcionalno područje</w:t>
            </w:r>
          </w:hyperlink>
          <w:r>
            <w:rPr>
              <w:rFonts w:ascii="Source Sans Pro" w:eastAsia="Source Sans Pro" w:hAnsi="Source Sans Pro" w:cs="Source Sans Pro"/>
              <w:color w:val="000000"/>
            </w:rPr>
            <w:tab/>
          </w:r>
          <w:r>
            <w:fldChar w:fldCharType="begin"/>
          </w:r>
          <w:r>
            <w:instrText xml:space="preserve"> PAGEREF _2xcytpi \h </w:instrText>
          </w:r>
          <w:r>
            <w:fldChar w:fldCharType="separate"/>
          </w:r>
          <w:r w:rsidR="0033749F">
            <w:rPr>
              <w:noProof/>
            </w:rPr>
            <w:t>36</w:t>
          </w:r>
          <w:r>
            <w:fldChar w:fldCharType="end"/>
          </w:r>
        </w:p>
        <w:p w14:paraId="107C0870" w14:textId="08219E4D" w:rsidR="002F7564" w:rsidRDefault="00000000">
          <w:pPr>
            <w:tabs>
              <w:tab w:val="right" w:pos="9025"/>
            </w:tabs>
            <w:spacing w:before="60" w:line="240" w:lineRule="auto"/>
            <w:ind w:left="360"/>
            <w:rPr>
              <w:rFonts w:ascii="Source Sans Pro" w:eastAsia="Source Sans Pro" w:hAnsi="Source Sans Pro" w:cs="Source Sans Pro"/>
              <w:color w:val="000000"/>
            </w:rPr>
          </w:pPr>
          <w:hyperlink w:anchor="_1ci93xb">
            <w:r>
              <w:rPr>
                <w:rFonts w:ascii="Source Sans Pro" w:eastAsia="Source Sans Pro" w:hAnsi="Source Sans Pro" w:cs="Source Sans Pro"/>
                <w:color w:val="000000"/>
              </w:rPr>
              <w:t>8.3. Razvijeno područje</w:t>
            </w:r>
          </w:hyperlink>
          <w:r>
            <w:rPr>
              <w:rFonts w:ascii="Source Sans Pro" w:eastAsia="Source Sans Pro" w:hAnsi="Source Sans Pro" w:cs="Source Sans Pro"/>
              <w:color w:val="000000"/>
            </w:rPr>
            <w:tab/>
          </w:r>
          <w:r>
            <w:fldChar w:fldCharType="begin"/>
          </w:r>
          <w:r>
            <w:instrText xml:space="preserve"> PAGEREF _1ci93xb \h </w:instrText>
          </w:r>
          <w:r>
            <w:fldChar w:fldCharType="separate"/>
          </w:r>
          <w:r w:rsidR="0033749F">
            <w:rPr>
              <w:noProof/>
            </w:rPr>
            <w:t>37</w:t>
          </w:r>
          <w:r>
            <w:fldChar w:fldCharType="end"/>
          </w:r>
        </w:p>
        <w:p w14:paraId="015C7C85" w14:textId="24C584C4" w:rsidR="002F7564" w:rsidRDefault="00000000">
          <w:pPr>
            <w:tabs>
              <w:tab w:val="right" w:pos="9025"/>
            </w:tabs>
            <w:spacing w:before="60" w:line="240" w:lineRule="auto"/>
            <w:ind w:left="360"/>
            <w:rPr>
              <w:rFonts w:ascii="Source Sans Pro" w:eastAsia="Source Sans Pro" w:hAnsi="Source Sans Pro" w:cs="Source Sans Pro"/>
              <w:color w:val="000000"/>
            </w:rPr>
          </w:pPr>
          <w:hyperlink w:anchor="_3whwml4">
            <w:r>
              <w:rPr>
                <w:rFonts w:ascii="Source Sans Pro" w:eastAsia="Source Sans Pro" w:hAnsi="Source Sans Pro" w:cs="Source Sans Pro"/>
                <w:color w:val="000000"/>
              </w:rPr>
              <w:t>8.4. Sadržajno područje</w:t>
            </w:r>
          </w:hyperlink>
          <w:r>
            <w:rPr>
              <w:rFonts w:ascii="Source Sans Pro" w:eastAsia="Source Sans Pro" w:hAnsi="Source Sans Pro" w:cs="Source Sans Pro"/>
              <w:color w:val="000000"/>
            </w:rPr>
            <w:tab/>
          </w:r>
          <w:r>
            <w:fldChar w:fldCharType="begin"/>
          </w:r>
          <w:r>
            <w:instrText xml:space="preserve"> PAGEREF _3whwml4 \h </w:instrText>
          </w:r>
          <w:r>
            <w:fldChar w:fldCharType="separate"/>
          </w:r>
          <w:r w:rsidR="0033749F">
            <w:rPr>
              <w:noProof/>
            </w:rPr>
            <w:t>39</w:t>
          </w:r>
          <w:r>
            <w:fldChar w:fldCharType="end"/>
          </w:r>
        </w:p>
        <w:p w14:paraId="5421A6E6" w14:textId="697E0686" w:rsidR="002F7564" w:rsidRDefault="00000000">
          <w:pPr>
            <w:tabs>
              <w:tab w:val="right" w:pos="9025"/>
            </w:tabs>
            <w:spacing w:before="200" w:line="240" w:lineRule="auto"/>
            <w:rPr>
              <w:rFonts w:ascii="Source Sans Pro" w:eastAsia="Source Sans Pro" w:hAnsi="Source Sans Pro" w:cs="Source Sans Pro"/>
              <w:color w:val="000000"/>
            </w:rPr>
          </w:pPr>
          <w:hyperlink w:anchor="_2bn6wsx">
            <w:r>
              <w:rPr>
                <w:rFonts w:ascii="Source Sans Pro" w:eastAsia="Source Sans Pro" w:hAnsi="Source Sans Pro" w:cs="Source Sans Pro"/>
                <w:color w:val="000000"/>
              </w:rPr>
              <w:t>9. Popis posebnih ciljeva i ključnih pokazatelja ishoda</w:t>
            </w:r>
          </w:hyperlink>
          <w:r>
            <w:rPr>
              <w:rFonts w:ascii="Source Sans Pro" w:eastAsia="Source Sans Pro" w:hAnsi="Source Sans Pro" w:cs="Source Sans Pro"/>
              <w:color w:val="000000"/>
            </w:rPr>
            <w:tab/>
          </w:r>
          <w:r>
            <w:fldChar w:fldCharType="begin"/>
          </w:r>
          <w:r>
            <w:instrText xml:space="preserve"> PAGEREF _2bn6wsx \h </w:instrText>
          </w:r>
          <w:r>
            <w:fldChar w:fldCharType="separate"/>
          </w:r>
          <w:r w:rsidR="0033749F">
            <w:rPr>
              <w:noProof/>
            </w:rPr>
            <w:t>41</w:t>
          </w:r>
          <w:r>
            <w:fldChar w:fldCharType="end"/>
          </w:r>
        </w:p>
        <w:p w14:paraId="2A0CA252" w14:textId="329DC28C" w:rsidR="002F7564" w:rsidRDefault="00000000">
          <w:pPr>
            <w:tabs>
              <w:tab w:val="right" w:pos="9025"/>
            </w:tabs>
            <w:spacing w:before="200" w:line="240" w:lineRule="auto"/>
            <w:rPr>
              <w:rFonts w:ascii="Source Sans Pro" w:eastAsia="Source Sans Pro" w:hAnsi="Source Sans Pro" w:cs="Source Sans Pro"/>
              <w:color w:val="000000"/>
            </w:rPr>
          </w:pPr>
          <w:hyperlink w:anchor="_qsh70q">
            <w:r>
              <w:rPr>
                <w:rFonts w:ascii="Source Sans Pro" w:eastAsia="Source Sans Pro" w:hAnsi="Source Sans Pro" w:cs="Source Sans Pro"/>
                <w:color w:val="000000"/>
              </w:rPr>
              <w:t>10. Terminski plan provedbe projekata od strateškog značaja</w:t>
            </w:r>
          </w:hyperlink>
          <w:r>
            <w:rPr>
              <w:rFonts w:ascii="Source Sans Pro" w:eastAsia="Source Sans Pro" w:hAnsi="Source Sans Pro" w:cs="Source Sans Pro"/>
              <w:color w:val="000000"/>
            </w:rPr>
            <w:tab/>
          </w:r>
          <w:r>
            <w:fldChar w:fldCharType="begin"/>
          </w:r>
          <w:r>
            <w:instrText xml:space="preserve"> PAGEREF _qsh70q \h </w:instrText>
          </w:r>
          <w:r>
            <w:fldChar w:fldCharType="separate"/>
          </w:r>
          <w:r w:rsidR="0033749F">
            <w:rPr>
              <w:noProof/>
            </w:rPr>
            <w:t>47</w:t>
          </w:r>
          <w:r>
            <w:fldChar w:fldCharType="end"/>
          </w:r>
        </w:p>
        <w:p w14:paraId="41BBDDC9" w14:textId="70D890FF" w:rsidR="002F7564" w:rsidRDefault="00000000">
          <w:pPr>
            <w:tabs>
              <w:tab w:val="right" w:pos="9025"/>
            </w:tabs>
            <w:spacing w:before="200" w:line="240" w:lineRule="auto"/>
            <w:rPr>
              <w:rFonts w:ascii="Source Sans Pro" w:eastAsia="Source Sans Pro" w:hAnsi="Source Sans Pro" w:cs="Source Sans Pro"/>
              <w:color w:val="000000"/>
            </w:rPr>
          </w:pPr>
          <w:hyperlink w:anchor="_3as4poj">
            <w:r>
              <w:rPr>
                <w:rFonts w:ascii="Source Sans Pro" w:eastAsia="Source Sans Pro" w:hAnsi="Source Sans Pro" w:cs="Source Sans Pro"/>
                <w:color w:val="000000"/>
              </w:rPr>
              <w:t>11. Indikativni financijski plan</w:t>
            </w:r>
          </w:hyperlink>
          <w:r>
            <w:rPr>
              <w:rFonts w:ascii="Source Sans Pro" w:eastAsia="Source Sans Pro" w:hAnsi="Source Sans Pro" w:cs="Source Sans Pro"/>
              <w:color w:val="000000"/>
            </w:rPr>
            <w:tab/>
          </w:r>
          <w:r>
            <w:fldChar w:fldCharType="begin"/>
          </w:r>
          <w:r>
            <w:instrText xml:space="preserve"> PAGEREF _3as4poj \h </w:instrText>
          </w:r>
          <w:r>
            <w:fldChar w:fldCharType="separate"/>
          </w:r>
          <w:r w:rsidR="0033749F">
            <w:rPr>
              <w:noProof/>
            </w:rPr>
            <w:t>63</w:t>
          </w:r>
          <w:r>
            <w:fldChar w:fldCharType="end"/>
          </w:r>
        </w:p>
        <w:p w14:paraId="5F38321F" w14:textId="02C01C4F" w:rsidR="002F7564" w:rsidRDefault="00000000">
          <w:pPr>
            <w:tabs>
              <w:tab w:val="right" w:pos="9025"/>
            </w:tabs>
            <w:spacing w:before="200" w:line="240" w:lineRule="auto"/>
            <w:rPr>
              <w:rFonts w:ascii="Source Sans Pro" w:eastAsia="Source Sans Pro" w:hAnsi="Source Sans Pro" w:cs="Source Sans Pro"/>
              <w:color w:val="000000"/>
            </w:rPr>
          </w:pPr>
          <w:hyperlink w:anchor="_1pxezwc">
            <w:r>
              <w:rPr>
                <w:rFonts w:ascii="Source Sans Pro" w:eastAsia="Source Sans Pro" w:hAnsi="Source Sans Pro" w:cs="Source Sans Pro"/>
                <w:color w:val="000000"/>
              </w:rPr>
              <w:t>12. Okvir za praćenje i vrednovanje</w:t>
            </w:r>
          </w:hyperlink>
          <w:r>
            <w:rPr>
              <w:rFonts w:ascii="Source Sans Pro" w:eastAsia="Source Sans Pro" w:hAnsi="Source Sans Pro" w:cs="Source Sans Pro"/>
              <w:color w:val="000000"/>
            </w:rPr>
            <w:tab/>
          </w:r>
          <w:r>
            <w:fldChar w:fldCharType="begin"/>
          </w:r>
          <w:r>
            <w:instrText xml:space="preserve"> PAGEREF _1pxezwc \h </w:instrText>
          </w:r>
          <w:r>
            <w:fldChar w:fldCharType="separate"/>
          </w:r>
          <w:r w:rsidR="0033749F">
            <w:rPr>
              <w:noProof/>
            </w:rPr>
            <w:t>65</w:t>
          </w:r>
          <w:r>
            <w:fldChar w:fldCharType="end"/>
          </w:r>
        </w:p>
        <w:p w14:paraId="09E7C1C1" w14:textId="7788DEB4" w:rsidR="002F7564" w:rsidRDefault="00000000">
          <w:pPr>
            <w:tabs>
              <w:tab w:val="right" w:pos="9025"/>
            </w:tabs>
            <w:spacing w:before="200" w:after="80" w:line="240" w:lineRule="auto"/>
            <w:rPr>
              <w:rFonts w:ascii="Source Sans Pro" w:eastAsia="Source Sans Pro" w:hAnsi="Source Sans Pro" w:cs="Source Sans Pro"/>
              <w:color w:val="000000"/>
            </w:rPr>
          </w:pPr>
          <w:hyperlink w:anchor="_49x2ik5">
            <w:r>
              <w:rPr>
                <w:rFonts w:ascii="Source Sans Pro" w:eastAsia="Source Sans Pro" w:hAnsi="Source Sans Pro" w:cs="Source Sans Pro"/>
                <w:color w:val="000000"/>
              </w:rPr>
              <w:t>Prilozi</w:t>
            </w:r>
          </w:hyperlink>
          <w:r>
            <w:rPr>
              <w:rFonts w:ascii="Source Sans Pro" w:eastAsia="Source Sans Pro" w:hAnsi="Source Sans Pro" w:cs="Source Sans Pro"/>
              <w:color w:val="000000"/>
            </w:rPr>
            <w:tab/>
          </w:r>
          <w:r>
            <w:fldChar w:fldCharType="begin"/>
          </w:r>
          <w:r>
            <w:instrText xml:space="preserve"> PAGEREF _49x2ik5 \h </w:instrText>
          </w:r>
          <w:r>
            <w:fldChar w:fldCharType="separate"/>
          </w:r>
          <w:r w:rsidR="0033749F">
            <w:rPr>
              <w:noProof/>
            </w:rPr>
            <w:t>66</w:t>
          </w:r>
          <w:r>
            <w:fldChar w:fldCharType="end"/>
          </w:r>
          <w:r>
            <w:fldChar w:fldCharType="end"/>
          </w:r>
        </w:p>
      </w:sdtContent>
    </w:sdt>
    <w:p w14:paraId="1B00D192" w14:textId="77777777" w:rsidR="002F7564" w:rsidRDefault="002F7564">
      <w:pPr>
        <w:rPr>
          <w:rFonts w:ascii="Source Sans Pro" w:eastAsia="Source Sans Pro" w:hAnsi="Source Sans Pro" w:cs="Source Sans Pro"/>
        </w:rPr>
      </w:pPr>
    </w:p>
    <w:p w14:paraId="09749A52" w14:textId="77777777" w:rsidR="002F7564" w:rsidRDefault="002F7564">
      <w:pPr>
        <w:rPr>
          <w:rFonts w:ascii="Source Sans Pro" w:eastAsia="Source Sans Pro" w:hAnsi="Source Sans Pro" w:cs="Source Sans Pro"/>
        </w:rPr>
      </w:pPr>
    </w:p>
    <w:p w14:paraId="5950EBD1" w14:textId="77777777" w:rsidR="002F7564" w:rsidRDefault="00000000">
      <w:pPr>
        <w:pStyle w:val="Heading1"/>
        <w:ind w:firstLine="720"/>
      </w:pPr>
      <w:bookmarkStart w:id="0" w:name="_gjdgxs" w:colFirst="0" w:colLast="0"/>
      <w:bookmarkEnd w:id="0"/>
      <w:r>
        <w:lastRenderedPageBreak/>
        <w:t>1. Uvod</w:t>
      </w:r>
    </w:p>
    <w:p w14:paraId="10739B54" w14:textId="77777777" w:rsidR="002F7564" w:rsidRDefault="002F7564">
      <w:pPr>
        <w:jc w:val="both"/>
        <w:rPr>
          <w:rFonts w:ascii="Source Sans Pro" w:eastAsia="Source Sans Pro" w:hAnsi="Source Sans Pro" w:cs="Source Sans Pro"/>
        </w:rPr>
      </w:pPr>
    </w:p>
    <w:p w14:paraId="3E1A964B"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Strategija razvoja Urbanog područja Koprivnica (u daljnjem tekstu, SRUP) planski je dokument politike regionalnog razvoja kojim se utvrđuju ciljevi i prioriteti razvoja Urbanog područja. Sukladno Zakonu o regionalnom razvoju Republike Hrvatske (NN 147/14, 123/17, 118/18), urbana područja ustrojavaju se radi učinkovitijeg planiranja, usklađivanja i provedbe politike regionalnog razvoja, posebno njezine urbane dimenzije, i to kao urbane aglomeracije, veća urbana područja i manja urbana područja. Urbano područje Koprivnica pripada kategoriji manjih urbanih područja - odnosno gradova koji imaju manje od 35.000 stanovnika, a čije središnje naselje ima više od 10.000 stanovnika i/ili je sjedište županije. Sukladno tome, Grad Koprivnica središte je Urbanog područja te nositelj izrade Strategije razvoja Urbanog područja Koprivnica za razdoblje 2021.-2027.</w:t>
      </w:r>
    </w:p>
    <w:p w14:paraId="1D049E9A" w14:textId="77777777" w:rsidR="002F7564" w:rsidRDefault="002F7564">
      <w:pPr>
        <w:jc w:val="both"/>
        <w:rPr>
          <w:rFonts w:ascii="Source Sans Pro" w:eastAsia="Source Sans Pro" w:hAnsi="Source Sans Pro" w:cs="Source Sans Pro"/>
        </w:rPr>
      </w:pPr>
    </w:p>
    <w:p w14:paraId="55454E3D"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Uvođenje ciljano usmjerenog pristupa prema urbanim središtima dio je reforme kohezijske politike, potaknut sve većim udjelom stanovništva u urbanim područjima i činjenicom da su upravo gradovi u Republici Hrvatskoj generatori gospodarskog i ukupnog društvenog razvoja određenog područja. Provedba teritorijalnog pristupa razvoja urbanih područja zbog specifičnih socio-ekonomskih izazova s kojima se gradovi suočavaju prvi je puta uvedena u prošlom višegodišnjem financijskom razdoblju, 2014.-2020., uvođenjem mehanizma integriranih teritorijalnih ulaganja (ITU mehanizam). Nacionalno zakonodavstvo urbani razvoj prepoznaje kao čimbenik ravnomjernog regionalnog razvoja, te je uspostava urbanih područja definirana člankom 14. Zakona o regionalnom razvoju Republike Hrvatske  (NN 147/14, 123/17, 118/18). Povezano s definiranjem urbanih područja, Uredba (EU) 2021/1060 Europskog parlamenta i Vijeća od 24. lipnja 2021., članak 29., definira obvezu izrade teritorijalne strategije kako bi se ojačao integrirani pristup teritorijalnom razvoju, odnosno utvrdila ulaganja u obliku teritorijalnih alata kao što su integrirana teritorijalna ulaganja. Uredbom su definirani minimalni zahtjevi za sadržaj teritorijalne strategije i utvrđena obveza izrade teritorijalne strategije kao temeljnog strateškog dokumenta kojim se određuju ciljevi i prioriteti razvoja urbanih područja, a koja predstavlja preduvjet za korištenje ITU mehanizma. </w:t>
      </w:r>
    </w:p>
    <w:p w14:paraId="5ED76143" w14:textId="77777777" w:rsidR="002F7564" w:rsidRDefault="002F7564">
      <w:pPr>
        <w:jc w:val="both"/>
        <w:rPr>
          <w:rFonts w:ascii="Source Sans Pro" w:eastAsia="Source Sans Pro" w:hAnsi="Source Sans Pro" w:cs="Source Sans Pro"/>
        </w:rPr>
      </w:pPr>
    </w:p>
    <w:p w14:paraId="07BB1EC9"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U proteklom razdoblju, sredstva iz ITU mehanizma koristilo je osam najvećih urbanih središta u Republici Hrvatskoj - Zagreb, Split, Rijeka, Osijek, Zadar, Pula, Slavonski Brod i Karlovac, dok je u novom višegodišnjem financijskom okviru 2021.-2027. planirano korištenje ITU mehanizma u 22 grada. Proširenje ITU mehanizma doprinijet će jačanju uloge gradova i pripadajućih funkcionalnih urbanih područja te intenziviranju suradnje između svih sastavnica urbanih područja. Grad Koprivnica i pripadajuće, definirano područje, kao središte manjeg urbanog područja, ujedno i sjedište Županije, obuhvaćen je navedenim proširenjem te će u novom financijskom razdoblju imati na raspolaganju indikativnu alokaciju od 18 mil. EUR u okviru ITU mehanizma. Europskom regulativom definirano je minimalno izdvajanje za mjere održivog urbanog razvoja po državama članicama od 8% ukupne alokacije Europskog fonda za regionalni razvoj, a s obzirom na povećanje broja “ITU gradova” Republika Hrvatska u procesu programiranja prijedlog alokacije podignula je na 13% alokacije EFRR-a, odnosno 681 milijun EUR. </w:t>
      </w:r>
    </w:p>
    <w:p w14:paraId="3098B786" w14:textId="77777777" w:rsidR="002F7564" w:rsidRDefault="002F7564">
      <w:pPr>
        <w:jc w:val="both"/>
        <w:rPr>
          <w:rFonts w:ascii="Source Sans Pro" w:eastAsia="Source Sans Pro" w:hAnsi="Source Sans Pro" w:cs="Source Sans Pro"/>
        </w:rPr>
      </w:pPr>
    </w:p>
    <w:p w14:paraId="6DC5537D"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Sukladno ranije spomenutom uvjetu za korištenje sredstava ITU mehanizma, pokrenut je proces izrade Strategije razvoja Urbanog područja Koprivnica za razdoblje 2021.-2027., čemu je prethodilo </w:t>
      </w:r>
      <w:r>
        <w:rPr>
          <w:rFonts w:ascii="Source Sans Pro" w:eastAsia="Source Sans Pro" w:hAnsi="Source Sans Pro" w:cs="Source Sans Pro"/>
        </w:rPr>
        <w:lastRenderedPageBreak/>
        <w:t>definiranje obuhvata i uspostava urbanog područja, odnosno donošenje Odluke o ustrojavanju i sastavu manjeg urbanog područja Koprivnica (010-01/21-01/0003; URBROJ: 2137/01-03/2-21-35) 25. listopada 2021. Odlukom je utvrđeno kako Grad Koprivnica predstavlja središte urbanog područja čiji sastav obuhvaća još devet jedinica lokalne samouprave:</w:t>
      </w:r>
    </w:p>
    <w:p w14:paraId="4620CB03" w14:textId="77777777" w:rsidR="002F7564" w:rsidRDefault="00000000">
      <w:pPr>
        <w:numPr>
          <w:ilvl w:val="0"/>
          <w:numId w:val="7"/>
        </w:numPr>
        <w:jc w:val="both"/>
        <w:rPr>
          <w:rFonts w:ascii="Source Sans Pro" w:eastAsia="Source Sans Pro" w:hAnsi="Source Sans Pro" w:cs="Source Sans Pro"/>
        </w:rPr>
      </w:pPr>
      <w:r>
        <w:rPr>
          <w:rFonts w:ascii="Source Sans Pro" w:eastAsia="Source Sans Pro" w:hAnsi="Source Sans Pro" w:cs="Source Sans Pro"/>
        </w:rPr>
        <w:t>Općina Peteranec,</w:t>
      </w:r>
    </w:p>
    <w:p w14:paraId="7318FB71" w14:textId="77777777" w:rsidR="002F7564" w:rsidRDefault="00000000">
      <w:pPr>
        <w:numPr>
          <w:ilvl w:val="0"/>
          <w:numId w:val="7"/>
        </w:numPr>
        <w:jc w:val="both"/>
        <w:rPr>
          <w:rFonts w:ascii="Source Sans Pro" w:eastAsia="Source Sans Pro" w:hAnsi="Source Sans Pro" w:cs="Source Sans Pro"/>
        </w:rPr>
      </w:pPr>
      <w:r>
        <w:rPr>
          <w:rFonts w:ascii="Source Sans Pro" w:eastAsia="Source Sans Pro" w:hAnsi="Source Sans Pro" w:cs="Source Sans Pro"/>
        </w:rPr>
        <w:t>Općina Drnje,</w:t>
      </w:r>
    </w:p>
    <w:p w14:paraId="20731796" w14:textId="77777777" w:rsidR="002F7564" w:rsidRDefault="00000000">
      <w:pPr>
        <w:numPr>
          <w:ilvl w:val="0"/>
          <w:numId w:val="7"/>
        </w:numPr>
        <w:jc w:val="both"/>
        <w:rPr>
          <w:rFonts w:ascii="Source Sans Pro" w:eastAsia="Source Sans Pro" w:hAnsi="Source Sans Pro" w:cs="Source Sans Pro"/>
        </w:rPr>
      </w:pPr>
      <w:r>
        <w:rPr>
          <w:rFonts w:ascii="Source Sans Pro" w:eastAsia="Source Sans Pro" w:hAnsi="Source Sans Pro" w:cs="Source Sans Pro"/>
        </w:rPr>
        <w:t>Općina Koprivnički Bregi,</w:t>
      </w:r>
    </w:p>
    <w:p w14:paraId="7A5CA0F1" w14:textId="77777777" w:rsidR="002F7564" w:rsidRDefault="00000000">
      <w:pPr>
        <w:numPr>
          <w:ilvl w:val="0"/>
          <w:numId w:val="7"/>
        </w:numPr>
        <w:jc w:val="both"/>
        <w:rPr>
          <w:rFonts w:ascii="Source Sans Pro" w:eastAsia="Source Sans Pro" w:hAnsi="Source Sans Pro" w:cs="Source Sans Pro"/>
        </w:rPr>
      </w:pPr>
      <w:r>
        <w:rPr>
          <w:rFonts w:ascii="Source Sans Pro" w:eastAsia="Source Sans Pro" w:hAnsi="Source Sans Pro" w:cs="Source Sans Pro"/>
        </w:rPr>
        <w:t>Općina Sokolovac,</w:t>
      </w:r>
    </w:p>
    <w:p w14:paraId="4E973A61" w14:textId="77777777" w:rsidR="002F7564" w:rsidRDefault="00000000">
      <w:pPr>
        <w:numPr>
          <w:ilvl w:val="0"/>
          <w:numId w:val="7"/>
        </w:numPr>
        <w:jc w:val="both"/>
        <w:rPr>
          <w:rFonts w:ascii="Source Sans Pro" w:eastAsia="Source Sans Pro" w:hAnsi="Source Sans Pro" w:cs="Source Sans Pro"/>
        </w:rPr>
      </w:pPr>
      <w:r>
        <w:rPr>
          <w:rFonts w:ascii="Source Sans Pro" w:eastAsia="Source Sans Pro" w:hAnsi="Source Sans Pro" w:cs="Source Sans Pro"/>
        </w:rPr>
        <w:t>Općina Đelekovec,</w:t>
      </w:r>
    </w:p>
    <w:p w14:paraId="1AA78CC2" w14:textId="77777777" w:rsidR="002F7564" w:rsidRDefault="00000000">
      <w:pPr>
        <w:numPr>
          <w:ilvl w:val="0"/>
          <w:numId w:val="7"/>
        </w:numPr>
        <w:jc w:val="both"/>
        <w:rPr>
          <w:rFonts w:ascii="Source Sans Pro" w:eastAsia="Source Sans Pro" w:hAnsi="Source Sans Pro" w:cs="Source Sans Pro"/>
        </w:rPr>
      </w:pPr>
      <w:r>
        <w:rPr>
          <w:rFonts w:ascii="Source Sans Pro" w:eastAsia="Source Sans Pro" w:hAnsi="Source Sans Pro" w:cs="Source Sans Pro"/>
        </w:rPr>
        <w:t>Općina Hlebine,</w:t>
      </w:r>
    </w:p>
    <w:p w14:paraId="28CFA912" w14:textId="77777777" w:rsidR="002F7564" w:rsidRDefault="00000000">
      <w:pPr>
        <w:numPr>
          <w:ilvl w:val="0"/>
          <w:numId w:val="7"/>
        </w:numPr>
        <w:jc w:val="both"/>
        <w:rPr>
          <w:rFonts w:ascii="Source Sans Pro" w:eastAsia="Source Sans Pro" w:hAnsi="Source Sans Pro" w:cs="Source Sans Pro"/>
        </w:rPr>
      </w:pPr>
      <w:r>
        <w:rPr>
          <w:rFonts w:ascii="Source Sans Pro" w:eastAsia="Source Sans Pro" w:hAnsi="Source Sans Pro" w:cs="Source Sans Pro"/>
        </w:rPr>
        <w:t>Općina Koprivnički lvanec,</w:t>
      </w:r>
    </w:p>
    <w:p w14:paraId="4195F307" w14:textId="77777777" w:rsidR="002F7564" w:rsidRDefault="00000000">
      <w:pPr>
        <w:numPr>
          <w:ilvl w:val="0"/>
          <w:numId w:val="7"/>
        </w:numPr>
        <w:jc w:val="both"/>
        <w:rPr>
          <w:rFonts w:ascii="Source Sans Pro" w:eastAsia="Source Sans Pro" w:hAnsi="Source Sans Pro" w:cs="Source Sans Pro"/>
        </w:rPr>
      </w:pPr>
      <w:r>
        <w:rPr>
          <w:rFonts w:ascii="Source Sans Pro" w:eastAsia="Source Sans Pro" w:hAnsi="Source Sans Pro" w:cs="Source Sans Pro"/>
        </w:rPr>
        <w:t>Općina Rasinja</w:t>
      </w:r>
    </w:p>
    <w:p w14:paraId="30992511" w14:textId="77777777" w:rsidR="002F7564" w:rsidRDefault="00000000">
      <w:pPr>
        <w:numPr>
          <w:ilvl w:val="0"/>
          <w:numId w:val="7"/>
        </w:numPr>
        <w:jc w:val="both"/>
        <w:rPr>
          <w:rFonts w:ascii="Source Sans Pro" w:eastAsia="Source Sans Pro" w:hAnsi="Source Sans Pro" w:cs="Source Sans Pro"/>
        </w:rPr>
      </w:pPr>
      <w:r>
        <w:rPr>
          <w:rFonts w:ascii="Source Sans Pro" w:eastAsia="Source Sans Pro" w:hAnsi="Source Sans Pro" w:cs="Source Sans Pro"/>
        </w:rPr>
        <w:t>Općina Novigrad Podravski.</w:t>
      </w:r>
    </w:p>
    <w:p w14:paraId="7E2FC8A0" w14:textId="77777777" w:rsidR="002F7564" w:rsidRDefault="002F7564">
      <w:pPr>
        <w:jc w:val="both"/>
        <w:rPr>
          <w:rFonts w:ascii="Source Sans Pro" w:eastAsia="Source Sans Pro" w:hAnsi="Source Sans Pro" w:cs="Source Sans Pro"/>
        </w:rPr>
      </w:pPr>
    </w:p>
    <w:p w14:paraId="0A309EF6"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Postupak izrade Strategije pokrenut je donošenjem Odluke o pokretanju postupka izrade Strategije razvoja manjeg Urbanog područja Koprivnica za financijsko razdoblje od 2021. do 2027. godine (KIASA: 010-01/21-01/0003, URBROJ: 2137/01-03/2-21-36), a kao dio institucionalnog okvira osnovano je Koordinacijsko vijeće (Odlukom o osnivanju i imenovanju Koordinacijskog vijeća manjeg urbanog područja Koprivnica) i Partnersko vijeće (Odlukom o osnivanju i imenovanju Partnerskog vijeća za izradu i praćenje Strategije razvoja manjeg urbanog područja Koprivnica za financijsko razdoblje od 2021. do 2027. godine).</w:t>
      </w:r>
    </w:p>
    <w:p w14:paraId="064EE829" w14:textId="77777777" w:rsidR="002F7564" w:rsidRDefault="00000000">
      <w:pPr>
        <w:jc w:val="both"/>
        <w:rPr>
          <w:rFonts w:ascii="Source Sans Pro" w:eastAsia="Source Sans Pro" w:hAnsi="Source Sans Pro" w:cs="Source Sans Pro"/>
          <w:i/>
        </w:rPr>
      </w:pPr>
      <w:r>
        <w:rPr>
          <w:rFonts w:ascii="Source Sans Pro" w:eastAsia="Source Sans Pro" w:hAnsi="Source Sans Pro" w:cs="Source Sans Pro"/>
        </w:rPr>
        <w:t xml:space="preserve">Koordinacijsko vijeće, tijelo je zaduženo za koordinaciju izrade, izmjene i/ili dopune, donošenja, provedbe i praćenja provedbe strategije razvoja urbanog područja, a čine ga gradonačelnici i načelnici svih gradova i općina koje su u sastavu urbanog područja. Partnersko vijeće formirano je s ciljem sudjelovanja u donošenju SRUP-a i utvrđivanja prioriteta, a sastavljeno je sukladno načelu partnerstva i suradnje, vodeći računa o zastupljenosti različitih aktera iz urbanog područja kao i zastupljenosti predstavnika iz svih jedinica lokalne samouprave. Opis sudjelovanja partnera, te rad i aktivnosti Partnerskog vijeća detaljno su prikazane u poglavlju 3. </w:t>
      </w:r>
      <w:r>
        <w:rPr>
          <w:rFonts w:ascii="Source Sans Pro" w:eastAsia="Source Sans Pro" w:hAnsi="Source Sans Pro" w:cs="Source Sans Pro"/>
          <w:i/>
        </w:rPr>
        <w:t xml:space="preserve">Opis sudjelovanja partnera u pripremi i provedbi SRUP-a. </w:t>
      </w:r>
    </w:p>
    <w:p w14:paraId="1C2D277E" w14:textId="77777777" w:rsidR="002F7564" w:rsidRDefault="002F7564">
      <w:pPr>
        <w:jc w:val="both"/>
        <w:rPr>
          <w:rFonts w:ascii="Source Sans Pro" w:eastAsia="Source Sans Pro" w:hAnsi="Source Sans Pro" w:cs="Source Sans Pro"/>
        </w:rPr>
      </w:pPr>
    </w:p>
    <w:p w14:paraId="0B50C1E7"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Nadalje, sukladno obavezama definiranim Smjernicama za uspostavu urbanih područja i izradu strategija razvoja urbanih područja za financijsko razdoblje 2021.-2027., verzija 2.0. (u daljnjem tekstu, Smjernice) pokrenut je proces prethodnog vrednovanja tijekom izrade SRUP-a koje provodi nezavisno stručno tijelo. Provedbom prethodnog vrednovanja osigurava se poboljšanje kvalitete SRUP-a, a time ujedno i kvalitete cjelokupnog procesa programiranja, te su preporuke i doprinosi vanjskih evaluatora integrirane u sadržaj SRUP-a tijekom procesa izrade. Sažetak prethodnog vrednovanja sastavni je dio SRUP-a (Prilog 3). </w:t>
      </w:r>
    </w:p>
    <w:p w14:paraId="342B6614"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Osim provedbe prethodnog vrednovanja, Smjernicama je definirana i obveza strateške procjene utjecaja na okoliš, kojom se procjenjuju vjerojatno značajni učinci na okoliš do kojih može doći uslijed provedbe SRUP-a. Odluka o započinjanju postupka ocjene o potrebi strateške procjene utjecaja na okoliš Strategije razvoja manjeg urbanog područja Koprivnica (KLASA: 351-01/21-01/0003, URBROJ: 2137/01-03-02/3-21-1) donesena je 15. prosinca 2021. godine, a u  postupku Ocjene o potrebi strateške procjene utjecaja na okoliš utvrđeno je da provedba SRUP-a neće imati vjerojatno značajan utjecaj na okoliš te da je prihvatljiva za ekološku mrežu, na osnovu čega je </w:t>
      </w:r>
      <w:r>
        <w:rPr>
          <w:rFonts w:ascii="Source Sans Pro" w:eastAsia="Source Sans Pro" w:hAnsi="Source Sans Pro" w:cs="Source Sans Pro"/>
        </w:rPr>
        <w:lastRenderedPageBreak/>
        <w:t>utvrđeno da nije potrebno provesti postupak strateške procjene utjecaja na okoliš. U cilju utvrđivanja vjerojatno značajnog utjecaja na okoliš za SRUP Grad Koprivnica je zatražio mišljenja tijela i/ili osoba određenih posebnim propisima:</w:t>
      </w:r>
    </w:p>
    <w:p w14:paraId="7FF7D8B7"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Ministarstvo prostornog uređenja, graditeljstva i državne imovine;</w:t>
      </w:r>
    </w:p>
    <w:p w14:paraId="6241E14F"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Ministarstvo mora, prometa i infrastrukture;</w:t>
      </w:r>
    </w:p>
    <w:p w14:paraId="146D8538"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Ministarstvo kulture i medija, Uprava za zaštitu kulturne baštine, Konzervatorski odjel u Bjelovaru;</w:t>
      </w:r>
    </w:p>
    <w:p w14:paraId="489C6FF0"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Ministarstvo poljoprivrede, Uprava šumarstva, lovstva i drvne industrije;</w:t>
      </w:r>
    </w:p>
    <w:p w14:paraId="347F25AD"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Ministarstvo unutarnjih poslova, Ravnateljstvo civilne zaštite, Područni ured civilne zaštite Varaždin, Služba civilne zaštite Koprivnica;</w:t>
      </w:r>
    </w:p>
    <w:p w14:paraId="0CD52F60"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Koprivničko-križevačka županija, Upravni odjel za gospodarstvo, komunalne djelatnosti i poljoprivredu;</w:t>
      </w:r>
    </w:p>
    <w:p w14:paraId="69871AF6"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Javna ustanova za upravljanje zaštićenim prirodnim vrijednostima na području Koprivničko-križevačke županije;</w:t>
      </w:r>
    </w:p>
    <w:p w14:paraId="7F224C32"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Zavod za prostorno uređenje Koprivničko-križevačke županije;</w:t>
      </w:r>
    </w:p>
    <w:p w14:paraId="61D20B87"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Hrvatske ceste d.o.o.;</w:t>
      </w:r>
    </w:p>
    <w:p w14:paraId="52113380"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Hrvatske vode, VGO za Muru i gornju Dravu;</w:t>
      </w:r>
    </w:p>
    <w:p w14:paraId="78F1A032"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Uprava šuma, Podružnica Koprivnica;</w:t>
      </w:r>
    </w:p>
    <w:p w14:paraId="689B912D"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HEP ODS d.o.o., Elektra Koprivnica;</w:t>
      </w:r>
    </w:p>
    <w:p w14:paraId="331D64A8"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GKP Komunalac d.o.o.;</w:t>
      </w:r>
    </w:p>
    <w:p w14:paraId="09AB5DCC"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Koprivnica plin d.o.o.;</w:t>
      </w:r>
    </w:p>
    <w:p w14:paraId="0E3A09A5"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Koprivničke vode d.o.o.;</w:t>
      </w:r>
    </w:p>
    <w:p w14:paraId="6390AAB3"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Grad Koprivnica, Upravni odjel za izgradnju grada, upravljanje nekretninama i komunalno gospodarstvo;</w:t>
      </w:r>
    </w:p>
    <w:p w14:paraId="3FF171DD"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Općina Drnje;</w:t>
      </w:r>
    </w:p>
    <w:p w14:paraId="2CAA0726"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Općina Đelekovec;</w:t>
      </w:r>
    </w:p>
    <w:p w14:paraId="11E10ACF"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Općina Hlebine;</w:t>
      </w:r>
    </w:p>
    <w:p w14:paraId="01685E0D"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Općina Koprivnički Ivanec;</w:t>
      </w:r>
    </w:p>
    <w:p w14:paraId="1BECCAB4"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Općina Novigrad Podravski;</w:t>
      </w:r>
    </w:p>
    <w:p w14:paraId="662914C9"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Općina Peteranec;</w:t>
      </w:r>
    </w:p>
    <w:p w14:paraId="510F4D9B"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Općina Sokolovac;</w:t>
      </w:r>
    </w:p>
    <w:p w14:paraId="532108BA" w14:textId="77777777" w:rsidR="002F7564" w:rsidRDefault="00000000">
      <w:pPr>
        <w:numPr>
          <w:ilvl w:val="0"/>
          <w:numId w:val="16"/>
        </w:numPr>
        <w:jc w:val="both"/>
        <w:rPr>
          <w:rFonts w:ascii="Source Sans Pro" w:eastAsia="Source Sans Pro" w:hAnsi="Source Sans Pro" w:cs="Source Sans Pro"/>
        </w:rPr>
      </w:pPr>
      <w:r>
        <w:rPr>
          <w:rFonts w:ascii="Source Sans Pro" w:eastAsia="Source Sans Pro" w:hAnsi="Source Sans Pro" w:cs="Source Sans Pro"/>
        </w:rPr>
        <w:t xml:space="preserve">Općina Rasinja. </w:t>
      </w:r>
    </w:p>
    <w:p w14:paraId="3558A41C" w14:textId="77777777" w:rsidR="002F7564" w:rsidRDefault="002F7564">
      <w:pPr>
        <w:jc w:val="both"/>
        <w:rPr>
          <w:rFonts w:ascii="Source Sans Pro" w:eastAsia="Source Sans Pro" w:hAnsi="Source Sans Pro" w:cs="Source Sans Pro"/>
        </w:rPr>
      </w:pPr>
    </w:p>
    <w:p w14:paraId="249C862A"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Javna ustanova za upravljanje zaštićenim prirodnim vrijednostima na području Koprivničko-križevačke županije uz očitovanje da nije potrebno provesti postupak strateške procjene utjecaja na okoliš, istaknula je da je za pojedine projekte i zahvate koji proizlaze iz SRUP-a potrebno provesti postupak ocjene prihvatljivosti za ekološku mrežu, a Upravni odjel za prostorno uređenje, gradnju, zaštitu okoliša i zaštitu prirode Koprivničko-križevačke županije, proveo je Prethodnu ocjenu prihvatljivosti strategije za ekološku mrežu sukladno sukladno kojoj nije identificirana potreba za provođenjem postupka strateške procjene utjecaja na okoliš niti Glavne ocjene za ekološku mrežu. </w:t>
      </w:r>
    </w:p>
    <w:p w14:paraId="23D3B162" w14:textId="77777777" w:rsidR="002F7564" w:rsidRDefault="002F7564">
      <w:pPr>
        <w:jc w:val="both"/>
        <w:rPr>
          <w:rFonts w:ascii="Source Sans Pro" w:eastAsia="Source Sans Pro" w:hAnsi="Source Sans Pro" w:cs="Source Sans Pro"/>
        </w:rPr>
      </w:pPr>
    </w:p>
    <w:p w14:paraId="0B48B1F4" w14:textId="77777777" w:rsidR="002F7564" w:rsidRDefault="00000000">
      <w:pPr>
        <w:jc w:val="both"/>
        <w:rPr>
          <w:rFonts w:ascii="Source Sans Pro" w:eastAsia="Source Sans Pro" w:hAnsi="Source Sans Pro" w:cs="Source Sans Pro"/>
          <w:i/>
        </w:rPr>
      </w:pPr>
      <w:r>
        <w:rPr>
          <w:rFonts w:ascii="Source Sans Pro" w:eastAsia="Source Sans Pro" w:hAnsi="Source Sans Pro" w:cs="Source Sans Pro"/>
        </w:rPr>
        <w:t xml:space="preserve">Završno, procesu strateškog planiranja razvoja Urbanog područja Koprivnica doprinijelo je i prethodno iskustvo jedinica lokalne samouprave u strateškom planiranju razvoja te izradi  strateških i razvojnih dokumenata na pojedinačnoj razini. S obzirom da je na nacionalnoj razini </w:t>
      </w:r>
      <w:r>
        <w:rPr>
          <w:rFonts w:ascii="Source Sans Pro" w:eastAsia="Source Sans Pro" w:hAnsi="Source Sans Pro" w:cs="Source Sans Pro"/>
        </w:rPr>
        <w:lastRenderedPageBreak/>
        <w:t xml:space="preserve">uspostavljen integrirani sustav strateškog planiranja i upravljanja razvojem, jedinice lokalne i područne (regionalne) samouprave u recentnom razdoblju bile su obvezne izraditi kratkoročne akte strateškog planiranja. Izuzev općina Sokolovac i Hlebine, sve ostale JLS u sastavu UP Koprivnica izradile su kratkoročne akte - provedbene programe vezane uz mandatno razdoblje. Grad Koprivnica, osim provedbenim programom,  sustavan strateški pristup razvoju definirao je i donošenjem srednjoročnog akta strateškog planiranja - Strategije razvoja grada Koprivnice do 2030. godine te sektorskim dokumentima u području prometa </w:t>
      </w:r>
      <w:r>
        <w:rPr>
          <w:rFonts w:ascii="Source Sans Pro" w:eastAsia="Source Sans Pro" w:hAnsi="Source Sans Pro" w:cs="Source Sans Pro"/>
          <w:i/>
        </w:rPr>
        <w:t>(Plan održive mobilnosti Grada Koprivnice - SUMP)</w:t>
      </w:r>
      <w:r>
        <w:rPr>
          <w:rFonts w:ascii="Source Sans Pro" w:eastAsia="Source Sans Pro" w:hAnsi="Source Sans Pro" w:cs="Source Sans Pro"/>
        </w:rPr>
        <w:t>, energetike i održivog razvoja (</w:t>
      </w:r>
      <w:r>
        <w:rPr>
          <w:rFonts w:ascii="Source Sans Pro" w:eastAsia="Source Sans Pro" w:hAnsi="Source Sans Pro" w:cs="Source Sans Pro"/>
          <w:i/>
        </w:rPr>
        <w:t xml:space="preserve">Akcijski plan energetski i klimatski održivog razvitka (SECAP) Grada Koprivnice) </w:t>
      </w:r>
      <w:r>
        <w:rPr>
          <w:rFonts w:ascii="Source Sans Pro" w:eastAsia="Source Sans Pro" w:hAnsi="Source Sans Pro" w:cs="Source Sans Pro"/>
        </w:rPr>
        <w:t xml:space="preserve">te turizma </w:t>
      </w:r>
      <w:r>
        <w:rPr>
          <w:rFonts w:ascii="Source Sans Pro" w:eastAsia="Source Sans Pro" w:hAnsi="Source Sans Pro" w:cs="Source Sans Pro"/>
          <w:i/>
        </w:rPr>
        <w:t>(Strategija razvoja turizma Grada Koprivnice i okolice</w:t>
      </w:r>
    </w:p>
    <w:p w14:paraId="7EDF9DB3"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i/>
        </w:rPr>
        <w:t>do 2025. godine)</w:t>
      </w:r>
      <w:r>
        <w:rPr>
          <w:rFonts w:ascii="Source Sans Pro" w:eastAsia="Source Sans Pro" w:hAnsi="Source Sans Pro" w:cs="Source Sans Pro"/>
        </w:rPr>
        <w:t xml:space="preserve"> čime potkrepljuje svoju ulogu grada središta Urbanog područja i nositelja izrade SRUP-a. </w:t>
      </w:r>
    </w:p>
    <w:p w14:paraId="63B1E7D7"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Iako JLS u sastavu Urbanog područja Koprivnica do izrade SRUP-a nisu imale iskustvo u zajedničkom strateškom planiranju razvoja i implementaciji teritorijalnog pristupa razvoju urbanog područja u cjelini, zajedničke razvojne potrebe i potencijali područja te zajednička vizija napretka - uz formalni institucionalni okvir - osnova su suradnje u izradi i provedbi Strategije razvoja Urbanog područja Koprivnica za razdoblje 2021.-2027. Zajednička suradnja u provedbi ove Strategije će svakako biti novitet u poslovanju uključenih jedinica lokalne samouprave, ali je također neophodna za zajednički razvoj i njegovo promišljeno upravljanje. </w:t>
      </w:r>
    </w:p>
    <w:p w14:paraId="3B182136" w14:textId="77777777" w:rsidR="002F7564" w:rsidRDefault="002F7564">
      <w:pPr>
        <w:jc w:val="both"/>
        <w:rPr>
          <w:rFonts w:ascii="Source Sans Pro" w:eastAsia="Source Sans Pro" w:hAnsi="Source Sans Pro" w:cs="Source Sans Pro"/>
        </w:rPr>
      </w:pPr>
    </w:p>
    <w:p w14:paraId="27BEE2FE" w14:textId="77777777" w:rsidR="002F7564" w:rsidRDefault="002F7564">
      <w:pPr>
        <w:jc w:val="both"/>
        <w:rPr>
          <w:rFonts w:ascii="Source Sans Pro" w:eastAsia="Source Sans Pro" w:hAnsi="Source Sans Pro" w:cs="Source Sans Pro"/>
        </w:rPr>
      </w:pPr>
    </w:p>
    <w:p w14:paraId="611703F6" w14:textId="77777777" w:rsidR="002F7564" w:rsidRDefault="002F7564">
      <w:pPr>
        <w:jc w:val="both"/>
        <w:rPr>
          <w:rFonts w:ascii="Source Sans Pro" w:eastAsia="Source Sans Pro" w:hAnsi="Source Sans Pro" w:cs="Source Sans Pro"/>
        </w:rPr>
      </w:pPr>
    </w:p>
    <w:p w14:paraId="4AFFDE77" w14:textId="77777777" w:rsidR="002F7564" w:rsidRDefault="002F7564">
      <w:pPr>
        <w:jc w:val="both"/>
        <w:rPr>
          <w:rFonts w:ascii="Source Sans Pro" w:eastAsia="Source Sans Pro" w:hAnsi="Source Sans Pro" w:cs="Source Sans Pro"/>
        </w:rPr>
      </w:pPr>
    </w:p>
    <w:p w14:paraId="55065CDC" w14:textId="77777777" w:rsidR="002F7564" w:rsidRDefault="002F7564">
      <w:pPr>
        <w:jc w:val="both"/>
        <w:rPr>
          <w:rFonts w:ascii="Source Sans Pro" w:eastAsia="Source Sans Pro" w:hAnsi="Source Sans Pro" w:cs="Source Sans Pro"/>
        </w:rPr>
      </w:pPr>
    </w:p>
    <w:p w14:paraId="702557C2" w14:textId="77777777" w:rsidR="002F7564" w:rsidRDefault="002F7564">
      <w:pPr>
        <w:jc w:val="both"/>
        <w:rPr>
          <w:rFonts w:ascii="Source Sans Pro" w:eastAsia="Source Sans Pro" w:hAnsi="Source Sans Pro" w:cs="Source Sans Pro"/>
        </w:rPr>
      </w:pPr>
    </w:p>
    <w:p w14:paraId="63A4A6A2" w14:textId="77777777" w:rsidR="002F7564" w:rsidRDefault="002F7564">
      <w:pPr>
        <w:jc w:val="both"/>
        <w:rPr>
          <w:rFonts w:ascii="Source Sans Pro" w:eastAsia="Source Sans Pro" w:hAnsi="Source Sans Pro" w:cs="Source Sans Pro"/>
        </w:rPr>
      </w:pPr>
    </w:p>
    <w:p w14:paraId="3E998A1D" w14:textId="77777777" w:rsidR="002F7564" w:rsidRDefault="002F7564">
      <w:pPr>
        <w:jc w:val="both"/>
        <w:rPr>
          <w:rFonts w:ascii="Source Sans Pro" w:eastAsia="Source Sans Pro" w:hAnsi="Source Sans Pro" w:cs="Source Sans Pro"/>
        </w:rPr>
      </w:pPr>
    </w:p>
    <w:p w14:paraId="23545EA4" w14:textId="77777777" w:rsidR="002F7564" w:rsidRDefault="002F7564">
      <w:pPr>
        <w:jc w:val="both"/>
        <w:rPr>
          <w:rFonts w:ascii="Source Sans Pro" w:eastAsia="Source Sans Pro" w:hAnsi="Source Sans Pro" w:cs="Source Sans Pro"/>
        </w:rPr>
      </w:pPr>
    </w:p>
    <w:p w14:paraId="76BF86D4" w14:textId="77777777" w:rsidR="002F7564" w:rsidRDefault="002F7564">
      <w:pPr>
        <w:jc w:val="both"/>
        <w:rPr>
          <w:rFonts w:ascii="Source Sans Pro" w:eastAsia="Source Sans Pro" w:hAnsi="Source Sans Pro" w:cs="Source Sans Pro"/>
        </w:rPr>
      </w:pPr>
    </w:p>
    <w:p w14:paraId="2CA45745" w14:textId="77777777" w:rsidR="002F7564" w:rsidRDefault="002F7564">
      <w:pPr>
        <w:jc w:val="both"/>
        <w:rPr>
          <w:rFonts w:ascii="Source Sans Pro" w:eastAsia="Source Sans Pro" w:hAnsi="Source Sans Pro" w:cs="Source Sans Pro"/>
        </w:rPr>
      </w:pPr>
    </w:p>
    <w:p w14:paraId="37B4CD68" w14:textId="77777777" w:rsidR="002F7564" w:rsidRDefault="002F7564">
      <w:pPr>
        <w:jc w:val="both"/>
        <w:rPr>
          <w:rFonts w:ascii="Source Sans Pro" w:eastAsia="Source Sans Pro" w:hAnsi="Source Sans Pro" w:cs="Source Sans Pro"/>
        </w:rPr>
      </w:pPr>
    </w:p>
    <w:p w14:paraId="2E38D25E" w14:textId="77777777" w:rsidR="002F7564" w:rsidRDefault="002F7564">
      <w:pPr>
        <w:jc w:val="both"/>
        <w:rPr>
          <w:rFonts w:ascii="Source Sans Pro" w:eastAsia="Source Sans Pro" w:hAnsi="Source Sans Pro" w:cs="Source Sans Pro"/>
        </w:rPr>
      </w:pPr>
    </w:p>
    <w:p w14:paraId="54EB33D8" w14:textId="77777777" w:rsidR="002F7564" w:rsidRDefault="002F7564">
      <w:pPr>
        <w:jc w:val="both"/>
        <w:rPr>
          <w:rFonts w:ascii="Source Sans Pro" w:eastAsia="Source Sans Pro" w:hAnsi="Source Sans Pro" w:cs="Source Sans Pro"/>
        </w:rPr>
      </w:pPr>
    </w:p>
    <w:p w14:paraId="5E30BB2F" w14:textId="77777777" w:rsidR="002F7564" w:rsidRDefault="002F7564">
      <w:pPr>
        <w:jc w:val="both"/>
        <w:rPr>
          <w:rFonts w:ascii="Source Sans Pro" w:eastAsia="Source Sans Pro" w:hAnsi="Source Sans Pro" w:cs="Source Sans Pro"/>
        </w:rPr>
      </w:pPr>
    </w:p>
    <w:p w14:paraId="0E89F27D" w14:textId="77777777" w:rsidR="002F7564" w:rsidRDefault="002F7564">
      <w:pPr>
        <w:jc w:val="both"/>
        <w:rPr>
          <w:rFonts w:ascii="Source Sans Pro" w:eastAsia="Source Sans Pro" w:hAnsi="Source Sans Pro" w:cs="Source Sans Pro"/>
        </w:rPr>
      </w:pPr>
    </w:p>
    <w:p w14:paraId="5D2854EA" w14:textId="77777777" w:rsidR="002F7564" w:rsidRDefault="002F7564">
      <w:pPr>
        <w:jc w:val="both"/>
        <w:rPr>
          <w:rFonts w:ascii="Source Sans Pro" w:eastAsia="Source Sans Pro" w:hAnsi="Source Sans Pro" w:cs="Source Sans Pro"/>
        </w:rPr>
      </w:pPr>
    </w:p>
    <w:p w14:paraId="6F4E74FD" w14:textId="77777777" w:rsidR="002F7564" w:rsidRDefault="002F7564">
      <w:pPr>
        <w:jc w:val="both"/>
        <w:rPr>
          <w:rFonts w:ascii="Source Sans Pro" w:eastAsia="Source Sans Pro" w:hAnsi="Source Sans Pro" w:cs="Source Sans Pro"/>
        </w:rPr>
      </w:pPr>
    </w:p>
    <w:p w14:paraId="2FEB01E7" w14:textId="77777777" w:rsidR="002F7564" w:rsidRDefault="002F7564">
      <w:pPr>
        <w:jc w:val="both"/>
        <w:rPr>
          <w:rFonts w:ascii="Source Sans Pro" w:eastAsia="Source Sans Pro" w:hAnsi="Source Sans Pro" w:cs="Source Sans Pro"/>
        </w:rPr>
      </w:pPr>
    </w:p>
    <w:p w14:paraId="65B4B549" w14:textId="77777777" w:rsidR="002F7564" w:rsidRDefault="002F7564">
      <w:pPr>
        <w:jc w:val="both"/>
        <w:rPr>
          <w:rFonts w:ascii="Source Sans Pro" w:eastAsia="Source Sans Pro" w:hAnsi="Source Sans Pro" w:cs="Source Sans Pro"/>
        </w:rPr>
      </w:pPr>
    </w:p>
    <w:p w14:paraId="609B9E77" w14:textId="77777777" w:rsidR="002F7564" w:rsidRDefault="002F7564">
      <w:pPr>
        <w:jc w:val="both"/>
        <w:rPr>
          <w:rFonts w:ascii="Source Sans Pro" w:eastAsia="Source Sans Pro" w:hAnsi="Source Sans Pro" w:cs="Source Sans Pro"/>
        </w:rPr>
      </w:pPr>
    </w:p>
    <w:p w14:paraId="4D1B191D" w14:textId="77777777" w:rsidR="002F7564" w:rsidRDefault="002F7564">
      <w:pPr>
        <w:jc w:val="both"/>
        <w:rPr>
          <w:rFonts w:ascii="Source Sans Pro" w:eastAsia="Source Sans Pro" w:hAnsi="Source Sans Pro" w:cs="Source Sans Pro"/>
        </w:rPr>
      </w:pPr>
    </w:p>
    <w:p w14:paraId="239F5E3B" w14:textId="6BC25755" w:rsidR="00226205" w:rsidRDefault="00226205">
      <w:pPr>
        <w:jc w:val="both"/>
        <w:rPr>
          <w:rFonts w:ascii="Source Sans Pro" w:eastAsia="Source Sans Pro" w:hAnsi="Source Sans Pro" w:cs="Source Sans Pro"/>
        </w:rPr>
      </w:pPr>
      <w:r>
        <w:rPr>
          <w:rFonts w:ascii="Source Sans Pro" w:eastAsia="Source Sans Pro" w:hAnsi="Source Sans Pro" w:cs="Source Sans Pro"/>
        </w:rPr>
        <w:br w:type="page"/>
      </w:r>
    </w:p>
    <w:p w14:paraId="33EEB81A" w14:textId="77777777" w:rsidR="002F7564" w:rsidRDefault="00000000">
      <w:pPr>
        <w:pStyle w:val="Heading1"/>
        <w:ind w:firstLine="720"/>
      </w:pPr>
      <w:bookmarkStart w:id="1" w:name="_30j0zll" w:colFirst="0" w:colLast="0"/>
      <w:bookmarkEnd w:id="1"/>
      <w:r>
        <w:lastRenderedPageBreak/>
        <w:t>2. Zemljopisno područje koje SRUP obuhvaća</w:t>
      </w:r>
    </w:p>
    <w:p w14:paraId="68199FE6" w14:textId="77777777" w:rsidR="002F7564" w:rsidRDefault="002F7564">
      <w:pPr>
        <w:rPr>
          <w:rFonts w:ascii="Source Sans Pro" w:eastAsia="Source Sans Pro" w:hAnsi="Source Sans Pro" w:cs="Source Sans Pro"/>
          <w:b/>
          <w:sz w:val="24"/>
          <w:szCs w:val="24"/>
        </w:rPr>
      </w:pPr>
    </w:p>
    <w:p w14:paraId="3A182E52"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Teritorijalni obuhvat urbanog područja polazišna je osnova za izradu Strategije razvoja Urbanog područja, pa je u okviru poglavlja na samom početku SRUP-a opisano zemljopisno područje koje obuhvaća Urbano područje Koprivnica, kao i način definiranja obuhvata administrativno teritorijalnog područja okolnih JLS-ova koji imaju snažne funkcionalne i gospodarske veze s gradom središtem. Pored relevantnih geoprostornih i geoprometnih karakteristika Urbanog područja, dalje u poglavlju prikazano je pozicioniranje Urbanog područja Koprivnica u Republici Hrvatskoj i Europskoj uniji, ponajviše kroz prometnu mrežu, što daje širi razvojni kontekst. </w:t>
      </w:r>
    </w:p>
    <w:p w14:paraId="4CB5CB9E" w14:textId="77777777" w:rsidR="002F7564" w:rsidRDefault="00000000">
      <w:pPr>
        <w:pStyle w:val="Heading2"/>
      </w:pPr>
      <w:bookmarkStart w:id="2" w:name="_1fob9te" w:colFirst="0" w:colLast="0"/>
      <w:bookmarkEnd w:id="2"/>
      <w:r>
        <w:t>2.1. Teritorijalni obuhvat</w:t>
      </w:r>
    </w:p>
    <w:p w14:paraId="75513F57"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Urbano područje Koprivnica čini ukupno deset jedinica lokalne samouprave - Grad Koprivnica kao središte i devet okolnih općina: Drnje, Đelekovec, Hlebine, Koprivnički Bregi, Koprivnički Ivanec, Novigrad Podravski, Peteranec, Rasinja i Sokolovac. </w:t>
      </w:r>
    </w:p>
    <w:p w14:paraId="48F7EFBB" w14:textId="77777777" w:rsidR="002F7564" w:rsidRDefault="002F7564">
      <w:pPr>
        <w:jc w:val="both"/>
        <w:rPr>
          <w:rFonts w:ascii="Source Sans Pro" w:eastAsia="Source Sans Pro" w:hAnsi="Source Sans Pro" w:cs="Source Sans Pro"/>
        </w:rPr>
      </w:pPr>
    </w:p>
    <w:p w14:paraId="6AB4ADFA" w14:textId="77777777" w:rsidR="002F7564" w:rsidRDefault="00000000">
      <w:pPr>
        <w:jc w:val="both"/>
        <w:rPr>
          <w:rFonts w:ascii="Source Sans Pro" w:eastAsia="Source Sans Pro" w:hAnsi="Source Sans Pro" w:cs="Source Sans Pro"/>
          <w:sz w:val="20"/>
          <w:szCs w:val="20"/>
        </w:rPr>
      </w:pPr>
      <w:r>
        <w:rPr>
          <w:rFonts w:ascii="Source Sans Pro" w:eastAsia="Source Sans Pro" w:hAnsi="Source Sans Pro" w:cs="Source Sans Pro"/>
          <w:sz w:val="20"/>
          <w:szCs w:val="20"/>
        </w:rPr>
        <w:t>Slika 1 Kartografski prikaz Urbanog područja Koprivnica</w:t>
      </w:r>
    </w:p>
    <w:p w14:paraId="30832FE1" w14:textId="77777777" w:rsidR="002F7564" w:rsidRDefault="00000000">
      <w:pPr>
        <w:jc w:val="center"/>
        <w:rPr>
          <w:rFonts w:ascii="Source Sans Pro" w:eastAsia="Source Sans Pro" w:hAnsi="Source Sans Pro" w:cs="Source Sans Pro"/>
        </w:rPr>
      </w:pPr>
      <w:r>
        <w:rPr>
          <w:rFonts w:ascii="Source Sans Pro" w:eastAsia="Source Sans Pro" w:hAnsi="Source Sans Pro" w:cs="Source Sans Pro"/>
          <w:noProof/>
        </w:rPr>
        <w:drawing>
          <wp:inline distT="114300" distB="114300" distL="114300" distR="114300" wp14:anchorId="01BC65DF" wp14:editId="339CDB8D">
            <wp:extent cx="4182918" cy="2943535"/>
            <wp:effectExtent l="0" t="0" r="0" b="0"/>
            <wp:docPr id="6"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8"/>
                    <a:srcRect t="8089"/>
                    <a:stretch>
                      <a:fillRect/>
                    </a:stretch>
                  </pic:blipFill>
                  <pic:spPr>
                    <a:xfrm>
                      <a:off x="0" y="0"/>
                      <a:ext cx="4182918" cy="2943535"/>
                    </a:xfrm>
                    <a:prstGeom prst="rect">
                      <a:avLst/>
                    </a:prstGeom>
                    <a:ln/>
                  </pic:spPr>
                </pic:pic>
              </a:graphicData>
            </a:graphic>
          </wp:inline>
        </w:drawing>
      </w:r>
    </w:p>
    <w:p w14:paraId="33D09F55"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i/>
          <w:sz w:val="20"/>
          <w:szCs w:val="20"/>
        </w:rPr>
        <w:t>Izvor: Grad Koprivnica</w:t>
      </w:r>
    </w:p>
    <w:p w14:paraId="657D5C7D" w14:textId="77777777" w:rsidR="002F7564" w:rsidRDefault="002F7564">
      <w:pPr>
        <w:jc w:val="both"/>
        <w:rPr>
          <w:rFonts w:ascii="Source Sans Pro" w:eastAsia="Source Sans Pro" w:hAnsi="Source Sans Pro" w:cs="Source Sans Pro"/>
        </w:rPr>
      </w:pPr>
    </w:p>
    <w:p w14:paraId="155214BC"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Teritorijalni obuhvat Urbanog područja Koprivnica definiran je sukladno Smjernicama za uspostavu urbanih područja i izradu strategija razvoja urbanih područja za financijsko razdoblje 2021.-2027. Grad Koprivnicu, kao sjedište Koprivničko-križevačke županije i temeljem broja stanovnika, Ministarstvo regionalnog razvoja i fondova Europske unije, svrstava na popis gradova središta manjih urbanih područja. Ostale sastavnice Urbanog područja dio su obuhvata s obzirom da predstavljaju administrativno i teritorijalno područje koje ima snažne funkcionalne i gospodarske veze s gradom središtem. Sukladno Smjernicama, obuhvat Urbanog područja može biti definiran temeljem dva osnovna kriterija:</w:t>
      </w:r>
    </w:p>
    <w:p w14:paraId="08F2244D" w14:textId="77777777" w:rsidR="002F7564" w:rsidRDefault="00000000">
      <w:pPr>
        <w:numPr>
          <w:ilvl w:val="0"/>
          <w:numId w:val="15"/>
        </w:numPr>
        <w:jc w:val="both"/>
        <w:rPr>
          <w:rFonts w:ascii="Source Sans Pro" w:eastAsia="Source Sans Pro" w:hAnsi="Source Sans Pro" w:cs="Source Sans Pro"/>
        </w:rPr>
      </w:pPr>
      <w:r>
        <w:rPr>
          <w:rFonts w:ascii="Source Sans Pro" w:eastAsia="Source Sans Pro" w:hAnsi="Source Sans Pro" w:cs="Source Sans Pro"/>
        </w:rPr>
        <w:t>prostorni kontinuitet (svi JLS-ovi moraju činiti kontinuirano urbano područje kako bi se osigurala teritorijalna cjelovitost društveno-gospodarskog i teritorijalnog planiranja),</w:t>
      </w:r>
    </w:p>
    <w:p w14:paraId="4C6753B2" w14:textId="77777777" w:rsidR="002F7564" w:rsidRDefault="00000000">
      <w:pPr>
        <w:numPr>
          <w:ilvl w:val="0"/>
          <w:numId w:val="15"/>
        </w:numPr>
        <w:jc w:val="both"/>
        <w:rPr>
          <w:rFonts w:ascii="Source Sans Pro" w:eastAsia="Source Sans Pro" w:hAnsi="Source Sans Pro" w:cs="Source Sans Pro"/>
        </w:rPr>
      </w:pPr>
      <w:r>
        <w:rPr>
          <w:rFonts w:ascii="Source Sans Pro" w:eastAsia="Source Sans Pro" w:hAnsi="Source Sans Pro" w:cs="Source Sans Pro"/>
        </w:rPr>
        <w:lastRenderedPageBreak/>
        <w:t xml:space="preserve">udio dnevnih migracija zaposlenih u središte urbanog područja od najmanje 30%, </w:t>
      </w:r>
    </w:p>
    <w:p w14:paraId="3302B692" w14:textId="77777777" w:rsidR="002F7564" w:rsidRDefault="002F7564">
      <w:pPr>
        <w:jc w:val="both"/>
        <w:rPr>
          <w:rFonts w:ascii="Source Sans Pro" w:eastAsia="Source Sans Pro" w:hAnsi="Source Sans Pro" w:cs="Source Sans Pro"/>
        </w:rPr>
      </w:pPr>
    </w:p>
    <w:p w14:paraId="0A22CFE4"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ili dodatnim kriterijima funkcionalne povezanosti, udjela dnevnih migracija učenika i studenata u središte urbanog područja, provedbe zajedničkih integriranih projekata, infrastrukturnih kriterija, kriterija zajendičkih društvenih izazova i razvojnih problema ili dodatnih kriterija koje predlaže i obrazlaže grad središte - sve ono što određeno područje veže u zajedničku funkcionalnu cjelinu. </w:t>
      </w:r>
    </w:p>
    <w:p w14:paraId="748E10ED" w14:textId="77777777" w:rsidR="002F7564" w:rsidRDefault="002F7564">
      <w:pPr>
        <w:jc w:val="both"/>
        <w:rPr>
          <w:rFonts w:ascii="Source Sans Pro" w:eastAsia="Source Sans Pro" w:hAnsi="Source Sans Pro" w:cs="Source Sans Pro"/>
        </w:rPr>
      </w:pPr>
    </w:p>
    <w:p w14:paraId="092C4FA8"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Pri definiranju obuhvata Urbanog područja Koprivnica</w:t>
      </w:r>
      <w:r>
        <w:rPr>
          <w:rFonts w:ascii="Source Sans Pro" w:eastAsia="Source Sans Pro" w:hAnsi="Source Sans Pro" w:cs="Source Sans Pro"/>
          <w:vertAlign w:val="superscript"/>
        </w:rPr>
        <w:footnoteReference w:id="1"/>
      </w:r>
      <w:r>
        <w:rPr>
          <w:rFonts w:ascii="Source Sans Pro" w:eastAsia="Source Sans Pro" w:hAnsi="Source Sans Pro" w:cs="Source Sans Pro"/>
        </w:rPr>
        <w:t xml:space="preserve"> korišten je osnovni kriterij udjela dnevnih migracija zaposlenog stanovništva u središte urbanog područja od najmanje 30%. Svih devet općina zadovoljava navedeni kriterij i ima udio dnevnih migracija zaposlenog stanovništva u Grad Koprivnicu veći od 30%. Općina Koprivnički Ivanec prednjači s 65,55% zaposlenog stanovništva koje je zaposleno u Gradu Koprivnici, a najmanji udio ima Općina Sokolovac - 37,34%, iako je intenzivna dinamika dnevnih migracija izražena u svim općinama i kao takva predstavlja ključan indikator funkcionalne povezanosti grada središta s okolnim područjem. </w:t>
      </w:r>
    </w:p>
    <w:p w14:paraId="03F8A7BE" w14:textId="77777777" w:rsidR="002F7564" w:rsidRDefault="002F7564">
      <w:pPr>
        <w:jc w:val="both"/>
        <w:rPr>
          <w:rFonts w:ascii="Source Sans Pro" w:eastAsia="Source Sans Pro" w:hAnsi="Source Sans Pro" w:cs="Source Sans Pro"/>
        </w:rPr>
      </w:pPr>
    </w:p>
    <w:p w14:paraId="7547D0FA" w14:textId="77777777" w:rsidR="002F7564" w:rsidRDefault="00000000">
      <w:pPr>
        <w:jc w:val="both"/>
        <w:rPr>
          <w:rFonts w:ascii="Source Sans Pro" w:eastAsia="Source Sans Pro" w:hAnsi="Source Sans Pro" w:cs="Source Sans Pro"/>
          <w:sz w:val="20"/>
          <w:szCs w:val="20"/>
        </w:rPr>
      </w:pPr>
      <w:r>
        <w:rPr>
          <w:rFonts w:ascii="Source Sans Pro" w:eastAsia="Source Sans Pro" w:hAnsi="Source Sans Pro" w:cs="Source Sans Pro"/>
          <w:sz w:val="20"/>
          <w:szCs w:val="20"/>
        </w:rPr>
        <w:t>Tablica 1 Pokazatelji broja dnevnih migracija u Urbanom području Koprivnica</w:t>
      </w:r>
    </w:p>
    <w:tbl>
      <w:tblPr>
        <w:tblStyle w:val="a"/>
        <w:tblW w:w="9210" w:type="dxa"/>
        <w:tblInd w:w="-1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2490"/>
        <w:gridCol w:w="1950"/>
        <w:gridCol w:w="1680"/>
        <w:gridCol w:w="3090"/>
      </w:tblGrid>
      <w:tr w:rsidR="002F7564" w14:paraId="14AC09DA" w14:textId="77777777">
        <w:tc>
          <w:tcPr>
            <w:tcW w:w="2490" w:type="dxa"/>
            <w:tcBorders>
              <w:top w:val="single" w:sz="8" w:space="0" w:color="FFFFFF"/>
              <w:left w:val="single" w:sz="8" w:space="0" w:color="FFFFFF"/>
              <w:bottom w:val="single" w:sz="8" w:space="0" w:color="FFFFFF"/>
              <w:right w:val="single" w:sz="8" w:space="0" w:color="FFFFFF"/>
            </w:tcBorders>
            <w:shd w:val="clear" w:color="auto" w:fill="096EB3"/>
            <w:tcMar>
              <w:top w:w="100" w:type="dxa"/>
              <w:left w:w="100" w:type="dxa"/>
              <w:bottom w:w="100" w:type="dxa"/>
              <w:right w:w="100" w:type="dxa"/>
            </w:tcMar>
            <w:vAlign w:val="center"/>
          </w:tcPr>
          <w:p w14:paraId="5F29066C" w14:textId="77777777" w:rsidR="002F7564" w:rsidRDefault="00000000">
            <w:pPr>
              <w:widowControl w:val="0"/>
              <w:jc w:val="center"/>
              <w:rPr>
                <w:rFonts w:ascii="Source Sans Pro" w:eastAsia="Source Sans Pro" w:hAnsi="Source Sans Pro" w:cs="Source Sans Pro"/>
                <w:b/>
                <w:color w:val="F8F8F8"/>
              </w:rPr>
            </w:pPr>
            <w:r>
              <w:rPr>
                <w:rFonts w:ascii="Source Sans Pro" w:eastAsia="Source Sans Pro" w:hAnsi="Source Sans Pro" w:cs="Source Sans Pro"/>
                <w:b/>
                <w:color w:val="F8F8F8"/>
              </w:rPr>
              <w:t>JLS</w:t>
            </w:r>
          </w:p>
        </w:tc>
        <w:tc>
          <w:tcPr>
            <w:tcW w:w="1950" w:type="dxa"/>
            <w:tcBorders>
              <w:top w:val="single" w:sz="8" w:space="0" w:color="FFFFFF"/>
              <w:left w:val="single" w:sz="8" w:space="0" w:color="FFFFFF"/>
              <w:bottom w:val="single" w:sz="8" w:space="0" w:color="FFFFFF"/>
              <w:right w:val="single" w:sz="8" w:space="0" w:color="FFFFFF"/>
            </w:tcBorders>
            <w:shd w:val="clear" w:color="auto" w:fill="096EB3"/>
            <w:tcMar>
              <w:top w:w="100" w:type="dxa"/>
              <w:left w:w="100" w:type="dxa"/>
              <w:bottom w:w="100" w:type="dxa"/>
              <w:right w:w="100" w:type="dxa"/>
            </w:tcMar>
            <w:vAlign w:val="center"/>
          </w:tcPr>
          <w:p w14:paraId="43E843F6" w14:textId="77777777" w:rsidR="002F7564" w:rsidRDefault="00000000">
            <w:pPr>
              <w:widowControl w:val="0"/>
              <w:jc w:val="center"/>
              <w:rPr>
                <w:rFonts w:ascii="Source Sans Pro" w:eastAsia="Source Sans Pro" w:hAnsi="Source Sans Pro" w:cs="Source Sans Pro"/>
                <w:b/>
                <w:color w:val="F8F8F8"/>
              </w:rPr>
            </w:pPr>
            <w:r>
              <w:rPr>
                <w:rFonts w:ascii="Source Sans Pro" w:eastAsia="Source Sans Pro" w:hAnsi="Source Sans Pro" w:cs="Source Sans Pro"/>
                <w:b/>
                <w:color w:val="F8F8F8"/>
              </w:rPr>
              <w:t>Broj stanovnika</w:t>
            </w:r>
          </w:p>
        </w:tc>
        <w:tc>
          <w:tcPr>
            <w:tcW w:w="1680" w:type="dxa"/>
            <w:tcBorders>
              <w:top w:val="single" w:sz="8" w:space="0" w:color="FFFFFF"/>
              <w:left w:val="single" w:sz="8" w:space="0" w:color="FFFFFF"/>
              <w:bottom w:val="single" w:sz="8" w:space="0" w:color="FFFFFF"/>
              <w:right w:val="single" w:sz="8" w:space="0" w:color="FFFFFF"/>
            </w:tcBorders>
            <w:shd w:val="clear" w:color="auto" w:fill="096EB3"/>
            <w:tcMar>
              <w:top w:w="100" w:type="dxa"/>
              <w:left w:w="100" w:type="dxa"/>
              <w:bottom w:w="100" w:type="dxa"/>
              <w:right w:w="100" w:type="dxa"/>
            </w:tcMar>
            <w:vAlign w:val="center"/>
          </w:tcPr>
          <w:p w14:paraId="40840F55" w14:textId="77777777" w:rsidR="002F7564" w:rsidRDefault="00000000">
            <w:pPr>
              <w:widowControl w:val="0"/>
              <w:jc w:val="center"/>
              <w:rPr>
                <w:rFonts w:ascii="Source Sans Pro" w:eastAsia="Source Sans Pro" w:hAnsi="Source Sans Pro" w:cs="Source Sans Pro"/>
                <w:b/>
                <w:color w:val="F8F8F8"/>
              </w:rPr>
            </w:pPr>
            <w:r>
              <w:rPr>
                <w:rFonts w:ascii="Source Sans Pro" w:eastAsia="Source Sans Pro" w:hAnsi="Source Sans Pro" w:cs="Source Sans Pro"/>
                <w:b/>
                <w:color w:val="F8F8F8"/>
              </w:rPr>
              <w:t>Ukupan broj zaposlenih</w:t>
            </w:r>
          </w:p>
        </w:tc>
        <w:tc>
          <w:tcPr>
            <w:tcW w:w="3090" w:type="dxa"/>
            <w:tcBorders>
              <w:top w:val="single" w:sz="8" w:space="0" w:color="FFFFFF"/>
              <w:left w:val="single" w:sz="8" w:space="0" w:color="FFFFFF"/>
              <w:bottom w:val="single" w:sz="8" w:space="0" w:color="FFFFFF"/>
              <w:right w:val="single" w:sz="8" w:space="0" w:color="FFFFFF"/>
            </w:tcBorders>
            <w:shd w:val="clear" w:color="auto" w:fill="096EB3"/>
            <w:tcMar>
              <w:top w:w="100" w:type="dxa"/>
              <w:left w:w="100" w:type="dxa"/>
              <w:bottom w:w="100" w:type="dxa"/>
              <w:right w:w="100" w:type="dxa"/>
            </w:tcMar>
            <w:vAlign w:val="center"/>
          </w:tcPr>
          <w:p w14:paraId="254CF6FD" w14:textId="77777777" w:rsidR="002F7564" w:rsidRDefault="00000000">
            <w:pPr>
              <w:widowControl w:val="0"/>
              <w:jc w:val="center"/>
              <w:rPr>
                <w:rFonts w:ascii="Source Sans Pro" w:eastAsia="Source Sans Pro" w:hAnsi="Source Sans Pro" w:cs="Source Sans Pro"/>
                <w:b/>
                <w:color w:val="F8F8F8"/>
              </w:rPr>
            </w:pPr>
            <w:r>
              <w:rPr>
                <w:rFonts w:ascii="Source Sans Pro" w:eastAsia="Source Sans Pro" w:hAnsi="Source Sans Pro" w:cs="Source Sans Pro"/>
                <w:b/>
                <w:color w:val="F8F8F8"/>
              </w:rPr>
              <w:t>Broj zaposlenih dnevnih migranata u Grad Koprivnicu</w:t>
            </w:r>
          </w:p>
        </w:tc>
      </w:tr>
      <w:tr w:rsidR="002F7564" w14:paraId="6292D499" w14:textId="77777777">
        <w:tc>
          <w:tcPr>
            <w:tcW w:w="2490" w:type="dxa"/>
            <w:tcBorders>
              <w:top w:val="single" w:sz="8" w:space="0" w:color="FFFFFF"/>
            </w:tcBorders>
            <w:shd w:val="clear" w:color="auto" w:fill="F3F3F3"/>
            <w:tcMar>
              <w:top w:w="100" w:type="dxa"/>
              <w:left w:w="100" w:type="dxa"/>
              <w:bottom w:w="100" w:type="dxa"/>
              <w:right w:w="100" w:type="dxa"/>
            </w:tcMar>
            <w:vAlign w:val="center"/>
          </w:tcPr>
          <w:p w14:paraId="27029DAE"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Drnje</w:t>
            </w:r>
          </w:p>
        </w:tc>
        <w:tc>
          <w:tcPr>
            <w:tcW w:w="1950" w:type="dxa"/>
            <w:tcBorders>
              <w:top w:val="single" w:sz="8" w:space="0" w:color="FFFFFF"/>
            </w:tcBorders>
            <w:shd w:val="clear" w:color="auto" w:fill="F3F3F3"/>
            <w:tcMar>
              <w:top w:w="100" w:type="dxa"/>
              <w:left w:w="100" w:type="dxa"/>
              <w:bottom w:w="100" w:type="dxa"/>
              <w:right w:w="100" w:type="dxa"/>
            </w:tcMar>
            <w:vAlign w:val="center"/>
          </w:tcPr>
          <w:p w14:paraId="2A67D981"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1.863</w:t>
            </w:r>
          </w:p>
        </w:tc>
        <w:tc>
          <w:tcPr>
            <w:tcW w:w="1680" w:type="dxa"/>
            <w:tcBorders>
              <w:top w:val="single" w:sz="8" w:space="0" w:color="FFFFFF"/>
            </w:tcBorders>
            <w:shd w:val="clear" w:color="auto" w:fill="F3F3F3"/>
            <w:tcMar>
              <w:top w:w="100" w:type="dxa"/>
              <w:left w:w="100" w:type="dxa"/>
              <w:bottom w:w="100" w:type="dxa"/>
              <w:right w:w="100" w:type="dxa"/>
            </w:tcMar>
            <w:vAlign w:val="center"/>
          </w:tcPr>
          <w:p w14:paraId="6D0FF3AA"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788</w:t>
            </w:r>
          </w:p>
        </w:tc>
        <w:tc>
          <w:tcPr>
            <w:tcW w:w="3090" w:type="dxa"/>
            <w:tcBorders>
              <w:top w:val="single" w:sz="8" w:space="0" w:color="FFFFFF"/>
            </w:tcBorders>
            <w:shd w:val="clear" w:color="auto" w:fill="F3F3F3"/>
            <w:tcMar>
              <w:top w:w="100" w:type="dxa"/>
              <w:left w:w="100" w:type="dxa"/>
              <w:bottom w:w="100" w:type="dxa"/>
              <w:right w:w="100" w:type="dxa"/>
            </w:tcMar>
            <w:vAlign w:val="center"/>
          </w:tcPr>
          <w:p w14:paraId="1803BDBE"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359</w:t>
            </w:r>
          </w:p>
        </w:tc>
      </w:tr>
      <w:tr w:rsidR="002F7564" w14:paraId="2C4A79A1" w14:textId="77777777">
        <w:tc>
          <w:tcPr>
            <w:tcW w:w="2490" w:type="dxa"/>
            <w:shd w:val="clear" w:color="auto" w:fill="F3F3F3"/>
            <w:tcMar>
              <w:top w:w="100" w:type="dxa"/>
              <w:left w:w="100" w:type="dxa"/>
              <w:bottom w:w="100" w:type="dxa"/>
              <w:right w:w="100" w:type="dxa"/>
            </w:tcMar>
            <w:vAlign w:val="center"/>
          </w:tcPr>
          <w:p w14:paraId="35F2E2BA"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Đelekovec</w:t>
            </w:r>
          </w:p>
        </w:tc>
        <w:tc>
          <w:tcPr>
            <w:tcW w:w="1950" w:type="dxa"/>
            <w:shd w:val="clear" w:color="auto" w:fill="F3F3F3"/>
            <w:tcMar>
              <w:top w:w="100" w:type="dxa"/>
              <w:left w:w="100" w:type="dxa"/>
              <w:bottom w:w="100" w:type="dxa"/>
              <w:right w:w="100" w:type="dxa"/>
            </w:tcMar>
            <w:vAlign w:val="center"/>
          </w:tcPr>
          <w:p w14:paraId="41F0B7B0"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1.533</w:t>
            </w:r>
          </w:p>
        </w:tc>
        <w:tc>
          <w:tcPr>
            <w:tcW w:w="1680" w:type="dxa"/>
            <w:shd w:val="clear" w:color="auto" w:fill="F3F3F3"/>
            <w:tcMar>
              <w:top w:w="100" w:type="dxa"/>
              <w:left w:w="100" w:type="dxa"/>
              <w:bottom w:w="100" w:type="dxa"/>
              <w:right w:w="100" w:type="dxa"/>
            </w:tcMar>
            <w:vAlign w:val="center"/>
          </w:tcPr>
          <w:p w14:paraId="4AC3A4AB"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533</w:t>
            </w:r>
          </w:p>
        </w:tc>
        <w:tc>
          <w:tcPr>
            <w:tcW w:w="3090" w:type="dxa"/>
            <w:shd w:val="clear" w:color="auto" w:fill="F3F3F3"/>
            <w:tcMar>
              <w:top w:w="100" w:type="dxa"/>
              <w:left w:w="100" w:type="dxa"/>
              <w:bottom w:w="100" w:type="dxa"/>
              <w:right w:w="100" w:type="dxa"/>
            </w:tcMar>
            <w:vAlign w:val="center"/>
          </w:tcPr>
          <w:p w14:paraId="4E9103C5"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288</w:t>
            </w:r>
          </w:p>
        </w:tc>
      </w:tr>
      <w:tr w:rsidR="002F7564" w14:paraId="19201023" w14:textId="77777777">
        <w:tc>
          <w:tcPr>
            <w:tcW w:w="2490" w:type="dxa"/>
            <w:shd w:val="clear" w:color="auto" w:fill="F3F3F3"/>
            <w:tcMar>
              <w:top w:w="100" w:type="dxa"/>
              <w:left w:w="100" w:type="dxa"/>
              <w:bottom w:w="100" w:type="dxa"/>
              <w:right w:w="100" w:type="dxa"/>
            </w:tcMar>
            <w:vAlign w:val="center"/>
          </w:tcPr>
          <w:p w14:paraId="4028DFE4"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Hlebine</w:t>
            </w:r>
          </w:p>
        </w:tc>
        <w:tc>
          <w:tcPr>
            <w:tcW w:w="1950" w:type="dxa"/>
            <w:shd w:val="clear" w:color="auto" w:fill="F3F3F3"/>
            <w:tcMar>
              <w:top w:w="100" w:type="dxa"/>
              <w:left w:w="100" w:type="dxa"/>
              <w:bottom w:w="100" w:type="dxa"/>
              <w:right w:w="100" w:type="dxa"/>
            </w:tcMar>
            <w:vAlign w:val="center"/>
          </w:tcPr>
          <w:p w14:paraId="7B2215D3"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1.304</w:t>
            </w:r>
          </w:p>
        </w:tc>
        <w:tc>
          <w:tcPr>
            <w:tcW w:w="1680" w:type="dxa"/>
            <w:shd w:val="clear" w:color="auto" w:fill="F3F3F3"/>
            <w:tcMar>
              <w:top w:w="100" w:type="dxa"/>
              <w:left w:w="100" w:type="dxa"/>
              <w:bottom w:w="100" w:type="dxa"/>
              <w:right w:w="100" w:type="dxa"/>
            </w:tcMar>
            <w:vAlign w:val="center"/>
          </w:tcPr>
          <w:p w14:paraId="65AC4459"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447</w:t>
            </w:r>
          </w:p>
        </w:tc>
        <w:tc>
          <w:tcPr>
            <w:tcW w:w="3090" w:type="dxa"/>
            <w:shd w:val="clear" w:color="auto" w:fill="F3F3F3"/>
            <w:tcMar>
              <w:top w:w="100" w:type="dxa"/>
              <w:left w:w="100" w:type="dxa"/>
              <w:bottom w:w="100" w:type="dxa"/>
              <w:right w:w="100" w:type="dxa"/>
            </w:tcMar>
            <w:vAlign w:val="center"/>
          </w:tcPr>
          <w:p w14:paraId="1CC6FE8C"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197</w:t>
            </w:r>
          </w:p>
        </w:tc>
      </w:tr>
      <w:tr w:rsidR="002F7564" w14:paraId="6C0A26DB" w14:textId="77777777">
        <w:tc>
          <w:tcPr>
            <w:tcW w:w="2490" w:type="dxa"/>
            <w:shd w:val="clear" w:color="auto" w:fill="F3F3F3"/>
            <w:tcMar>
              <w:top w:w="100" w:type="dxa"/>
              <w:left w:w="100" w:type="dxa"/>
              <w:bottom w:w="100" w:type="dxa"/>
              <w:right w:w="100" w:type="dxa"/>
            </w:tcMar>
            <w:vAlign w:val="center"/>
          </w:tcPr>
          <w:p w14:paraId="7E17C8EE"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Koprivnički Bregi</w:t>
            </w:r>
          </w:p>
        </w:tc>
        <w:tc>
          <w:tcPr>
            <w:tcW w:w="1950" w:type="dxa"/>
            <w:shd w:val="clear" w:color="auto" w:fill="F3F3F3"/>
            <w:tcMar>
              <w:top w:w="100" w:type="dxa"/>
              <w:left w:w="100" w:type="dxa"/>
              <w:bottom w:w="100" w:type="dxa"/>
              <w:right w:w="100" w:type="dxa"/>
            </w:tcMar>
            <w:vAlign w:val="center"/>
          </w:tcPr>
          <w:p w14:paraId="718457D5"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2.381</w:t>
            </w:r>
          </w:p>
        </w:tc>
        <w:tc>
          <w:tcPr>
            <w:tcW w:w="1680" w:type="dxa"/>
            <w:shd w:val="clear" w:color="auto" w:fill="F3F3F3"/>
            <w:tcMar>
              <w:top w:w="100" w:type="dxa"/>
              <w:left w:w="100" w:type="dxa"/>
              <w:bottom w:w="100" w:type="dxa"/>
              <w:right w:w="100" w:type="dxa"/>
            </w:tcMar>
            <w:vAlign w:val="center"/>
          </w:tcPr>
          <w:p w14:paraId="7D2A6C81"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811</w:t>
            </w:r>
          </w:p>
        </w:tc>
        <w:tc>
          <w:tcPr>
            <w:tcW w:w="3090" w:type="dxa"/>
            <w:shd w:val="clear" w:color="auto" w:fill="F3F3F3"/>
            <w:tcMar>
              <w:top w:w="100" w:type="dxa"/>
              <w:left w:w="100" w:type="dxa"/>
              <w:bottom w:w="100" w:type="dxa"/>
              <w:right w:w="100" w:type="dxa"/>
            </w:tcMar>
            <w:vAlign w:val="center"/>
          </w:tcPr>
          <w:p w14:paraId="5F9180E1"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476</w:t>
            </w:r>
          </w:p>
        </w:tc>
      </w:tr>
      <w:tr w:rsidR="002F7564" w14:paraId="263F8499" w14:textId="77777777">
        <w:tc>
          <w:tcPr>
            <w:tcW w:w="2490" w:type="dxa"/>
            <w:shd w:val="clear" w:color="auto" w:fill="F3F3F3"/>
            <w:tcMar>
              <w:top w:w="100" w:type="dxa"/>
              <w:left w:w="100" w:type="dxa"/>
              <w:bottom w:w="100" w:type="dxa"/>
              <w:right w:w="100" w:type="dxa"/>
            </w:tcMar>
            <w:vAlign w:val="center"/>
          </w:tcPr>
          <w:p w14:paraId="5C8187B5"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Koprivnički Ivanec</w:t>
            </w:r>
          </w:p>
        </w:tc>
        <w:tc>
          <w:tcPr>
            <w:tcW w:w="1950" w:type="dxa"/>
            <w:shd w:val="clear" w:color="auto" w:fill="F3F3F3"/>
            <w:tcMar>
              <w:top w:w="100" w:type="dxa"/>
              <w:left w:w="100" w:type="dxa"/>
              <w:bottom w:w="100" w:type="dxa"/>
              <w:right w:w="100" w:type="dxa"/>
            </w:tcMar>
            <w:vAlign w:val="center"/>
          </w:tcPr>
          <w:p w14:paraId="7040172C"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2.121</w:t>
            </w:r>
          </w:p>
        </w:tc>
        <w:tc>
          <w:tcPr>
            <w:tcW w:w="1680" w:type="dxa"/>
            <w:shd w:val="clear" w:color="auto" w:fill="F3F3F3"/>
            <w:tcMar>
              <w:top w:w="100" w:type="dxa"/>
              <w:left w:w="100" w:type="dxa"/>
              <w:bottom w:w="100" w:type="dxa"/>
              <w:right w:w="100" w:type="dxa"/>
            </w:tcMar>
            <w:vAlign w:val="center"/>
          </w:tcPr>
          <w:p w14:paraId="65C5ECD1"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743</w:t>
            </w:r>
          </w:p>
        </w:tc>
        <w:tc>
          <w:tcPr>
            <w:tcW w:w="3090" w:type="dxa"/>
            <w:shd w:val="clear" w:color="auto" w:fill="F3F3F3"/>
            <w:tcMar>
              <w:top w:w="100" w:type="dxa"/>
              <w:left w:w="100" w:type="dxa"/>
              <w:bottom w:w="100" w:type="dxa"/>
              <w:right w:w="100" w:type="dxa"/>
            </w:tcMar>
            <w:vAlign w:val="center"/>
          </w:tcPr>
          <w:p w14:paraId="751AF540"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487</w:t>
            </w:r>
          </w:p>
        </w:tc>
      </w:tr>
      <w:tr w:rsidR="002F7564" w14:paraId="04FC88B6" w14:textId="77777777">
        <w:tc>
          <w:tcPr>
            <w:tcW w:w="2490" w:type="dxa"/>
            <w:shd w:val="clear" w:color="auto" w:fill="F3F3F3"/>
            <w:tcMar>
              <w:top w:w="100" w:type="dxa"/>
              <w:left w:w="100" w:type="dxa"/>
              <w:bottom w:w="100" w:type="dxa"/>
              <w:right w:w="100" w:type="dxa"/>
            </w:tcMar>
            <w:vAlign w:val="center"/>
          </w:tcPr>
          <w:p w14:paraId="6DCEAE3B"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Novigrad Podravski</w:t>
            </w:r>
          </w:p>
        </w:tc>
        <w:tc>
          <w:tcPr>
            <w:tcW w:w="1950" w:type="dxa"/>
            <w:shd w:val="clear" w:color="auto" w:fill="F3F3F3"/>
            <w:tcMar>
              <w:top w:w="100" w:type="dxa"/>
              <w:left w:w="100" w:type="dxa"/>
              <w:bottom w:w="100" w:type="dxa"/>
              <w:right w:w="100" w:type="dxa"/>
            </w:tcMar>
            <w:vAlign w:val="center"/>
          </w:tcPr>
          <w:p w14:paraId="2CFF06AB"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2.872</w:t>
            </w:r>
          </w:p>
        </w:tc>
        <w:tc>
          <w:tcPr>
            <w:tcW w:w="1680" w:type="dxa"/>
            <w:shd w:val="clear" w:color="auto" w:fill="F3F3F3"/>
            <w:tcMar>
              <w:top w:w="100" w:type="dxa"/>
              <w:left w:w="100" w:type="dxa"/>
              <w:bottom w:w="100" w:type="dxa"/>
              <w:right w:w="100" w:type="dxa"/>
            </w:tcMar>
            <w:vAlign w:val="center"/>
          </w:tcPr>
          <w:p w14:paraId="4EAFA410"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965</w:t>
            </w:r>
          </w:p>
        </w:tc>
        <w:tc>
          <w:tcPr>
            <w:tcW w:w="3090" w:type="dxa"/>
            <w:shd w:val="clear" w:color="auto" w:fill="F3F3F3"/>
            <w:tcMar>
              <w:top w:w="100" w:type="dxa"/>
              <w:left w:w="100" w:type="dxa"/>
              <w:bottom w:w="100" w:type="dxa"/>
              <w:right w:w="100" w:type="dxa"/>
            </w:tcMar>
            <w:vAlign w:val="center"/>
          </w:tcPr>
          <w:p w14:paraId="4335E0C4"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382</w:t>
            </w:r>
          </w:p>
        </w:tc>
      </w:tr>
      <w:tr w:rsidR="002F7564" w14:paraId="24FEBE96" w14:textId="77777777">
        <w:tc>
          <w:tcPr>
            <w:tcW w:w="2490" w:type="dxa"/>
            <w:shd w:val="clear" w:color="auto" w:fill="F3F3F3"/>
            <w:tcMar>
              <w:top w:w="100" w:type="dxa"/>
              <w:left w:w="100" w:type="dxa"/>
              <w:bottom w:w="100" w:type="dxa"/>
              <w:right w:w="100" w:type="dxa"/>
            </w:tcMar>
            <w:vAlign w:val="center"/>
          </w:tcPr>
          <w:p w14:paraId="671568DC"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Peteranec</w:t>
            </w:r>
          </w:p>
        </w:tc>
        <w:tc>
          <w:tcPr>
            <w:tcW w:w="1950" w:type="dxa"/>
            <w:shd w:val="clear" w:color="auto" w:fill="F3F3F3"/>
            <w:tcMar>
              <w:top w:w="100" w:type="dxa"/>
              <w:left w:w="100" w:type="dxa"/>
              <w:bottom w:w="100" w:type="dxa"/>
              <w:right w:w="100" w:type="dxa"/>
            </w:tcMar>
            <w:vAlign w:val="center"/>
          </w:tcPr>
          <w:p w14:paraId="3B64A959"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2.704</w:t>
            </w:r>
          </w:p>
        </w:tc>
        <w:tc>
          <w:tcPr>
            <w:tcW w:w="1680" w:type="dxa"/>
            <w:shd w:val="clear" w:color="auto" w:fill="F3F3F3"/>
            <w:tcMar>
              <w:top w:w="100" w:type="dxa"/>
              <w:left w:w="100" w:type="dxa"/>
              <w:bottom w:w="100" w:type="dxa"/>
              <w:right w:w="100" w:type="dxa"/>
            </w:tcMar>
            <w:vAlign w:val="center"/>
          </w:tcPr>
          <w:p w14:paraId="1FC1849D"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968</w:t>
            </w:r>
          </w:p>
        </w:tc>
        <w:tc>
          <w:tcPr>
            <w:tcW w:w="3090" w:type="dxa"/>
            <w:shd w:val="clear" w:color="auto" w:fill="F3F3F3"/>
            <w:tcMar>
              <w:top w:w="100" w:type="dxa"/>
              <w:left w:w="100" w:type="dxa"/>
              <w:bottom w:w="100" w:type="dxa"/>
              <w:right w:w="100" w:type="dxa"/>
            </w:tcMar>
            <w:vAlign w:val="center"/>
          </w:tcPr>
          <w:p w14:paraId="5E09473C"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541</w:t>
            </w:r>
          </w:p>
        </w:tc>
      </w:tr>
      <w:tr w:rsidR="002F7564" w14:paraId="0751B603" w14:textId="77777777">
        <w:tc>
          <w:tcPr>
            <w:tcW w:w="2490" w:type="dxa"/>
            <w:shd w:val="clear" w:color="auto" w:fill="F3F3F3"/>
            <w:tcMar>
              <w:top w:w="100" w:type="dxa"/>
              <w:left w:w="100" w:type="dxa"/>
              <w:bottom w:w="100" w:type="dxa"/>
              <w:right w:w="100" w:type="dxa"/>
            </w:tcMar>
            <w:vAlign w:val="center"/>
          </w:tcPr>
          <w:p w14:paraId="5BE248A6"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Rasinja</w:t>
            </w:r>
          </w:p>
        </w:tc>
        <w:tc>
          <w:tcPr>
            <w:tcW w:w="1950" w:type="dxa"/>
            <w:shd w:val="clear" w:color="auto" w:fill="F3F3F3"/>
            <w:tcMar>
              <w:top w:w="100" w:type="dxa"/>
              <w:left w:w="100" w:type="dxa"/>
              <w:bottom w:w="100" w:type="dxa"/>
              <w:right w:w="100" w:type="dxa"/>
            </w:tcMar>
            <w:vAlign w:val="center"/>
          </w:tcPr>
          <w:p w14:paraId="1309DF13"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3.267</w:t>
            </w:r>
          </w:p>
        </w:tc>
        <w:tc>
          <w:tcPr>
            <w:tcW w:w="1680" w:type="dxa"/>
            <w:shd w:val="clear" w:color="auto" w:fill="F3F3F3"/>
            <w:tcMar>
              <w:top w:w="100" w:type="dxa"/>
              <w:left w:w="100" w:type="dxa"/>
              <w:bottom w:w="100" w:type="dxa"/>
              <w:right w:w="100" w:type="dxa"/>
            </w:tcMar>
            <w:vAlign w:val="center"/>
          </w:tcPr>
          <w:p w14:paraId="7CBF9C6A"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1.009</w:t>
            </w:r>
          </w:p>
        </w:tc>
        <w:tc>
          <w:tcPr>
            <w:tcW w:w="3090" w:type="dxa"/>
            <w:shd w:val="clear" w:color="auto" w:fill="F3F3F3"/>
            <w:tcMar>
              <w:top w:w="100" w:type="dxa"/>
              <w:left w:w="100" w:type="dxa"/>
              <w:bottom w:w="100" w:type="dxa"/>
              <w:right w:w="100" w:type="dxa"/>
            </w:tcMar>
            <w:vAlign w:val="center"/>
          </w:tcPr>
          <w:p w14:paraId="5DE07768"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406</w:t>
            </w:r>
          </w:p>
        </w:tc>
      </w:tr>
      <w:tr w:rsidR="002F7564" w14:paraId="710D67FB" w14:textId="77777777">
        <w:tc>
          <w:tcPr>
            <w:tcW w:w="2490" w:type="dxa"/>
            <w:shd w:val="clear" w:color="auto" w:fill="F3F3F3"/>
            <w:tcMar>
              <w:top w:w="100" w:type="dxa"/>
              <w:left w:w="100" w:type="dxa"/>
              <w:bottom w:w="100" w:type="dxa"/>
              <w:right w:w="100" w:type="dxa"/>
            </w:tcMar>
            <w:vAlign w:val="center"/>
          </w:tcPr>
          <w:p w14:paraId="64C053C6"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Sokolovac</w:t>
            </w:r>
          </w:p>
        </w:tc>
        <w:tc>
          <w:tcPr>
            <w:tcW w:w="1950" w:type="dxa"/>
            <w:shd w:val="clear" w:color="auto" w:fill="F3F3F3"/>
            <w:tcMar>
              <w:top w:w="100" w:type="dxa"/>
              <w:left w:w="100" w:type="dxa"/>
              <w:bottom w:w="100" w:type="dxa"/>
              <w:right w:w="100" w:type="dxa"/>
            </w:tcMar>
            <w:vAlign w:val="center"/>
          </w:tcPr>
          <w:p w14:paraId="415AC618"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3.417</w:t>
            </w:r>
          </w:p>
        </w:tc>
        <w:tc>
          <w:tcPr>
            <w:tcW w:w="1680" w:type="dxa"/>
            <w:shd w:val="clear" w:color="auto" w:fill="F3F3F3"/>
            <w:tcMar>
              <w:top w:w="100" w:type="dxa"/>
              <w:left w:w="100" w:type="dxa"/>
              <w:bottom w:w="100" w:type="dxa"/>
              <w:right w:w="100" w:type="dxa"/>
            </w:tcMar>
            <w:vAlign w:val="center"/>
          </w:tcPr>
          <w:p w14:paraId="526E6786"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948</w:t>
            </w:r>
          </w:p>
        </w:tc>
        <w:tc>
          <w:tcPr>
            <w:tcW w:w="3090" w:type="dxa"/>
            <w:shd w:val="clear" w:color="auto" w:fill="F3F3F3"/>
            <w:tcMar>
              <w:top w:w="100" w:type="dxa"/>
              <w:left w:w="100" w:type="dxa"/>
              <w:bottom w:w="100" w:type="dxa"/>
              <w:right w:w="100" w:type="dxa"/>
            </w:tcMar>
            <w:vAlign w:val="center"/>
          </w:tcPr>
          <w:p w14:paraId="70867397"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354</w:t>
            </w:r>
          </w:p>
        </w:tc>
      </w:tr>
    </w:tbl>
    <w:p w14:paraId="2A5AF967" w14:textId="77777777" w:rsidR="002F7564" w:rsidRDefault="00000000">
      <w:pPr>
        <w:jc w:val="both"/>
        <w:rPr>
          <w:rFonts w:ascii="Source Sans Pro" w:eastAsia="Source Sans Pro" w:hAnsi="Source Sans Pro" w:cs="Source Sans Pro"/>
          <w:i/>
          <w:sz w:val="20"/>
          <w:szCs w:val="20"/>
        </w:rPr>
      </w:pPr>
      <w:r>
        <w:rPr>
          <w:rFonts w:ascii="Source Sans Pro" w:eastAsia="Source Sans Pro" w:hAnsi="Source Sans Pro" w:cs="Source Sans Pro"/>
          <w:i/>
          <w:sz w:val="20"/>
          <w:szCs w:val="20"/>
        </w:rPr>
        <w:t>Izvor: Odluka o ustrojavanju i sastavu manjeg urbanog područja Koprivnica, Dodatak 1: Konačni prijedlog obuhvata Urbanog područja Koprivnica</w:t>
      </w:r>
    </w:p>
    <w:p w14:paraId="7F1EA993"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br/>
      </w:r>
      <w:r>
        <w:rPr>
          <w:rFonts w:ascii="Source Sans Pro" w:eastAsia="Source Sans Pro" w:hAnsi="Source Sans Pro" w:cs="Source Sans Pro"/>
        </w:rPr>
        <w:br/>
      </w:r>
    </w:p>
    <w:p w14:paraId="565C5F57" w14:textId="77777777" w:rsidR="002F7564" w:rsidRDefault="002F7564">
      <w:pPr>
        <w:jc w:val="both"/>
        <w:rPr>
          <w:rFonts w:ascii="Source Sans Pro" w:eastAsia="Source Sans Pro" w:hAnsi="Source Sans Pro" w:cs="Source Sans Pro"/>
        </w:rPr>
      </w:pPr>
    </w:p>
    <w:p w14:paraId="30C27F06" w14:textId="4157D142" w:rsidR="002F7564" w:rsidRDefault="00000000">
      <w:pPr>
        <w:jc w:val="both"/>
        <w:rPr>
          <w:rFonts w:ascii="Source Sans Pro" w:eastAsia="Source Sans Pro" w:hAnsi="Source Sans Pro" w:cs="Source Sans Pro"/>
          <w:sz w:val="20"/>
          <w:szCs w:val="20"/>
        </w:rPr>
      </w:pPr>
      <w:r>
        <w:rPr>
          <w:rFonts w:ascii="Source Sans Pro" w:eastAsia="Source Sans Pro" w:hAnsi="Source Sans Pro" w:cs="Source Sans Pro"/>
          <w:sz w:val="20"/>
          <w:szCs w:val="20"/>
        </w:rPr>
        <w:lastRenderedPageBreak/>
        <w:t xml:space="preserve">Grafikon 1 Prikaz udjela dnevnih migracija zaposlenog stanovništva u Grad Koprivnicu </w:t>
      </w:r>
    </w:p>
    <w:p w14:paraId="308FCAAB" w14:textId="77777777" w:rsidR="002F7564" w:rsidRDefault="00000000">
      <w:pPr>
        <w:rPr>
          <w:rFonts w:ascii="Source Sans Pro" w:eastAsia="Source Sans Pro" w:hAnsi="Source Sans Pro" w:cs="Source Sans Pro"/>
        </w:rPr>
      </w:pPr>
      <w:r>
        <w:rPr>
          <w:rFonts w:ascii="Source Sans Pro" w:eastAsia="Source Sans Pro" w:hAnsi="Source Sans Pro" w:cs="Source Sans Pro"/>
          <w:b/>
          <w:noProof/>
          <w:sz w:val="24"/>
          <w:szCs w:val="24"/>
        </w:rPr>
        <w:drawing>
          <wp:inline distT="114300" distB="114300" distL="114300" distR="114300" wp14:anchorId="239F8B44" wp14:editId="3AAE6E6B">
            <wp:extent cx="5731200" cy="3543300"/>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5731200" cy="3543300"/>
                    </a:xfrm>
                    <a:prstGeom prst="rect">
                      <a:avLst/>
                    </a:prstGeom>
                    <a:ln/>
                  </pic:spPr>
                </pic:pic>
              </a:graphicData>
            </a:graphic>
          </wp:inline>
        </w:drawing>
      </w:r>
    </w:p>
    <w:p w14:paraId="175ED286" w14:textId="77777777" w:rsidR="002F7564" w:rsidRDefault="00000000">
      <w:pPr>
        <w:jc w:val="both"/>
        <w:rPr>
          <w:rFonts w:ascii="Source Sans Pro" w:eastAsia="Source Sans Pro" w:hAnsi="Source Sans Pro" w:cs="Source Sans Pro"/>
          <w:i/>
          <w:sz w:val="20"/>
          <w:szCs w:val="20"/>
        </w:rPr>
      </w:pPr>
      <w:r>
        <w:rPr>
          <w:rFonts w:ascii="Source Sans Pro" w:eastAsia="Source Sans Pro" w:hAnsi="Source Sans Pro" w:cs="Source Sans Pro"/>
          <w:i/>
          <w:sz w:val="20"/>
          <w:szCs w:val="20"/>
        </w:rPr>
        <w:t>Izvor: Odluka o ustrojavanju i sastavu manjeg urbanog područja Koprivnica, Dodatak 1: Konačni prijedlog obuhvata Urbanog podurčja Koprivnica</w:t>
      </w:r>
    </w:p>
    <w:p w14:paraId="2BBF0E56" w14:textId="77777777" w:rsidR="002F7564" w:rsidRDefault="002F7564">
      <w:pPr>
        <w:jc w:val="both"/>
        <w:rPr>
          <w:rFonts w:ascii="Source Sans Pro" w:eastAsia="Source Sans Pro" w:hAnsi="Source Sans Pro" w:cs="Source Sans Pro"/>
          <w:i/>
          <w:sz w:val="20"/>
          <w:szCs w:val="20"/>
        </w:rPr>
      </w:pPr>
    </w:p>
    <w:p w14:paraId="5B95C0CC"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Urbano područje Koprivnica obuhvaća površinu od 360,93 km², a prema podacima Popisa stanovništva iz 2011.</w:t>
      </w:r>
      <w:r>
        <w:rPr>
          <w:rFonts w:ascii="Source Sans Pro" w:eastAsia="Source Sans Pro" w:hAnsi="Source Sans Pro" w:cs="Source Sans Pro"/>
          <w:vertAlign w:val="superscript"/>
        </w:rPr>
        <w:footnoteReference w:id="2"/>
      </w:r>
      <w:r>
        <w:rPr>
          <w:rFonts w:ascii="Source Sans Pro" w:eastAsia="Source Sans Pro" w:hAnsi="Source Sans Pro" w:cs="Source Sans Pro"/>
        </w:rPr>
        <w:t xml:space="preserve"> na području je živjelo 52.238 stanovnika. Pokazatelji Popisa stanovništva 2021. ukazuju na značajno smanjenje broja stanovnika od 11,% na cijelom Urbanom području, te je ukupan broj stanovnika u 2021. godini  46.360.</w:t>
      </w:r>
    </w:p>
    <w:p w14:paraId="1B123DDC"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Prosječna gustoća naseljenosti Urbanog područja Koprivnica iznosi 75 st/km², iako se ona značajno razlikuje između središta - Grada Koprivnice gdje je prosječna gustoća naseljenosti 315 st/km² i okolnih ruralnih područja, odnosno Općine Sokolovac gdje je najmanja gustoća naseljenosti, 20 st/km². Disproporcija u teritorijalnoj razmještenosti stanovništva vidljiva u gustoći naseljenosti samo je jedan od čimbenika koji ukazuju na razlike u cjelokupnoj socio-ekonomskoj situaciji između Grada Koprivnice i okolnih općina i potkrepljuje gravitacijsku snagu Grada u privlačenju stanovništva. Detaljan prikaz razvojnih potreba i potencijala, s vidljivom distinkcijom između urbanog središta i okolnog ruralnog područja prikazan je u poglavlju </w:t>
      </w:r>
      <w:r>
        <w:rPr>
          <w:rFonts w:ascii="Source Sans Pro" w:eastAsia="Source Sans Pro" w:hAnsi="Source Sans Pro" w:cs="Source Sans Pro"/>
          <w:i/>
        </w:rPr>
        <w:t xml:space="preserve">5. Opis srednjoročnih razvojnih potreba i potencijala, </w:t>
      </w:r>
      <w:r>
        <w:rPr>
          <w:rFonts w:ascii="Source Sans Pro" w:eastAsia="Source Sans Pro" w:hAnsi="Source Sans Pro" w:cs="Source Sans Pro"/>
        </w:rPr>
        <w:t xml:space="preserve">a formalnim ustrojavanjem Urbanog područja i zajedničkim teritorijalni pristupom razvoju definiranom SRUP-om cilj je smanjiti navedene razlike i utjecati na razvoj okolnog prstena, ali istovremeno realizirati ključna ulaganja u središte Urbanog područja koje predstavlja razvojnu osovinu područja. </w:t>
      </w:r>
    </w:p>
    <w:p w14:paraId="25DBDC0B" w14:textId="77777777" w:rsidR="002F7564" w:rsidRDefault="002F7564">
      <w:pPr>
        <w:jc w:val="both"/>
        <w:rPr>
          <w:rFonts w:ascii="Source Sans Pro" w:eastAsia="Source Sans Pro" w:hAnsi="Source Sans Pro" w:cs="Source Sans Pro"/>
        </w:rPr>
      </w:pPr>
    </w:p>
    <w:p w14:paraId="7E955188" w14:textId="77777777" w:rsidR="002F7564" w:rsidRDefault="002F7564">
      <w:pPr>
        <w:jc w:val="both"/>
        <w:rPr>
          <w:rFonts w:ascii="Source Sans Pro" w:eastAsia="Source Sans Pro" w:hAnsi="Source Sans Pro" w:cs="Source Sans Pro"/>
        </w:rPr>
      </w:pPr>
    </w:p>
    <w:p w14:paraId="4165CFCF"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lastRenderedPageBreak/>
        <w:t>Završno, prostorne i socio-ekonomske karakteristike Urbanog područja Koprivnica koje su vezane uz definiranje obuhvata ukazuju na snažne veze između svih sastavnica Urbanog područja, s izraženom funkcionalnom povezanosti svih općina s Gradom Koprivnicom kao urbanom središtu kojem gravitiraju, pri čemu se ističe uloga Grada koji svoj utjecaj širi na bližu okolicu. Iako je Urbano područje Koprivnica formalno uspostavljeno u listopadu 2021. s primarnom intencijom zajedničkog teritorijalnog pristupa razvoju, povezanost područja vezana je uz ranije političko ustrojstvo s obzirom da je do 1992. godine bivša Općina Koprivnica obuhvaćala svaku od devet navedenih općina, te današnje općine Gola i Legrad.</w:t>
      </w:r>
    </w:p>
    <w:p w14:paraId="79E20659" w14:textId="77777777" w:rsidR="002F7564" w:rsidRDefault="00000000">
      <w:pPr>
        <w:pStyle w:val="Heading2"/>
      </w:pPr>
      <w:bookmarkStart w:id="3" w:name="_1jgsrhfbuaug" w:colFirst="0" w:colLast="0"/>
      <w:bookmarkEnd w:id="3"/>
      <w:r>
        <w:t>2.2. Teritorijalni kontekst</w:t>
      </w:r>
    </w:p>
    <w:p w14:paraId="6F1A6F7A" w14:textId="77777777" w:rsidR="002F7564" w:rsidRDefault="00000000">
      <w:pPr>
        <w:pStyle w:val="Heading3"/>
        <w:rPr>
          <w:color w:val="000000"/>
        </w:rPr>
      </w:pPr>
      <w:bookmarkStart w:id="4" w:name="_3znysh7" w:colFirst="0" w:colLast="0"/>
      <w:bookmarkEnd w:id="4"/>
      <w:r>
        <w:rPr>
          <w:color w:val="000000"/>
        </w:rPr>
        <w:t>2.2.1. Geoprometni položaj</w:t>
      </w:r>
    </w:p>
    <w:p w14:paraId="643391EE"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Urbano područje Koprivnica smješteno je u Koprivničko-križevačkoj županiji, na području sjeverozapadnog dijela Republike Hrvatske, dijelom je pogranično područje i graniči s Mađarskom. Sa sjeverne strane UP Koprivnica graniči s općinama Gola i Legrad, također u Koprivničko-križevačkoj županiji, sa sjeverozapadne strane sa Varaždinskom županijom i Mađarskom, s južne strane s Općinom Zrinski Toplovac u Bjelovarsko-bilogorskoj županiji, s istočne strane općina Virje, Molve i Gola, a sa zapadne strane Grad Križevci - drugo najveće urbano središte u Županiji. </w:t>
      </w:r>
    </w:p>
    <w:p w14:paraId="297245FB" w14:textId="77777777" w:rsidR="002F7564" w:rsidRDefault="002F7564">
      <w:pPr>
        <w:rPr>
          <w:rFonts w:ascii="Source Sans Pro" w:eastAsia="Source Sans Pro" w:hAnsi="Source Sans Pro" w:cs="Source Sans Pro"/>
        </w:rPr>
      </w:pPr>
    </w:p>
    <w:p w14:paraId="1FF384F4"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Povoljan geografski i geoprometni položaj cijele Koprivničko-križevačke županije, pa tako i UP Koprivnica predstavlja jedan od razvojnih potencijala područja, koji ipak nije u potpunosti iskorišten. U kontekstu prometne povezanosti područja ključnu ulogu imaju cestovni i željeznički promet.</w:t>
      </w:r>
    </w:p>
    <w:p w14:paraId="5C404527"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Okosnicu cestovnog prometa čine dvije ceste, državna cesta D2 (tzv. podravska magistrala) od Dubrave Križovljanske preko Varaždina, Koprivnice, Virovitice, Našica i Osijeka do graničnog prijelaza Ilok, koja je svojim tokom paralelna s rijekom Dravom. Druga najvažnija prometnica je državna cesta D41 od graničnog prijelaza u Goli preko Koprivnice, Križevaca, Sesveta do Zagreba, koja je od iznimne važnosti zbog povezivanja Republike Mađarske i Grada Zagreba. Cestovnim putem, Urbano područje je dobro povezano sa svim značajnijim prometnim pravcima premda još uvijek nije povezano brzom cestom s Gradom Zagrebom</w:t>
      </w:r>
    </w:p>
    <w:p w14:paraId="28A9D212" w14:textId="77777777" w:rsidR="002F7564" w:rsidRDefault="002F7564">
      <w:pPr>
        <w:jc w:val="both"/>
        <w:rPr>
          <w:rFonts w:ascii="Source Sans Pro" w:eastAsia="Source Sans Pro" w:hAnsi="Source Sans Pro" w:cs="Source Sans Pro"/>
        </w:rPr>
      </w:pPr>
    </w:p>
    <w:p w14:paraId="15ECBB68"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Željeznička mreža na području UP Koprivnica dio je željezničkog koridora RH2. Grad Koprivnica kao središte Urbanog područja značajno je u kontekstu razvoja cjelokupnog željezničkog prometa u RH, ali i na međunarodnoj razini, s obzirom da Mediteranski pravac TEN-T mreže koji se proteže od Rijeke do Budimpešte prolazi Koprivnicom. Grad Koprivnica tako ima funkciju stalnog graničnog željezničkog prijelaza za međunarodni promet putnika i roba u željezničkom prometu. Važnost ovog koridora naglašava i trenutno najveće ulaganje u željezničku infrastrukturu u RH - gradnja drugog kolosijeka Križevci - Koprivnica - mađarska granica vrijednosti 3,2 mlrd. HRK. </w:t>
      </w:r>
    </w:p>
    <w:p w14:paraId="35DE4778" w14:textId="77777777" w:rsidR="002F7564" w:rsidRDefault="002F7564">
      <w:pPr>
        <w:jc w:val="both"/>
        <w:rPr>
          <w:rFonts w:ascii="Source Sans Pro" w:eastAsia="Source Sans Pro" w:hAnsi="Source Sans Pro" w:cs="Source Sans Pro"/>
        </w:rPr>
      </w:pPr>
    </w:p>
    <w:p w14:paraId="2B689366" w14:textId="77777777" w:rsidR="002F7564" w:rsidRDefault="002F7564">
      <w:pPr>
        <w:jc w:val="both"/>
        <w:rPr>
          <w:rFonts w:ascii="Source Sans Pro" w:eastAsia="Source Sans Pro" w:hAnsi="Source Sans Pro" w:cs="Source Sans Pro"/>
        </w:rPr>
      </w:pPr>
    </w:p>
    <w:p w14:paraId="65EB6A7F" w14:textId="77777777" w:rsidR="002F7564" w:rsidRDefault="00000000">
      <w:pPr>
        <w:pStyle w:val="Heading3"/>
      </w:pPr>
      <w:bookmarkStart w:id="5" w:name="_2et92p0" w:colFirst="0" w:colLast="0"/>
      <w:bookmarkEnd w:id="5"/>
      <w:r>
        <w:lastRenderedPageBreak/>
        <w:t>2.2.2. Prirodna obilježja</w:t>
      </w:r>
    </w:p>
    <w:p w14:paraId="13617E0E"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Urbano područje Koprivnica većim je dijelom smješteno na geografskom prostoru Podravine. Prostor Podravine karakteriziraju nizine rijeke Drave,  na sjeveru i dijelom unutar UP Koprivnica, i podbrđe na jugozapadu.</w:t>
      </w:r>
    </w:p>
    <w:p w14:paraId="1E2D927D" w14:textId="77777777" w:rsidR="002F7564" w:rsidRDefault="002F7564">
      <w:pPr>
        <w:jc w:val="both"/>
        <w:rPr>
          <w:rFonts w:ascii="Source Sans Pro" w:eastAsia="Source Sans Pro" w:hAnsi="Source Sans Pro" w:cs="Source Sans Pro"/>
        </w:rPr>
      </w:pPr>
    </w:p>
    <w:p w14:paraId="5559901D"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Područje se sastoji od valovitog tercijarnoga pobrđa, te pliocenske šljunkovite i aluvijalne ravnice. Karakteristike Podravine su naslage pijeska, guste riječne mreže i prirodni šumski pokrov koji djelomično guši obradivu površinu. Najvažnije gospodarsko područje u Podravini se proteže dravskog poloja na sjeveru i pobrđa na jugu. Središnji dio UP Koprivnica, kao i sam Grad Koprivnica, spadaju u ovo područje. Nadalje, Koprivnica se nalazi na pleistocenoj terasi koje predstavljaju lokacije najvažnijih naselja i prometnica u cijeloj Podravini.</w:t>
      </w:r>
    </w:p>
    <w:p w14:paraId="67FA860B"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Kao relevantna prirodna obilježja područja ističu se tri zaštićena prirodna područja: Posebni botanički rezervat (šumske vegetacije) Dugačko brdo području Koprivnice, Livade u Zovju kod Đelekovca, te Regionalni park Mura - Drava koji je 2012. godine UNESCO proglasio prekograničnim Rezervatom biosfere Mura-Drava-Dunav. Rezervat obuhvaća područje 5 županija na ukupno 87.680,52 ha, pri čemu se 16.780,85 ha, odnosno 19,19% čitavog rezervata nalazi na području Koprivničko-križevačke županije.</w:t>
      </w:r>
    </w:p>
    <w:p w14:paraId="10F54837" w14:textId="77777777" w:rsidR="002F7564" w:rsidRDefault="002F7564">
      <w:pPr>
        <w:jc w:val="both"/>
        <w:rPr>
          <w:rFonts w:ascii="Source Sans Pro" w:eastAsia="Source Sans Pro" w:hAnsi="Source Sans Pro" w:cs="Source Sans Pro"/>
        </w:rPr>
      </w:pPr>
    </w:p>
    <w:p w14:paraId="2CE00EE5"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Urbano područje Koprivnica pripada umjereno semihumidnoj klimatskoj zoni koju karakterizira umjereno kontinentalna klima s izraženim ekstremnim vrijednostima pojedinih klimatskih elemenata. Srednja godišnja temperatura iznosi oko 10°C. Minimalna temperatura zraka na Urbanom području je, za povratno razdoblje 50 godina, zabilježena između -25℃ do -20℃, a maksimalna temperatura zraka je zabilježena između 30℃ do 40 ℃. U Urbanom području središnja godišnja količina oborine je 800 - 900 mm, osim u sjeveroistoku gdje je srednja količina 300 - 800 mm. Prosječna temperatura u siječnju je -0,7℃, dok u srpnju prosječna temperatura doseže 20,3℃. U Koprivnici dominiraju jugozapadni (42%) i sjeverozapadni vjetrovi (30%).</w:t>
      </w:r>
    </w:p>
    <w:p w14:paraId="2AA8216A" w14:textId="77777777" w:rsidR="002F7564" w:rsidRDefault="002F7564">
      <w:pPr>
        <w:jc w:val="both"/>
        <w:rPr>
          <w:rFonts w:ascii="Source Sans Pro" w:eastAsia="Source Sans Pro" w:hAnsi="Source Sans Pro" w:cs="Source Sans Pro"/>
        </w:rPr>
      </w:pPr>
    </w:p>
    <w:p w14:paraId="0F169828" w14:textId="77777777" w:rsidR="002F7564" w:rsidRDefault="002F7564">
      <w:pPr>
        <w:jc w:val="both"/>
        <w:rPr>
          <w:rFonts w:ascii="Source Sans Pro" w:eastAsia="Source Sans Pro" w:hAnsi="Source Sans Pro" w:cs="Source Sans Pro"/>
        </w:rPr>
      </w:pPr>
    </w:p>
    <w:p w14:paraId="70D7F64B" w14:textId="77777777" w:rsidR="002F7564" w:rsidRDefault="002F7564">
      <w:pPr>
        <w:jc w:val="both"/>
        <w:rPr>
          <w:rFonts w:ascii="Source Sans Pro" w:eastAsia="Source Sans Pro" w:hAnsi="Source Sans Pro" w:cs="Source Sans Pro"/>
          <w:b/>
          <w:sz w:val="24"/>
          <w:szCs w:val="24"/>
        </w:rPr>
      </w:pPr>
    </w:p>
    <w:p w14:paraId="28108B31" w14:textId="77777777" w:rsidR="002F7564" w:rsidRDefault="002F7564">
      <w:pPr>
        <w:jc w:val="both"/>
        <w:rPr>
          <w:rFonts w:ascii="Source Sans Pro" w:eastAsia="Source Sans Pro" w:hAnsi="Source Sans Pro" w:cs="Source Sans Pro"/>
          <w:b/>
          <w:sz w:val="24"/>
          <w:szCs w:val="24"/>
        </w:rPr>
      </w:pPr>
    </w:p>
    <w:p w14:paraId="1DB898AA" w14:textId="77777777" w:rsidR="002F7564" w:rsidRDefault="002F7564">
      <w:pPr>
        <w:jc w:val="both"/>
        <w:rPr>
          <w:rFonts w:ascii="Source Sans Pro" w:eastAsia="Source Sans Pro" w:hAnsi="Source Sans Pro" w:cs="Source Sans Pro"/>
          <w:b/>
          <w:sz w:val="24"/>
          <w:szCs w:val="24"/>
        </w:rPr>
      </w:pPr>
    </w:p>
    <w:p w14:paraId="4DC57EA2" w14:textId="77777777" w:rsidR="002F7564" w:rsidRDefault="002F7564">
      <w:pPr>
        <w:jc w:val="both"/>
        <w:rPr>
          <w:rFonts w:ascii="Source Sans Pro" w:eastAsia="Source Sans Pro" w:hAnsi="Source Sans Pro" w:cs="Source Sans Pro"/>
          <w:b/>
          <w:sz w:val="24"/>
          <w:szCs w:val="24"/>
        </w:rPr>
      </w:pPr>
    </w:p>
    <w:p w14:paraId="2C97F4A1" w14:textId="77777777" w:rsidR="002F7564" w:rsidRDefault="002F7564">
      <w:pPr>
        <w:jc w:val="both"/>
        <w:rPr>
          <w:rFonts w:ascii="Source Sans Pro" w:eastAsia="Source Sans Pro" w:hAnsi="Source Sans Pro" w:cs="Source Sans Pro"/>
          <w:b/>
          <w:sz w:val="24"/>
          <w:szCs w:val="24"/>
        </w:rPr>
      </w:pPr>
    </w:p>
    <w:p w14:paraId="5C908DEB" w14:textId="77777777" w:rsidR="002F7564" w:rsidRDefault="002F7564">
      <w:pPr>
        <w:jc w:val="both"/>
        <w:rPr>
          <w:rFonts w:ascii="Source Sans Pro" w:eastAsia="Source Sans Pro" w:hAnsi="Source Sans Pro" w:cs="Source Sans Pro"/>
          <w:b/>
          <w:sz w:val="24"/>
          <w:szCs w:val="24"/>
        </w:rPr>
      </w:pPr>
    </w:p>
    <w:p w14:paraId="30A14A83" w14:textId="77777777" w:rsidR="002F7564" w:rsidRDefault="002F7564">
      <w:pPr>
        <w:jc w:val="both"/>
        <w:rPr>
          <w:rFonts w:ascii="Source Sans Pro" w:eastAsia="Source Sans Pro" w:hAnsi="Source Sans Pro" w:cs="Source Sans Pro"/>
          <w:b/>
          <w:sz w:val="24"/>
          <w:szCs w:val="24"/>
        </w:rPr>
      </w:pPr>
    </w:p>
    <w:p w14:paraId="36B44AC6" w14:textId="77777777" w:rsidR="002F7564" w:rsidRDefault="002F7564">
      <w:pPr>
        <w:jc w:val="both"/>
        <w:rPr>
          <w:rFonts w:ascii="Source Sans Pro" w:eastAsia="Source Sans Pro" w:hAnsi="Source Sans Pro" w:cs="Source Sans Pro"/>
          <w:b/>
          <w:sz w:val="24"/>
          <w:szCs w:val="24"/>
        </w:rPr>
      </w:pPr>
    </w:p>
    <w:p w14:paraId="3DA556D6" w14:textId="77777777" w:rsidR="002F7564" w:rsidRDefault="002F7564">
      <w:pPr>
        <w:jc w:val="both"/>
        <w:rPr>
          <w:rFonts w:ascii="Source Sans Pro" w:eastAsia="Source Sans Pro" w:hAnsi="Source Sans Pro" w:cs="Source Sans Pro"/>
          <w:b/>
          <w:sz w:val="24"/>
          <w:szCs w:val="24"/>
        </w:rPr>
      </w:pPr>
    </w:p>
    <w:p w14:paraId="0B011F78" w14:textId="77777777" w:rsidR="002F7564" w:rsidRDefault="002F7564">
      <w:pPr>
        <w:jc w:val="both"/>
        <w:rPr>
          <w:rFonts w:ascii="Source Sans Pro" w:eastAsia="Source Sans Pro" w:hAnsi="Source Sans Pro" w:cs="Source Sans Pro"/>
          <w:b/>
          <w:sz w:val="24"/>
          <w:szCs w:val="24"/>
        </w:rPr>
      </w:pPr>
    </w:p>
    <w:p w14:paraId="4520FC42" w14:textId="77777777" w:rsidR="002F7564" w:rsidRDefault="002F7564">
      <w:pPr>
        <w:jc w:val="both"/>
        <w:rPr>
          <w:rFonts w:ascii="Source Sans Pro" w:eastAsia="Source Sans Pro" w:hAnsi="Source Sans Pro" w:cs="Source Sans Pro"/>
          <w:b/>
          <w:sz w:val="24"/>
          <w:szCs w:val="24"/>
        </w:rPr>
      </w:pPr>
    </w:p>
    <w:p w14:paraId="1D7A5CA0" w14:textId="77777777" w:rsidR="002F7564" w:rsidRDefault="002F7564">
      <w:pPr>
        <w:jc w:val="both"/>
        <w:rPr>
          <w:rFonts w:ascii="Source Sans Pro" w:eastAsia="Source Sans Pro" w:hAnsi="Source Sans Pro" w:cs="Source Sans Pro"/>
          <w:b/>
          <w:sz w:val="24"/>
          <w:szCs w:val="24"/>
        </w:rPr>
      </w:pPr>
    </w:p>
    <w:p w14:paraId="7A402822" w14:textId="77777777" w:rsidR="002F7564" w:rsidRDefault="002F7564">
      <w:pPr>
        <w:jc w:val="both"/>
        <w:rPr>
          <w:rFonts w:ascii="Source Sans Pro" w:eastAsia="Source Sans Pro" w:hAnsi="Source Sans Pro" w:cs="Source Sans Pro"/>
          <w:b/>
          <w:sz w:val="24"/>
          <w:szCs w:val="24"/>
        </w:rPr>
      </w:pPr>
    </w:p>
    <w:p w14:paraId="0A50A188" w14:textId="77777777" w:rsidR="002F7564" w:rsidRDefault="002F7564">
      <w:pPr>
        <w:jc w:val="both"/>
        <w:rPr>
          <w:rFonts w:ascii="Source Sans Pro" w:eastAsia="Source Sans Pro" w:hAnsi="Source Sans Pro" w:cs="Source Sans Pro"/>
          <w:b/>
          <w:sz w:val="24"/>
          <w:szCs w:val="24"/>
        </w:rPr>
      </w:pPr>
    </w:p>
    <w:p w14:paraId="52519793" w14:textId="77777777" w:rsidR="002F7564" w:rsidRDefault="00000000">
      <w:pPr>
        <w:pStyle w:val="Heading1"/>
        <w:ind w:firstLine="720"/>
      </w:pPr>
      <w:bookmarkStart w:id="6" w:name="_tyjcwt" w:colFirst="0" w:colLast="0"/>
      <w:bookmarkEnd w:id="6"/>
      <w:r>
        <w:lastRenderedPageBreak/>
        <w:t>3. Opis sudjelovanja partnera u pripremi i provedbi SRUP-a</w:t>
      </w:r>
    </w:p>
    <w:p w14:paraId="1F30D2F2" w14:textId="77777777" w:rsidR="002F7564" w:rsidRDefault="002F7564">
      <w:pPr>
        <w:jc w:val="both"/>
        <w:rPr>
          <w:rFonts w:ascii="Source Sans Pro" w:eastAsia="Source Sans Pro" w:hAnsi="Source Sans Pro" w:cs="Source Sans Pro"/>
        </w:rPr>
      </w:pPr>
    </w:p>
    <w:p w14:paraId="2F196103"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Načelo partnerstva kao jedno od osnovnih načela strateškog planiranja i upravljanja razvojem temelj je pripreme i provedbe Strategije razvoja Urbanog područja Koprivnica za razdoblje 2021.-2027. Grad Koprivnica, kao središte Urbanog područja i nositelj izrade SRUP-a, inicirao je ustrojavanje Partnerskog vijeća. </w:t>
      </w:r>
    </w:p>
    <w:p w14:paraId="7BAB746C"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br/>
        <w:t xml:space="preserve">Odlukom o osnivanju i imenovanju Partnerskog vijeća za izradu i praćenje Strategije razvoja manjeg urbanog područja Koprivnica za financijsko razdoblje od 2021. do 2027. godine (KLASA: 010-01/21-01/0003; URBROJ: 2137/01-03/2-21-88) od 8. prosinca 2021. ustrojeno je Partnersko vijeće Urbanog područja. Partnersko vijeće savjetodavno je tijelo koje sudjeluje u donošenju SRUP-a, utvrđivanju prioriteta razvoja urbanog područja, predlaganju strateških projekata za razvoj područja te njihove provedbe i praćenja. </w:t>
      </w:r>
    </w:p>
    <w:p w14:paraId="7B9E463F" w14:textId="77777777" w:rsidR="002F7564" w:rsidRDefault="002F7564">
      <w:pPr>
        <w:jc w:val="both"/>
        <w:rPr>
          <w:rFonts w:ascii="Source Sans Pro" w:eastAsia="Source Sans Pro" w:hAnsi="Source Sans Pro" w:cs="Source Sans Pro"/>
        </w:rPr>
      </w:pPr>
    </w:p>
    <w:p w14:paraId="01F9D833"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Djelokrug i funkcioniranje Partnerskog vijeća definiran je Uredbom o osnivanju, sastavu, djelokrugu i načinu rada partnerskih vijeća (NN 103/15), odnosno člankom 28. Zakona o regionalnom razvoju Republike Hrvatske (NN 147/14, 123/17, 118/18). Suradnja svih jedinica lokalne samouprave, ali i ostalih ključnih dionika institucionalizirana je kroz rad Partnerskog vijeća, koje se posebno rukovodi sljedećim načelima:</w:t>
      </w:r>
    </w:p>
    <w:p w14:paraId="68E7D2FF" w14:textId="77777777" w:rsidR="002F7564" w:rsidRDefault="002F7564">
      <w:pPr>
        <w:jc w:val="both"/>
        <w:rPr>
          <w:rFonts w:ascii="Source Sans Pro" w:eastAsia="Source Sans Pro" w:hAnsi="Source Sans Pro" w:cs="Source Sans Pro"/>
        </w:rPr>
      </w:pPr>
    </w:p>
    <w:p w14:paraId="209682DE"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w:t>
      </w:r>
      <w:r>
        <w:rPr>
          <w:rFonts w:ascii="Source Sans Pro" w:eastAsia="Source Sans Pro" w:hAnsi="Source Sans Pro" w:cs="Source Sans Pro"/>
          <w:b/>
        </w:rPr>
        <w:t xml:space="preserve"> Načelom ravnomjerne predstavljenosti partnera</w:t>
      </w:r>
      <w:r>
        <w:rPr>
          <w:rFonts w:ascii="Source Sans Pro" w:eastAsia="Source Sans Pro" w:hAnsi="Source Sans Pro" w:cs="Source Sans Pro"/>
        </w:rPr>
        <w:t xml:space="preserve"> – koje podrazumijeva da partnersko vijeće omogućava predstavljenost ključnih dionika razvoja iz javnog, privatnog i civilnog sektora na području za koje se osniva, te da se u radu partnerskog vijeća onemogući pretežiti utjecaj samo jedne kategorije dionika;</w:t>
      </w:r>
    </w:p>
    <w:p w14:paraId="49273D4A"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 </w:t>
      </w:r>
      <w:r>
        <w:rPr>
          <w:rFonts w:ascii="Source Sans Pro" w:eastAsia="Source Sans Pro" w:hAnsi="Source Sans Pro" w:cs="Source Sans Pro"/>
          <w:b/>
        </w:rPr>
        <w:t>Načelom transparentnosti</w:t>
      </w:r>
      <w:r>
        <w:rPr>
          <w:rFonts w:ascii="Source Sans Pro" w:eastAsia="Source Sans Pro" w:hAnsi="Source Sans Pro" w:cs="Source Sans Pro"/>
        </w:rPr>
        <w:t xml:space="preserve"> – koje se odnosi na postupak utvrđivanja ključnih dionika, razvoja jednako kao i način rada partnerskog vijeća;</w:t>
      </w:r>
    </w:p>
    <w:p w14:paraId="01671408"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w:t>
      </w:r>
      <w:r>
        <w:rPr>
          <w:rFonts w:ascii="Source Sans Pro" w:eastAsia="Source Sans Pro" w:hAnsi="Source Sans Pro" w:cs="Source Sans Pro"/>
          <w:b/>
        </w:rPr>
        <w:t xml:space="preserve"> Načelom jednakosti članova partnerstva</w:t>
      </w:r>
      <w:r>
        <w:rPr>
          <w:rFonts w:ascii="Source Sans Pro" w:eastAsia="Source Sans Pro" w:hAnsi="Source Sans Pro" w:cs="Source Sans Pro"/>
        </w:rPr>
        <w:t xml:space="preserve"> – koje podrazumijeva da svaki član partnerskog vijeća može iznijeti stajalište organizacije koju predstavlja, te da to mišljenje na prikladan način bude uzeto u razmatranje;</w:t>
      </w:r>
    </w:p>
    <w:p w14:paraId="6A7829B5"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b/>
        </w:rPr>
        <w:t>– Načelo usuglašavanja</w:t>
      </w:r>
      <w:r>
        <w:rPr>
          <w:rFonts w:ascii="Source Sans Pro" w:eastAsia="Source Sans Pro" w:hAnsi="Source Sans Pro" w:cs="Source Sans Pro"/>
        </w:rPr>
        <w:t xml:space="preserve"> – koje podrazumijeva da se do odluka partnerskog vijeća dolazi putem pregovaračkog procesa kroz postizanje sporazuma između članova.</w:t>
      </w:r>
    </w:p>
    <w:p w14:paraId="1EE4E471" w14:textId="77777777" w:rsidR="002F7564" w:rsidRDefault="002F7564">
      <w:pPr>
        <w:jc w:val="both"/>
        <w:rPr>
          <w:rFonts w:ascii="Source Sans Pro" w:eastAsia="Source Sans Pro" w:hAnsi="Source Sans Pro" w:cs="Source Sans Pro"/>
        </w:rPr>
      </w:pPr>
    </w:p>
    <w:p w14:paraId="4E1C8044"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Prilikom osnivanja Partnerskog vijeća uzeta je u obzir potreba za zastupljenosti različitih dionika razvoja iz svih jedinica lokalne samouprave koje čine Urbano područje, kao i o zastupljenosti interesa većina stanovnika Urbanog područja, stoga u radu Partnerskog vijeća sudjeluju predstavnici:</w:t>
      </w:r>
    </w:p>
    <w:p w14:paraId="367199E7" w14:textId="77777777" w:rsidR="002F7564" w:rsidRDefault="00000000">
      <w:pPr>
        <w:numPr>
          <w:ilvl w:val="0"/>
          <w:numId w:val="5"/>
        </w:numPr>
        <w:jc w:val="both"/>
        <w:rPr>
          <w:rFonts w:ascii="Source Sans Pro" w:eastAsia="Source Sans Pro" w:hAnsi="Source Sans Pro" w:cs="Source Sans Pro"/>
        </w:rPr>
      </w:pPr>
      <w:r>
        <w:rPr>
          <w:rFonts w:ascii="Source Sans Pro" w:eastAsia="Source Sans Pro" w:hAnsi="Source Sans Pro" w:cs="Source Sans Pro"/>
        </w:rPr>
        <w:t>svih jedinica lokalne samouprave koje čine urbano područje;</w:t>
      </w:r>
    </w:p>
    <w:p w14:paraId="3F2A0DA8" w14:textId="77777777" w:rsidR="002F7564" w:rsidRDefault="00000000">
      <w:pPr>
        <w:numPr>
          <w:ilvl w:val="0"/>
          <w:numId w:val="5"/>
        </w:numPr>
        <w:jc w:val="both"/>
        <w:rPr>
          <w:rFonts w:ascii="Source Sans Pro" w:eastAsia="Source Sans Pro" w:hAnsi="Source Sans Pro" w:cs="Source Sans Pro"/>
        </w:rPr>
      </w:pPr>
      <w:r>
        <w:rPr>
          <w:rFonts w:ascii="Source Sans Pro" w:eastAsia="Source Sans Pro" w:hAnsi="Source Sans Pro" w:cs="Source Sans Pro"/>
        </w:rPr>
        <w:t>županije i regionalnog koordinatora;</w:t>
      </w:r>
    </w:p>
    <w:p w14:paraId="4B5ABE99" w14:textId="77777777" w:rsidR="002F7564" w:rsidRDefault="00000000">
      <w:pPr>
        <w:numPr>
          <w:ilvl w:val="0"/>
          <w:numId w:val="5"/>
        </w:numPr>
        <w:jc w:val="both"/>
        <w:rPr>
          <w:rFonts w:ascii="Source Sans Pro" w:eastAsia="Source Sans Pro" w:hAnsi="Source Sans Pro" w:cs="Source Sans Pro"/>
        </w:rPr>
      </w:pPr>
      <w:r>
        <w:rPr>
          <w:rFonts w:ascii="Source Sans Pro" w:eastAsia="Source Sans Pro" w:hAnsi="Source Sans Pro" w:cs="Source Sans Pro"/>
        </w:rPr>
        <w:t>drugih javnih tijela čije je sudjelovanje značajno za razvoj urbanog područja;</w:t>
      </w:r>
    </w:p>
    <w:p w14:paraId="734EC1E1" w14:textId="77777777" w:rsidR="002F7564" w:rsidRDefault="00000000">
      <w:pPr>
        <w:numPr>
          <w:ilvl w:val="0"/>
          <w:numId w:val="5"/>
        </w:numPr>
        <w:jc w:val="both"/>
        <w:rPr>
          <w:rFonts w:ascii="Source Sans Pro" w:eastAsia="Source Sans Pro" w:hAnsi="Source Sans Pro" w:cs="Source Sans Pro"/>
        </w:rPr>
      </w:pPr>
      <w:r>
        <w:rPr>
          <w:rFonts w:ascii="Source Sans Pro" w:eastAsia="Source Sans Pro" w:hAnsi="Source Sans Pro" w:cs="Source Sans Pro"/>
        </w:rPr>
        <w:t>visokoškolskih ustanova, pružatelja obrazovnih usluga i usluga osposobljavanja te istraživačkih centara;</w:t>
      </w:r>
    </w:p>
    <w:p w14:paraId="2F70CDD3" w14:textId="77777777" w:rsidR="002F7564" w:rsidRDefault="00000000">
      <w:pPr>
        <w:numPr>
          <w:ilvl w:val="0"/>
          <w:numId w:val="5"/>
        </w:numPr>
        <w:jc w:val="both"/>
        <w:rPr>
          <w:rFonts w:ascii="Source Sans Pro" w:eastAsia="Source Sans Pro" w:hAnsi="Source Sans Pro" w:cs="Source Sans Pro"/>
        </w:rPr>
      </w:pPr>
      <w:r>
        <w:rPr>
          <w:rFonts w:ascii="Source Sans Pro" w:eastAsia="Source Sans Pro" w:hAnsi="Source Sans Pro" w:cs="Source Sans Pro"/>
        </w:rPr>
        <w:lastRenderedPageBreak/>
        <w:t>gospodarskih i socijalnih partnera, uključujući istaknute organizacije gospodarskih i socijalnih partnera te predstavnike gospodarskih i obrtničkih komora ili poslovnih udruženja iz urbanog područja;</w:t>
      </w:r>
    </w:p>
    <w:p w14:paraId="1594DF83" w14:textId="77777777" w:rsidR="002F7564" w:rsidRDefault="00000000">
      <w:pPr>
        <w:numPr>
          <w:ilvl w:val="0"/>
          <w:numId w:val="5"/>
        </w:numPr>
        <w:jc w:val="both"/>
        <w:rPr>
          <w:rFonts w:ascii="Source Sans Pro" w:eastAsia="Source Sans Pro" w:hAnsi="Source Sans Pro" w:cs="Source Sans Pro"/>
        </w:rPr>
      </w:pPr>
      <w:r>
        <w:rPr>
          <w:rFonts w:ascii="Source Sans Pro" w:eastAsia="Source Sans Pro" w:hAnsi="Source Sans Pro" w:cs="Source Sans Pro"/>
        </w:rPr>
        <w:t>organizacija civilnog društva, posebno iz područja zaštite okoliša, promicanja socijalne uključenosti, jednakosti među spolovima i nediskriminacije, zaštite prava nacionalnih manjina uzimajući u obzir geografsku i tematsku pokrivenost, sposobnost upravljanja, stručnost i inovativne pristupe.</w:t>
      </w:r>
    </w:p>
    <w:p w14:paraId="0B4F5F7D" w14:textId="77777777" w:rsidR="002F7564" w:rsidRDefault="002F7564">
      <w:pPr>
        <w:jc w:val="both"/>
        <w:rPr>
          <w:rFonts w:ascii="Source Sans Pro" w:eastAsia="Source Sans Pro" w:hAnsi="Source Sans Pro" w:cs="Source Sans Pro"/>
        </w:rPr>
      </w:pPr>
    </w:p>
    <w:p w14:paraId="7F0EE90A"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Sastav Partnerskog vijeća definiran je Odlukom o osnivanju i imenovanju Partnerskog vijeća, a čini ga ukupno 28 članova, odnosno njihovih zamjenika. Institucije čiji su predstavnici u sastavu Partnerskog vijeća prikazane su u tablici niže:</w:t>
      </w:r>
    </w:p>
    <w:p w14:paraId="7A0F3265" w14:textId="77777777" w:rsidR="002F7564" w:rsidRDefault="002F7564">
      <w:pPr>
        <w:jc w:val="both"/>
        <w:rPr>
          <w:rFonts w:ascii="Source Sans Pro" w:eastAsia="Source Sans Pro" w:hAnsi="Source Sans Pro" w:cs="Source Sans Pro"/>
        </w:rPr>
      </w:pPr>
    </w:p>
    <w:p w14:paraId="340D4002"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sz w:val="20"/>
          <w:szCs w:val="20"/>
        </w:rPr>
        <w:t>Tablica 2 Popis članova i zamjenika članova Partnerskog vijeća</w:t>
      </w:r>
    </w:p>
    <w:tbl>
      <w:tblPr>
        <w:tblStyle w:val="a0"/>
        <w:tblW w:w="9015" w:type="dxa"/>
        <w:tblInd w:w="-1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425"/>
        <w:gridCol w:w="2265"/>
        <w:gridCol w:w="2325"/>
      </w:tblGrid>
      <w:tr w:rsidR="002F7564" w14:paraId="0F819523" w14:textId="77777777">
        <w:tc>
          <w:tcPr>
            <w:tcW w:w="4425" w:type="dxa"/>
            <w:tcBorders>
              <w:right w:val="single" w:sz="8" w:space="0" w:color="FFFFFF"/>
            </w:tcBorders>
            <w:shd w:val="clear" w:color="auto" w:fill="096EB3"/>
            <w:tcMar>
              <w:top w:w="100" w:type="dxa"/>
              <w:left w:w="100" w:type="dxa"/>
              <w:bottom w:w="100" w:type="dxa"/>
              <w:right w:w="100" w:type="dxa"/>
            </w:tcMar>
          </w:tcPr>
          <w:p w14:paraId="7B5D552E" w14:textId="77777777" w:rsidR="002F7564" w:rsidRDefault="00000000">
            <w:pPr>
              <w:widowControl w:val="0"/>
              <w:pBdr>
                <w:top w:val="nil"/>
                <w:left w:val="nil"/>
                <w:bottom w:val="nil"/>
                <w:right w:val="nil"/>
                <w:between w:val="nil"/>
              </w:pBdr>
              <w:rPr>
                <w:rFonts w:ascii="Source Sans Pro" w:eastAsia="Source Sans Pro" w:hAnsi="Source Sans Pro" w:cs="Source Sans Pro"/>
                <w:b/>
                <w:color w:val="FFFFFF"/>
              </w:rPr>
            </w:pPr>
            <w:r>
              <w:rPr>
                <w:rFonts w:ascii="Source Sans Pro" w:eastAsia="Source Sans Pro" w:hAnsi="Source Sans Pro" w:cs="Source Sans Pro"/>
                <w:b/>
                <w:color w:val="FFFFFF"/>
              </w:rPr>
              <w:t>Dionici</w:t>
            </w:r>
          </w:p>
        </w:tc>
        <w:tc>
          <w:tcPr>
            <w:tcW w:w="2265" w:type="dxa"/>
            <w:tcBorders>
              <w:left w:val="single" w:sz="8" w:space="0" w:color="FFFFFF"/>
              <w:right w:val="single" w:sz="8" w:space="0" w:color="FFFFFF"/>
            </w:tcBorders>
            <w:shd w:val="clear" w:color="auto" w:fill="096EB3"/>
            <w:tcMar>
              <w:top w:w="100" w:type="dxa"/>
              <w:left w:w="100" w:type="dxa"/>
              <w:bottom w:w="100" w:type="dxa"/>
              <w:right w:w="100" w:type="dxa"/>
            </w:tcMar>
          </w:tcPr>
          <w:p w14:paraId="4699B85A" w14:textId="77777777" w:rsidR="002F7564" w:rsidRDefault="00000000">
            <w:pPr>
              <w:widowControl w:val="0"/>
              <w:pBdr>
                <w:top w:val="nil"/>
                <w:left w:val="nil"/>
                <w:bottom w:val="nil"/>
                <w:right w:val="nil"/>
                <w:between w:val="nil"/>
              </w:pBdr>
              <w:rPr>
                <w:rFonts w:ascii="Source Sans Pro" w:eastAsia="Source Sans Pro" w:hAnsi="Source Sans Pro" w:cs="Source Sans Pro"/>
                <w:b/>
                <w:color w:val="FFFFFF"/>
              </w:rPr>
            </w:pPr>
            <w:r>
              <w:rPr>
                <w:rFonts w:ascii="Source Sans Pro" w:eastAsia="Source Sans Pro" w:hAnsi="Source Sans Pro" w:cs="Source Sans Pro"/>
                <w:b/>
                <w:color w:val="FFFFFF"/>
              </w:rPr>
              <w:t>Član</w:t>
            </w:r>
          </w:p>
        </w:tc>
        <w:tc>
          <w:tcPr>
            <w:tcW w:w="2325" w:type="dxa"/>
            <w:tcBorders>
              <w:left w:val="single" w:sz="8" w:space="0" w:color="FFFFFF"/>
            </w:tcBorders>
            <w:shd w:val="clear" w:color="auto" w:fill="096EB3"/>
            <w:tcMar>
              <w:top w:w="100" w:type="dxa"/>
              <w:left w:w="100" w:type="dxa"/>
              <w:bottom w:w="100" w:type="dxa"/>
              <w:right w:w="100" w:type="dxa"/>
            </w:tcMar>
          </w:tcPr>
          <w:p w14:paraId="12422B3E" w14:textId="77777777" w:rsidR="002F7564" w:rsidRDefault="00000000">
            <w:pPr>
              <w:widowControl w:val="0"/>
              <w:pBdr>
                <w:top w:val="nil"/>
                <w:left w:val="nil"/>
                <w:bottom w:val="nil"/>
                <w:right w:val="nil"/>
                <w:between w:val="nil"/>
              </w:pBdr>
              <w:rPr>
                <w:rFonts w:ascii="Source Sans Pro" w:eastAsia="Source Sans Pro" w:hAnsi="Source Sans Pro" w:cs="Source Sans Pro"/>
                <w:b/>
                <w:color w:val="FFFFFF"/>
              </w:rPr>
            </w:pPr>
            <w:r>
              <w:rPr>
                <w:rFonts w:ascii="Source Sans Pro" w:eastAsia="Source Sans Pro" w:hAnsi="Source Sans Pro" w:cs="Source Sans Pro"/>
                <w:b/>
                <w:color w:val="FFFFFF"/>
              </w:rPr>
              <w:t>Zamjenik člana</w:t>
            </w:r>
          </w:p>
        </w:tc>
      </w:tr>
      <w:tr w:rsidR="002F7564" w14:paraId="575825F4" w14:textId="77777777">
        <w:tc>
          <w:tcPr>
            <w:tcW w:w="4425" w:type="dxa"/>
            <w:shd w:val="clear" w:color="auto" w:fill="F3F3F3"/>
            <w:tcMar>
              <w:top w:w="100" w:type="dxa"/>
              <w:left w:w="100" w:type="dxa"/>
              <w:bottom w:w="100" w:type="dxa"/>
              <w:right w:w="100" w:type="dxa"/>
            </w:tcMar>
          </w:tcPr>
          <w:p w14:paraId="7943083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Grad Koprivnica</w:t>
            </w:r>
          </w:p>
        </w:tc>
        <w:tc>
          <w:tcPr>
            <w:tcW w:w="2265" w:type="dxa"/>
            <w:shd w:val="clear" w:color="auto" w:fill="F3F3F3"/>
            <w:tcMar>
              <w:top w:w="100" w:type="dxa"/>
              <w:left w:w="100" w:type="dxa"/>
              <w:bottom w:w="100" w:type="dxa"/>
              <w:right w:w="100" w:type="dxa"/>
            </w:tcMar>
          </w:tcPr>
          <w:p w14:paraId="1BA0635B"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Zdravko Punčikar</w:t>
            </w:r>
          </w:p>
        </w:tc>
        <w:tc>
          <w:tcPr>
            <w:tcW w:w="2325" w:type="dxa"/>
            <w:shd w:val="clear" w:color="auto" w:fill="F3F3F3"/>
            <w:tcMar>
              <w:top w:w="100" w:type="dxa"/>
              <w:left w:w="100" w:type="dxa"/>
              <w:bottom w:w="100" w:type="dxa"/>
              <w:right w:w="100" w:type="dxa"/>
            </w:tcMar>
          </w:tcPr>
          <w:p w14:paraId="7310674F"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Nebojša Kalanj</w:t>
            </w:r>
          </w:p>
        </w:tc>
      </w:tr>
      <w:tr w:rsidR="002F7564" w14:paraId="288AA0CD" w14:textId="77777777">
        <w:tc>
          <w:tcPr>
            <w:tcW w:w="4425" w:type="dxa"/>
            <w:shd w:val="clear" w:color="auto" w:fill="F3F3F3"/>
            <w:tcMar>
              <w:top w:w="100" w:type="dxa"/>
              <w:left w:w="100" w:type="dxa"/>
              <w:bottom w:w="100" w:type="dxa"/>
              <w:right w:w="100" w:type="dxa"/>
            </w:tcMar>
          </w:tcPr>
          <w:p w14:paraId="6BB4DCF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Grad Koprivnica</w:t>
            </w:r>
          </w:p>
        </w:tc>
        <w:tc>
          <w:tcPr>
            <w:tcW w:w="2265" w:type="dxa"/>
            <w:shd w:val="clear" w:color="auto" w:fill="F3F3F3"/>
            <w:tcMar>
              <w:top w:w="100" w:type="dxa"/>
              <w:left w:w="100" w:type="dxa"/>
              <w:bottom w:w="100" w:type="dxa"/>
              <w:right w:w="100" w:type="dxa"/>
            </w:tcMar>
          </w:tcPr>
          <w:p w14:paraId="148E4CC6"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Dario Jembrek</w:t>
            </w:r>
          </w:p>
        </w:tc>
        <w:tc>
          <w:tcPr>
            <w:tcW w:w="2325" w:type="dxa"/>
            <w:shd w:val="clear" w:color="auto" w:fill="F3F3F3"/>
            <w:tcMar>
              <w:top w:w="100" w:type="dxa"/>
              <w:left w:w="100" w:type="dxa"/>
              <w:bottom w:w="100" w:type="dxa"/>
              <w:right w:w="100" w:type="dxa"/>
            </w:tcMar>
          </w:tcPr>
          <w:p w14:paraId="3223F56A"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Darko Ledinski</w:t>
            </w:r>
          </w:p>
        </w:tc>
      </w:tr>
      <w:tr w:rsidR="002F7564" w14:paraId="5E072BD8" w14:textId="77777777">
        <w:tc>
          <w:tcPr>
            <w:tcW w:w="4425" w:type="dxa"/>
            <w:shd w:val="clear" w:color="auto" w:fill="F3F3F3"/>
            <w:tcMar>
              <w:top w:w="100" w:type="dxa"/>
              <w:left w:w="100" w:type="dxa"/>
              <w:bottom w:w="100" w:type="dxa"/>
              <w:right w:w="100" w:type="dxa"/>
            </w:tcMar>
          </w:tcPr>
          <w:p w14:paraId="6947A24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Grad Koprivnica</w:t>
            </w:r>
          </w:p>
        </w:tc>
        <w:tc>
          <w:tcPr>
            <w:tcW w:w="2265" w:type="dxa"/>
            <w:shd w:val="clear" w:color="auto" w:fill="F3F3F3"/>
            <w:tcMar>
              <w:top w:w="100" w:type="dxa"/>
              <w:left w:w="100" w:type="dxa"/>
              <w:bottom w:w="100" w:type="dxa"/>
              <w:right w:w="100" w:type="dxa"/>
            </w:tcMar>
          </w:tcPr>
          <w:p w14:paraId="7C295468"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Ana Mlinarić</w:t>
            </w:r>
          </w:p>
        </w:tc>
        <w:tc>
          <w:tcPr>
            <w:tcW w:w="2325" w:type="dxa"/>
            <w:shd w:val="clear" w:color="auto" w:fill="F3F3F3"/>
            <w:tcMar>
              <w:top w:w="100" w:type="dxa"/>
              <w:left w:w="100" w:type="dxa"/>
              <w:bottom w:w="100" w:type="dxa"/>
              <w:right w:w="100" w:type="dxa"/>
            </w:tcMar>
          </w:tcPr>
          <w:p w14:paraId="58981915"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Snježana Jovanović</w:t>
            </w:r>
          </w:p>
        </w:tc>
      </w:tr>
      <w:tr w:rsidR="002F7564" w14:paraId="5C5EC7CB" w14:textId="77777777">
        <w:tc>
          <w:tcPr>
            <w:tcW w:w="4425" w:type="dxa"/>
            <w:shd w:val="clear" w:color="auto" w:fill="F3F3F3"/>
            <w:tcMar>
              <w:top w:w="100" w:type="dxa"/>
              <w:left w:w="100" w:type="dxa"/>
              <w:bottom w:w="100" w:type="dxa"/>
              <w:right w:w="100" w:type="dxa"/>
            </w:tcMar>
          </w:tcPr>
          <w:p w14:paraId="5429E8EA"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Grad Koprivnica</w:t>
            </w:r>
          </w:p>
        </w:tc>
        <w:tc>
          <w:tcPr>
            <w:tcW w:w="2265" w:type="dxa"/>
            <w:shd w:val="clear" w:color="auto" w:fill="F3F3F3"/>
            <w:tcMar>
              <w:top w:w="100" w:type="dxa"/>
              <w:left w:w="100" w:type="dxa"/>
              <w:bottom w:w="100" w:type="dxa"/>
              <w:right w:w="100" w:type="dxa"/>
            </w:tcMar>
          </w:tcPr>
          <w:p w14:paraId="66D944FA"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Maja Ferlindeš</w:t>
            </w:r>
          </w:p>
        </w:tc>
        <w:tc>
          <w:tcPr>
            <w:tcW w:w="2325" w:type="dxa"/>
            <w:shd w:val="clear" w:color="auto" w:fill="F3F3F3"/>
            <w:tcMar>
              <w:top w:w="100" w:type="dxa"/>
              <w:left w:w="100" w:type="dxa"/>
              <w:bottom w:w="100" w:type="dxa"/>
              <w:right w:w="100" w:type="dxa"/>
            </w:tcMar>
          </w:tcPr>
          <w:p w14:paraId="38382135"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Ivana Vukonić</w:t>
            </w:r>
          </w:p>
        </w:tc>
      </w:tr>
      <w:tr w:rsidR="002F7564" w14:paraId="60B3F4D0" w14:textId="77777777">
        <w:tc>
          <w:tcPr>
            <w:tcW w:w="4425" w:type="dxa"/>
            <w:shd w:val="clear" w:color="auto" w:fill="F3F3F3"/>
            <w:tcMar>
              <w:top w:w="100" w:type="dxa"/>
              <w:left w:w="100" w:type="dxa"/>
              <w:bottom w:w="100" w:type="dxa"/>
              <w:right w:w="100" w:type="dxa"/>
            </w:tcMar>
          </w:tcPr>
          <w:p w14:paraId="3B2392E9"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Općina Drnje</w:t>
            </w:r>
          </w:p>
        </w:tc>
        <w:tc>
          <w:tcPr>
            <w:tcW w:w="2265" w:type="dxa"/>
            <w:shd w:val="clear" w:color="auto" w:fill="F3F3F3"/>
            <w:tcMar>
              <w:top w:w="100" w:type="dxa"/>
              <w:left w:w="100" w:type="dxa"/>
              <w:bottom w:w="100" w:type="dxa"/>
              <w:right w:w="100" w:type="dxa"/>
            </w:tcMar>
          </w:tcPr>
          <w:p w14:paraId="5EC7B827"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Petar Dombaj</w:t>
            </w:r>
          </w:p>
        </w:tc>
        <w:tc>
          <w:tcPr>
            <w:tcW w:w="2325" w:type="dxa"/>
            <w:shd w:val="clear" w:color="auto" w:fill="F3F3F3"/>
            <w:tcMar>
              <w:top w:w="100" w:type="dxa"/>
              <w:left w:w="100" w:type="dxa"/>
              <w:bottom w:w="100" w:type="dxa"/>
              <w:right w:w="100" w:type="dxa"/>
            </w:tcMar>
          </w:tcPr>
          <w:p w14:paraId="2EF0A342"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Nikola Grčić</w:t>
            </w:r>
          </w:p>
        </w:tc>
      </w:tr>
      <w:tr w:rsidR="002F7564" w14:paraId="15622433" w14:textId="77777777">
        <w:tc>
          <w:tcPr>
            <w:tcW w:w="4425" w:type="dxa"/>
            <w:shd w:val="clear" w:color="auto" w:fill="F3F3F3"/>
            <w:tcMar>
              <w:top w:w="100" w:type="dxa"/>
              <w:left w:w="100" w:type="dxa"/>
              <w:bottom w:w="100" w:type="dxa"/>
              <w:right w:w="100" w:type="dxa"/>
            </w:tcMar>
          </w:tcPr>
          <w:p w14:paraId="72C3C798"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Općina Đelekovec</w:t>
            </w:r>
          </w:p>
        </w:tc>
        <w:tc>
          <w:tcPr>
            <w:tcW w:w="2265" w:type="dxa"/>
            <w:shd w:val="clear" w:color="auto" w:fill="F3F3F3"/>
            <w:tcMar>
              <w:top w:w="100" w:type="dxa"/>
              <w:left w:w="100" w:type="dxa"/>
              <w:bottom w:w="100" w:type="dxa"/>
              <w:right w:w="100" w:type="dxa"/>
            </w:tcMar>
          </w:tcPr>
          <w:p w14:paraId="5BCD11F8"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Lara Samošćanec</w:t>
            </w:r>
          </w:p>
        </w:tc>
        <w:tc>
          <w:tcPr>
            <w:tcW w:w="2325" w:type="dxa"/>
            <w:shd w:val="clear" w:color="auto" w:fill="F3F3F3"/>
            <w:tcMar>
              <w:top w:w="100" w:type="dxa"/>
              <w:left w:w="100" w:type="dxa"/>
              <w:bottom w:w="100" w:type="dxa"/>
              <w:right w:w="100" w:type="dxa"/>
            </w:tcMar>
          </w:tcPr>
          <w:p w14:paraId="65374BC1"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Kristina Bilić</w:t>
            </w:r>
          </w:p>
        </w:tc>
      </w:tr>
      <w:tr w:rsidR="002F7564" w14:paraId="49DD1683" w14:textId="77777777">
        <w:tc>
          <w:tcPr>
            <w:tcW w:w="4425" w:type="dxa"/>
            <w:shd w:val="clear" w:color="auto" w:fill="F3F3F3"/>
            <w:tcMar>
              <w:top w:w="100" w:type="dxa"/>
              <w:left w:w="100" w:type="dxa"/>
              <w:bottom w:w="100" w:type="dxa"/>
              <w:right w:w="100" w:type="dxa"/>
            </w:tcMar>
          </w:tcPr>
          <w:p w14:paraId="71138062"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Općina Hlebine</w:t>
            </w:r>
          </w:p>
        </w:tc>
        <w:tc>
          <w:tcPr>
            <w:tcW w:w="2265" w:type="dxa"/>
            <w:shd w:val="clear" w:color="auto" w:fill="F3F3F3"/>
            <w:tcMar>
              <w:top w:w="100" w:type="dxa"/>
              <w:left w:w="100" w:type="dxa"/>
              <w:bottom w:w="100" w:type="dxa"/>
              <w:right w:w="100" w:type="dxa"/>
            </w:tcMar>
          </w:tcPr>
          <w:p w14:paraId="143110DD"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Đurđica Kovaček</w:t>
            </w:r>
          </w:p>
        </w:tc>
        <w:tc>
          <w:tcPr>
            <w:tcW w:w="2325" w:type="dxa"/>
            <w:shd w:val="clear" w:color="auto" w:fill="F3F3F3"/>
            <w:tcMar>
              <w:top w:w="100" w:type="dxa"/>
              <w:left w:w="100" w:type="dxa"/>
              <w:bottom w:w="100" w:type="dxa"/>
              <w:right w:w="100" w:type="dxa"/>
            </w:tcMar>
          </w:tcPr>
          <w:p w14:paraId="39609912"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Jasmina Brlečić</w:t>
            </w:r>
          </w:p>
        </w:tc>
      </w:tr>
      <w:tr w:rsidR="002F7564" w14:paraId="19D09976" w14:textId="77777777">
        <w:tc>
          <w:tcPr>
            <w:tcW w:w="4425" w:type="dxa"/>
            <w:shd w:val="clear" w:color="auto" w:fill="F3F3F3"/>
            <w:tcMar>
              <w:top w:w="100" w:type="dxa"/>
              <w:left w:w="100" w:type="dxa"/>
              <w:bottom w:w="100" w:type="dxa"/>
              <w:right w:w="100" w:type="dxa"/>
            </w:tcMar>
          </w:tcPr>
          <w:p w14:paraId="41B58AAA"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Općina Koprivnički Bregi</w:t>
            </w:r>
          </w:p>
        </w:tc>
        <w:tc>
          <w:tcPr>
            <w:tcW w:w="2265" w:type="dxa"/>
            <w:shd w:val="clear" w:color="auto" w:fill="F3F3F3"/>
            <w:tcMar>
              <w:top w:w="100" w:type="dxa"/>
              <w:left w:w="100" w:type="dxa"/>
              <w:bottom w:w="100" w:type="dxa"/>
              <w:right w:w="100" w:type="dxa"/>
            </w:tcMar>
          </w:tcPr>
          <w:p w14:paraId="6C9564E3"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Mato Kuzminski</w:t>
            </w:r>
          </w:p>
        </w:tc>
        <w:tc>
          <w:tcPr>
            <w:tcW w:w="2325" w:type="dxa"/>
            <w:shd w:val="clear" w:color="auto" w:fill="F3F3F3"/>
            <w:tcMar>
              <w:top w:w="100" w:type="dxa"/>
              <w:left w:w="100" w:type="dxa"/>
              <w:bottom w:w="100" w:type="dxa"/>
              <w:right w:w="100" w:type="dxa"/>
            </w:tcMar>
          </w:tcPr>
          <w:p w14:paraId="3A4C3D18"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Jasna Klasan</w:t>
            </w:r>
          </w:p>
        </w:tc>
      </w:tr>
      <w:tr w:rsidR="002F7564" w14:paraId="0A0528FC" w14:textId="77777777">
        <w:tc>
          <w:tcPr>
            <w:tcW w:w="4425" w:type="dxa"/>
            <w:shd w:val="clear" w:color="auto" w:fill="F3F3F3"/>
            <w:tcMar>
              <w:top w:w="100" w:type="dxa"/>
              <w:left w:w="100" w:type="dxa"/>
              <w:bottom w:w="100" w:type="dxa"/>
              <w:right w:w="100" w:type="dxa"/>
            </w:tcMar>
          </w:tcPr>
          <w:p w14:paraId="729C123D"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Općina Koprivnički Ivanec</w:t>
            </w:r>
          </w:p>
        </w:tc>
        <w:tc>
          <w:tcPr>
            <w:tcW w:w="2265" w:type="dxa"/>
            <w:shd w:val="clear" w:color="auto" w:fill="F3F3F3"/>
            <w:tcMar>
              <w:top w:w="100" w:type="dxa"/>
              <w:left w:w="100" w:type="dxa"/>
              <w:bottom w:w="100" w:type="dxa"/>
              <w:right w:w="100" w:type="dxa"/>
            </w:tcMar>
          </w:tcPr>
          <w:p w14:paraId="6874AE36"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Alen Jenčevec</w:t>
            </w:r>
          </w:p>
        </w:tc>
        <w:tc>
          <w:tcPr>
            <w:tcW w:w="2325" w:type="dxa"/>
            <w:shd w:val="clear" w:color="auto" w:fill="F3F3F3"/>
            <w:tcMar>
              <w:top w:w="100" w:type="dxa"/>
              <w:left w:w="100" w:type="dxa"/>
              <w:bottom w:w="100" w:type="dxa"/>
              <w:right w:w="100" w:type="dxa"/>
            </w:tcMar>
          </w:tcPr>
          <w:p w14:paraId="5F4C37CA"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Mihaela Husnjak</w:t>
            </w:r>
          </w:p>
        </w:tc>
      </w:tr>
      <w:tr w:rsidR="002F7564" w14:paraId="317178ED" w14:textId="77777777">
        <w:tc>
          <w:tcPr>
            <w:tcW w:w="4425" w:type="dxa"/>
            <w:shd w:val="clear" w:color="auto" w:fill="F3F3F3"/>
            <w:tcMar>
              <w:top w:w="100" w:type="dxa"/>
              <w:left w:w="100" w:type="dxa"/>
              <w:bottom w:w="100" w:type="dxa"/>
              <w:right w:w="100" w:type="dxa"/>
            </w:tcMar>
          </w:tcPr>
          <w:p w14:paraId="030214E8"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Općina Novigrad Podravski</w:t>
            </w:r>
          </w:p>
        </w:tc>
        <w:tc>
          <w:tcPr>
            <w:tcW w:w="2265" w:type="dxa"/>
            <w:shd w:val="clear" w:color="auto" w:fill="F3F3F3"/>
            <w:tcMar>
              <w:top w:w="100" w:type="dxa"/>
              <w:left w:w="100" w:type="dxa"/>
              <w:bottom w:w="100" w:type="dxa"/>
              <w:right w:w="100" w:type="dxa"/>
            </w:tcMar>
          </w:tcPr>
          <w:p w14:paraId="01E8B518"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Zdravko Brljek</w:t>
            </w:r>
          </w:p>
        </w:tc>
        <w:tc>
          <w:tcPr>
            <w:tcW w:w="2325" w:type="dxa"/>
            <w:shd w:val="clear" w:color="auto" w:fill="F3F3F3"/>
            <w:tcMar>
              <w:top w:w="100" w:type="dxa"/>
              <w:left w:w="100" w:type="dxa"/>
              <w:bottom w:w="100" w:type="dxa"/>
              <w:right w:w="100" w:type="dxa"/>
            </w:tcMar>
          </w:tcPr>
          <w:p w14:paraId="5777FEA9"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Silvia Zlatar</w:t>
            </w:r>
          </w:p>
        </w:tc>
      </w:tr>
      <w:tr w:rsidR="002F7564" w14:paraId="57881A3A" w14:textId="77777777">
        <w:tc>
          <w:tcPr>
            <w:tcW w:w="4425" w:type="dxa"/>
            <w:shd w:val="clear" w:color="auto" w:fill="F3F3F3"/>
            <w:tcMar>
              <w:top w:w="100" w:type="dxa"/>
              <w:left w:w="100" w:type="dxa"/>
              <w:bottom w:w="100" w:type="dxa"/>
              <w:right w:w="100" w:type="dxa"/>
            </w:tcMar>
          </w:tcPr>
          <w:p w14:paraId="6938DEA2"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Općina Peteranec</w:t>
            </w:r>
          </w:p>
        </w:tc>
        <w:tc>
          <w:tcPr>
            <w:tcW w:w="2265" w:type="dxa"/>
            <w:shd w:val="clear" w:color="auto" w:fill="F3F3F3"/>
            <w:tcMar>
              <w:top w:w="100" w:type="dxa"/>
              <w:left w:w="100" w:type="dxa"/>
              <w:bottom w:w="100" w:type="dxa"/>
              <w:right w:w="100" w:type="dxa"/>
            </w:tcMar>
          </w:tcPr>
          <w:p w14:paraId="45C1D214"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Ivan Derdić</w:t>
            </w:r>
          </w:p>
        </w:tc>
        <w:tc>
          <w:tcPr>
            <w:tcW w:w="2325" w:type="dxa"/>
            <w:shd w:val="clear" w:color="auto" w:fill="F3F3F3"/>
            <w:tcMar>
              <w:top w:w="100" w:type="dxa"/>
              <w:left w:w="100" w:type="dxa"/>
              <w:bottom w:w="100" w:type="dxa"/>
              <w:right w:w="100" w:type="dxa"/>
            </w:tcMar>
          </w:tcPr>
          <w:p w14:paraId="37A53251"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Martina Baronić</w:t>
            </w:r>
          </w:p>
        </w:tc>
      </w:tr>
      <w:tr w:rsidR="002F7564" w14:paraId="47765702" w14:textId="77777777">
        <w:tc>
          <w:tcPr>
            <w:tcW w:w="4425" w:type="dxa"/>
            <w:shd w:val="clear" w:color="auto" w:fill="F3F3F3"/>
            <w:tcMar>
              <w:top w:w="100" w:type="dxa"/>
              <w:left w:w="100" w:type="dxa"/>
              <w:bottom w:w="100" w:type="dxa"/>
              <w:right w:w="100" w:type="dxa"/>
            </w:tcMar>
          </w:tcPr>
          <w:p w14:paraId="1B6303E1"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Općina Rasinja</w:t>
            </w:r>
          </w:p>
        </w:tc>
        <w:tc>
          <w:tcPr>
            <w:tcW w:w="2265" w:type="dxa"/>
            <w:shd w:val="clear" w:color="auto" w:fill="F3F3F3"/>
            <w:tcMar>
              <w:top w:w="100" w:type="dxa"/>
              <w:left w:w="100" w:type="dxa"/>
              <w:bottom w:w="100" w:type="dxa"/>
              <w:right w:w="100" w:type="dxa"/>
            </w:tcMar>
          </w:tcPr>
          <w:p w14:paraId="40989C4A"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Josip Mlinarić</w:t>
            </w:r>
          </w:p>
        </w:tc>
        <w:tc>
          <w:tcPr>
            <w:tcW w:w="2325" w:type="dxa"/>
            <w:shd w:val="clear" w:color="auto" w:fill="F3F3F3"/>
            <w:tcMar>
              <w:top w:w="100" w:type="dxa"/>
              <w:left w:w="100" w:type="dxa"/>
              <w:bottom w:w="100" w:type="dxa"/>
              <w:right w:w="100" w:type="dxa"/>
            </w:tcMar>
          </w:tcPr>
          <w:p w14:paraId="39B09CA6"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Krunoslav Belaj</w:t>
            </w:r>
          </w:p>
        </w:tc>
      </w:tr>
      <w:tr w:rsidR="002F7564" w14:paraId="2F4CA55E" w14:textId="77777777">
        <w:tc>
          <w:tcPr>
            <w:tcW w:w="4425" w:type="dxa"/>
            <w:shd w:val="clear" w:color="auto" w:fill="F3F3F3"/>
            <w:tcMar>
              <w:top w:w="100" w:type="dxa"/>
              <w:left w:w="100" w:type="dxa"/>
              <w:bottom w:w="100" w:type="dxa"/>
              <w:right w:w="100" w:type="dxa"/>
            </w:tcMar>
          </w:tcPr>
          <w:p w14:paraId="21F4C53D"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Općina Sokolovac</w:t>
            </w:r>
          </w:p>
        </w:tc>
        <w:tc>
          <w:tcPr>
            <w:tcW w:w="2265" w:type="dxa"/>
            <w:shd w:val="clear" w:color="auto" w:fill="F3F3F3"/>
            <w:tcMar>
              <w:top w:w="100" w:type="dxa"/>
              <w:left w:w="100" w:type="dxa"/>
              <w:bottom w:w="100" w:type="dxa"/>
              <w:right w:w="100" w:type="dxa"/>
            </w:tcMar>
          </w:tcPr>
          <w:p w14:paraId="463F8303"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Tihomir Jandroković</w:t>
            </w:r>
          </w:p>
        </w:tc>
        <w:tc>
          <w:tcPr>
            <w:tcW w:w="2325" w:type="dxa"/>
            <w:shd w:val="clear" w:color="auto" w:fill="F3F3F3"/>
            <w:tcMar>
              <w:top w:w="100" w:type="dxa"/>
              <w:left w:w="100" w:type="dxa"/>
              <w:bottom w:w="100" w:type="dxa"/>
              <w:right w:w="100" w:type="dxa"/>
            </w:tcMar>
          </w:tcPr>
          <w:p w14:paraId="0D91D95E"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Tomislav Nožar</w:t>
            </w:r>
          </w:p>
        </w:tc>
      </w:tr>
      <w:tr w:rsidR="002F7564" w14:paraId="0A3FE689" w14:textId="77777777">
        <w:tc>
          <w:tcPr>
            <w:tcW w:w="4425" w:type="dxa"/>
            <w:shd w:val="clear" w:color="auto" w:fill="F3F3F3"/>
            <w:tcMar>
              <w:top w:w="100" w:type="dxa"/>
              <w:left w:w="100" w:type="dxa"/>
              <w:bottom w:w="100" w:type="dxa"/>
              <w:right w:w="100" w:type="dxa"/>
            </w:tcMar>
          </w:tcPr>
          <w:p w14:paraId="2A70E629"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Koprivničko-križevačka županija</w:t>
            </w:r>
          </w:p>
        </w:tc>
        <w:tc>
          <w:tcPr>
            <w:tcW w:w="2265" w:type="dxa"/>
            <w:shd w:val="clear" w:color="auto" w:fill="F3F3F3"/>
            <w:tcMar>
              <w:top w:w="100" w:type="dxa"/>
              <w:left w:w="100" w:type="dxa"/>
              <w:bottom w:w="100" w:type="dxa"/>
              <w:right w:w="100" w:type="dxa"/>
            </w:tcMar>
          </w:tcPr>
          <w:p w14:paraId="483A72A9"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Darko Masnec</w:t>
            </w:r>
          </w:p>
        </w:tc>
        <w:tc>
          <w:tcPr>
            <w:tcW w:w="2325" w:type="dxa"/>
            <w:shd w:val="clear" w:color="auto" w:fill="F3F3F3"/>
            <w:tcMar>
              <w:top w:w="100" w:type="dxa"/>
              <w:left w:w="100" w:type="dxa"/>
              <w:bottom w:w="100" w:type="dxa"/>
              <w:right w:w="100" w:type="dxa"/>
            </w:tcMar>
          </w:tcPr>
          <w:p w14:paraId="054D86FA"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Jelena Kralj</w:t>
            </w:r>
          </w:p>
        </w:tc>
      </w:tr>
      <w:tr w:rsidR="002F7564" w14:paraId="695A50DA" w14:textId="77777777">
        <w:tc>
          <w:tcPr>
            <w:tcW w:w="4425" w:type="dxa"/>
            <w:shd w:val="clear" w:color="auto" w:fill="F3F3F3"/>
            <w:tcMar>
              <w:top w:w="100" w:type="dxa"/>
              <w:left w:w="100" w:type="dxa"/>
              <w:bottom w:w="100" w:type="dxa"/>
              <w:right w:w="100" w:type="dxa"/>
            </w:tcMar>
          </w:tcPr>
          <w:p w14:paraId="507BD4B5"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Pučko otvoreno učilište</w:t>
            </w:r>
          </w:p>
        </w:tc>
        <w:tc>
          <w:tcPr>
            <w:tcW w:w="2265" w:type="dxa"/>
            <w:shd w:val="clear" w:color="auto" w:fill="F3F3F3"/>
            <w:tcMar>
              <w:top w:w="100" w:type="dxa"/>
              <w:left w:w="100" w:type="dxa"/>
              <w:bottom w:w="100" w:type="dxa"/>
              <w:right w:w="100" w:type="dxa"/>
            </w:tcMar>
          </w:tcPr>
          <w:p w14:paraId="399C13C6"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Maja Holek</w:t>
            </w:r>
          </w:p>
        </w:tc>
        <w:tc>
          <w:tcPr>
            <w:tcW w:w="2325" w:type="dxa"/>
            <w:shd w:val="clear" w:color="auto" w:fill="F3F3F3"/>
            <w:tcMar>
              <w:top w:w="100" w:type="dxa"/>
              <w:left w:w="100" w:type="dxa"/>
              <w:bottom w:w="100" w:type="dxa"/>
              <w:right w:w="100" w:type="dxa"/>
            </w:tcMar>
          </w:tcPr>
          <w:p w14:paraId="33AF5B9C"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Irena Babić</w:t>
            </w:r>
          </w:p>
        </w:tc>
      </w:tr>
      <w:tr w:rsidR="002F7564" w14:paraId="3A1079CF" w14:textId="77777777">
        <w:tc>
          <w:tcPr>
            <w:tcW w:w="4425" w:type="dxa"/>
            <w:shd w:val="clear" w:color="auto" w:fill="F3F3F3"/>
            <w:tcMar>
              <w:top w:w="100" w:type="dxa"/>
              <w:left w:w="100" w:type="dxa"/>
              <w:bottom w:w="100" w:type="dxa"/>
              <w:right w:w="100" w:type="dxa"/>
            </w:tcMar>
          </w:tcPr>
          <w:p w14:paraId="48DCAB96"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Muzej grada Koprivnice</w:t>
            </w:r>
          </w:p>
        </w:tc>
        <w:tc>
          <w:tcPr>
            <w:tcW w:w="2265" w:type="dxa"/>
            <w:shd w:val="clear" w:color="auto" w:fill="F3F3F3"/>
            <w:tcMar>
              <w:top w:w="100" w:type="dxa"/>
              <w:left w:w="100" w:type="dxa"/>
              <w:bottom w:w="100" w:type="dxa"/>
              <w:right w:w="100" w:type="dxa"/>
            </w:tcMar>
          </w:tcPr>
          <w:p w14:paraId="54AF8503"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Robert Čimin</w:t>
            </w:r>
          </w:p>
        </w:tc>
        <w:tc>
          <w:tcPr>
            <w:tcW w:w="2325" w:type="dxa"/>
            <w:shd w:val="clear" w:color="auto" w:fill="F3F3F3"/>
            <w:tcMar>
              <w:top w:w="100" w:type="dxa"/>
              <w:left w:w="100" w:type="dxa"/>
              <w:bottom w:w="100" w:type="dxa"/>
              <w:right w:w="100" w:type="dxa"/>
            </w:tcMar>
          </w:tcPr>
          <w:p w14:paraId="6C8EB707"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Ivan Valent</w:t>
            </w:r>
          </w:p>
        </w:tc>
      </w:tr>
      <w:tr w:rsidR="002F7564" w14:paraId="2040D034" w14:textId="77777777">
        <w:tc>
          <w:tcPr>
            <w:tcW w:w="4425" w:type="dxa"/>
            <w:shd w:val="clear" w:color="auto" w:fill="F3F3F3"/>
            <w:tcMar>
              <w:top w:w="100" w:type="dxa"/>
              <w:left w:w="100" w:type="dxa"/>
              <w:bottom w:w="100" w:type="dxa"/>
              <w:right w:w="100" w:type="dxa"/>
            </w:tcMar>
          </w:tcPr>
          <w:p w14:paraId="251DD431"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Knjižnica i čitaonica Fran Galović</w:t>
            </w:r>
          </w:p>
        </w:tc>
        <w:tc>
          <w:tcPr>
            <w:tcW w:w="2265" w:type="dxa"/>
            <w:shd w:val="clear" w:color="auto" w:fill="F3F3F3"/>
            <w:tcMar>
              <w:top w:w="100" w:type="dxa"/>
              <w:left w:w="100" w:type="dxa"/>
              <w:bottom w:w="100" w:type="dxa"/>
              <w:right w:w="100" w:type="dxa"/>
            </w:tcMar>
          </w:tcPr>
          <w:p w14:paraId="0462150D"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Karlo Galinec</w:t>
            </w:r>
          </w:p>
        </w:tc>
        <w:tc>
          <w:tcPr>
            <w:tcW w:w="2325" w:type="dxa"/>
            <w:shd w:val="clear" w:color="auto" w:fill="F3F3F3"/>
            <w:tcMar>
              <w:top w:w="100" w:type="dxa"/>
              <w:left w:w="100" w:type="dxa"/>
              <w:bottom w:w="100" w:type="dxa"/>
              <w:right w:w="100" w:type="dxa"/>
            </w:tcMar>
          </w:tcPr>
          <w:p w14:paraId="41CE3E82"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Maja Krulić Gračan</w:t>
            </w:r>
          </w:p>
        </w:tc>
      </w:tr>
      <w:tr w:rsidR="002F7564" w14:paraId="4EF10212" w14:textId="77777777">
        <w:tc>
          <w:tcPr>
            <w:tcW w:w="4425" w:type="dxa"/>
            <w:shd w:val="clear" w:color="auto" w:fill="F3F3F3"/>
            <w:tcMar>
              <w:top w:w="100" w:type="dxa"/>
              <w:left w:w="100" w:type="dxa"/>
              <w:bottom w:w="100" w:type="dxa"/>
              <w:right w:w="100" w:type="dxa"/>
            </w:tcMar>
          </w:tcPr>
          <w:p w14:paraId="71801F99"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Sveučilište Sjever</w:t>
            </w:r>
          </w:p>
        </w:tc>
        <w:tc>
          <w:tcPr>
            <w:tcW w:w="2265" w:type="dxa"/>
            <w:shd w:val="clear" w:color="auto" w:fill="F3F3F3"/>
            <w:tcMar>
              <w:top w:w="100" w:type="dxa"/>
              <w:left w:w="100" w:type="dxa"/>
              <w:bottom w:w="100" w:type="dxa"/>
              <w:right w:w="100" w:type="dxa"/>
            </w:tcMar>
          </w:tcPr>
          <w:p w14:paraId="5B492013"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Mario Tomiša</w:t>
            </w:r>
          </w:p>
        </w:tc>
        <w:tc>
          <w:tcPr>
            <w:tcW w:w="2325" w:type="dxa"/>
            <w:shd w:val="clear" w:color="auto" w:fill="F3F3F3"/>
            <w:tcMar>
              <w:top w:w="100" w:type="dxa"/>
              <w:left w:w="100" w:type="dxa"/>
              <w:bottom w:w="100" w:type="dxa"/>
              <w:right w:w="100" w:type="dxa"/>
            </w:tcMar>
          </w:tcPr>
          <w:p w14:paraId="1F605D89"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Ivana Bagarić Perpš</w:t>
            </w:r>
          </w:p>
        </w:tc>
      </w:tr>
      <w:tr w:rsidR="002F7564" w14:paraId="5AF5B96E" w14:textId="77777777">
        <w:tc>
          <w:tcPr>
            <w:tcW w:w="4425" w:type="dxa"/>
            <w:shd w:val="clear" w:color="auto" w:fill="F3F3F3"/>
            <w:tcMar>
              <w:top w:w="100" w:type="dxa"/>
              <w:left w:w="100" w:type="dxa"/>
              <w:bottom w:w="100" w:type="dxa"/>
              <w:right w:w="100" w:type="dxa"/>
            </w:tcMar>
          </w:tcPr>
          <w:p w14:paraId="0EE95A50"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lastRenderedPageBreak/>
              <w:t>Turistička zajednica Grada Koprivnice</w:t>
            </w:r>
          </w:p>
        </w:tc>
        <w:tc>
          <w:tcPr>
            <w:tcW w:w="2265" w:type="dxa"/>
            <w:shd w:val="clear" w:color="auto" w:fill="F3F3F3"/>
            <w:tcMar>
              <w:top w:w="100" w:type="dxa"/>
              <w:left w:w="100" w:type="dxa"/>
              <w:bottom w:w="100" w:type="dxa"/>
              <w:right w:w="100" w:type="dxa"/>
            </w:tcMar>
          </w:tcPr>
          <w:p w14:paraId="293A6683"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Renato Labazan</w:t>
            </w:r>
          </w:p>
        </w:tc>
        <w:tc>
          <w:tcPr>
            <w:tcW w:w="2325" w:type="dxa"/>
            <w:shd w:val="clear" w:color="auto" w:fill="F3F3F3"/>
            <w:tcMar>
              <w:top w:w="100" w:type="dxa"/>
              <w:left w:w="100" w:type="dxa"/>
              <w:bottom w:w="100" w:type="dxa"/>
              <w:right w:w="100" w:type="dxa"/>
            </w:tcMar>
          </w:tcPr>
          <w:p w14:paraId="407B72F3"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Mario Borštinar</w:t>
            </w:r>
          </w:p>
        </w:tc>
      </w:tr>
      <w:tr w:rsidR="002F7564" w14:paraId="47948FE9" w14:textId="77777777">
        <w:tc>
          <w:tcPr>
            <w:tcW w:w="4425" w:type="dxa"/>
            <w:shd w:val="clear" w:color="auto" w:fill="F3F3F3"/>
            <w:tcMar>
              <w:top w:w="100" w:type="dxa"/>
              <w:left w:w="100" w:type="dxa"/>
              <w:bottom w:w="100" w:type="dxa"/>
              <w:right w:w="100" w:type="dxa"/>
            </w:tcMar>
          </w:tcPr>
          <w:p w14:paraId="1FD7930B"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OK Koprivničko-križevačke županije</w:t>
            </w:r>
          </w:p>
        </w:tc>
        <w:tc>
          <w:tcPr>
            <w:tcW w:w="2265" w:type="dxa"/>
            <w:shd w:val="clear" w:color="auto" w:fill="F3F3F3"/>
            <w:tcMar>
              <w:top w:w="100" w:type="dxa"/>
              <w:left w:w="100" w:type="dxa"/>
              <w:bottom w:w="100" w:type="dxa"/>
              <w:right w:w="100" w:type="dxa"/>
            </w:tcMar>
          </w:tcPr>
          <w:p w14:paraId="2C30DDEC"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Marinela Bašić</w:t>
            </w:r>
          </w:p>
        </w:tc>
        <w:tc>
          <w:tcPr>
            <w:tcW w:w="2325" w:type="dxa"/>
            <w:shd w:val="clear" w:color="auto" w:fill="F3F3F3"/>
            <w:tcMar>
              <w:top w:w="100" w:type="dxa"/>
              <w:left w:w="100" w:type="dxa"/>
              <w:bottom w:w="100" w:type="dxa"/>
              <w:right w:w="100" w:type="dxa"/>
            </w:tcMar>
          </w:tcPr>
          <w:p w14:paraId="69BE60CD"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Ljubica Čiković</w:t>
            </w:r>
          </w:p>
        </w:tc>
      </w:tr>
      <w:tr w:rsidR="002F7564" w14:paraId="76B020C3" w14:textId="77777777">
        <w:tc>
          <w:tcPr>
            <w:tcW w:w="4425" w:type="dxa"/>
            <w:shd w:val="clear" w:color="auto" w:fill="F3F3F3"/>
            <w:tcMar>
              <w:top w:w="100" w:type="dxa"/>
              <w:left w:w="100" w:type="dxa"/>
              <w:bottom w:w="100" w:type="dxa"/>
              <w:right w:w="100" w:type="dxa"/>
            </w:tcMar>
          </w:tcPr>
          <w:p w14:paraId="2961A5A7"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Udruženje obrtnika Koprivnica</w:t>
            </w:r>
          </w:p>
        </w:tc>
        <w:tc>
          <w:tcPr>
            <w:tcW w:w="2265" w:type="dxa"/>
            <w:shd w:val="clear" w:color="auto" w:fill="F3F3F3"/>
            <w:tcMar>
              <w:top w:w="100" w:type="dxa"/>
              <w:left w:w="100" w:type="dxa"/>
              <w:bottom w:w="100" w:type="dxa"/>
              <w:right w:w="100" w:type="dxa"/>
            </w:tcMar>
          </w:tcPr>
          <w:p w14:paraId="221CC080"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Jasmina Markota</w:t>
            </w:r>
          </w:p>
        </w:tc>
        <w:tc>
          <w:tcPr>
            <w:tcW w:w="2325" w:type="dxa"/>
            <w:shd w:val="clear" w:color="auto" w:fill="F3F3F3"/>
            <w:tcMar>
              <w:top w:w="100" w:type="dxa"/>
              <w:left w:w="100" w:type="dxa"/>
              <w:bottom w:w="100" w:type="dxa"/>
              <w:right w:w="100" w:type="dxa"/>
            </w:tcMar>
          </w:tcPr>
          <w:p w14:paraId="4411B741"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Nataša Litvić</w:t>
            </w:r>
          </w:p>
        </w:tc>
      </w:tr>
      <w:tr w:rsidR="002F7564" w14:paraId="264724C6" w14:textId="77777777">
        <w:tc>
          <w:tcPr>
            <w:tcW w:w="4425" w:type="dxa"/>
            <w:shd w:val="clear" w:color="auto" w:fill="F3F3F3"/>
            <w:tcMar>
              <w:top w:w="100" w:type="dxa"/>
              <w:left w:w="100" w:type="dxa"/>
              <w:bottom w:w="100" w:type="dxa"/>
              <w:right w:w="100" w:type="dxa"/>
            </w:tcMar>
          </w:tcPr>
          <w:p w14:paraId="5DE5C51C"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GKP Komunalac d.o.o.</w:t>
            </w:r>
          </w:p>
        </w:tc>
        <w:tc>
          <w:tcPr>
            <w:tcW w:w="2265" w:type="dxa"/>
            <w:shd w:val="clear" w:color="auto" w:fill="F3F3F3"/>
            <w:tcMar>
              <w:top w:w="100" w:type="dxa"/>
              <w:left w:w="100" w:type="dxa"/>
              <w:bottom w:w="100" w:type="dxa"/>
              <w:right w:w="100" w:type="dxa"/>
            </w:tcMar>
          </w:tcPr>
          <w:p w14:paraId="52C7AF25"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Nataša Tetec</w:t>
            </w:r>
          </w:p>
        </w:tc>
        <w:tc>
          <w:tcPr>
            <w:tcW w:w="2325" w:type="dxa"/>
            <w:shd w:val="clear" w:color="auto" w:fill="F3F3F3"/>
            <w:tcMar>
              <w:top w:w="100" w:type="dxa"/>
              <w:left w:w="100" w:type="dxa"/>
              <w:bottom w:w="100" w:type="dxa"/>
              <w:right w:w="100" w:type="dxa"/>
            </w:tcMar>
          </w:tcPr>
          <w:p w14:paraId="5196EE77"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Dubravka Horvat</w:t>
            </w:r>
          </w:p>
        </w:tc>
      </w:tr>
      <w:tr w:rsidR="002F7564" w14:paraId="411072EB" w14:textId="77777777">
        <w:tc>
          <w:tcPr>
            <w:tcW w:w="4425" w:type="dxa"/>
            <w:shd w:val="clear" w:color="auto" w:fill="F3F3F3"/>
            <w:tcMar>
              <w:top w:w="100" w:type="dxa"/>
              <w:left w:w="100" w:type="dxa"/>
              <w:bottom w:w="100" w:type="dxa"/>
              <w:right w:w="100" w:type="dxa"/>
            </w:tcMar>
          </w:tcPr>
          <w:p w14:paraId="125A75BB"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REA Sjever</w:t>
            </w:r>
          </w:p>
        </w:tc>
        <w:tc>
          <w:tcPr>
            <w:tcW w:w="2265" w:type="dxa"/>
            <w:shd w:val="clear" w:color="auto" w:fill="F3F3F3"/>
            <w:tcMar>
              <w:top w:w="100" w:type="dxa"/>
              <w:left w:w="100" w:type="dxa"/>
              <w:bottom w:w="100" w:type="dxa"/>
              <w:right w:w="100" w:type="dxa"/>
            </w:tcMar>
          </w:tcPr>
          <w:p w14:paraId="33634A72"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Ivan Šimić</w:t>
            </w:r>
          </w:p>
        </w:tc>
        <w:tc>
          <w:tcPr>
            <w:tcW w:w="2325" w:type="dxa"/>
            <w:shd w:val="clear" w:color="auto" w:fill="F3F3F3"/>
            <w:tcMar>
              <w:top w:w="100" w:type="dxa"/>
              <w:left w:w="100" w:type="dxa"/>
              <w:bottom w:w="100" w:type="dxa"/>
              <w:right w:w="100" w:type="dxa"/>
            </w:tcMar>
          </w:tcPr>
          <w:p w14:paraId="032BC425"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Jurica Perko</w:t>
            </w:r>
          </w:p>
        </w:tc>
      </w:tr>
      <w:tr w:rsidR="002F7564" w14:paraId="764FA9FC" w14:textId="77777777">
        <w:tc>
          <w:tcPr>
            <w:tcW w:w="4425" w:type="dxa"/>
            <w:shd w:val="clear" w:color="auto" w:fill="F3F3F3"/>
            <w:tcMar>
              <w:top w:w="100" w:type="dxa"/>
              <w:left w:w="100" w:type="dxa"/>
              <w:bottom w:w="100" w:type="dxa"/>
              <w:right w:w="100" w:type="dxa"/>
            </w:tcMar>
          </w:tcPr>
          <w:p w14:paraId="2F15730C"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PORA</w:t>
            </w:r>
          </w:p>
        </w:tc>
        <w:tc>
          <w:tcPr>
            <w:tcW w:w="2265" w:type="dxa"/>
            <w:shd w:val="clear" w:color="auto" w:fill="F3F3F3"/>
            <w:tcMar>
              <w:top w:w="100" w:type="dxa"/>
              <w:left w:w="100" w:type="dxa"/>
              <w:bottom w:w="100" w:type="dxa"/>
              <w:right w:w="100" w:type="dxa"/>
            </w:tcMar>
          </w:tcPr>
          <w:p w14:paraId="64EB5D63"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Melita Birčić</w:t>
            </w:r>
          </w:p>
        </w:tc>
        <w:tc>
          <w:tcPr>
            <w:tcW w:w="2325" w:type="dxa"/>
            <w:shd w:val="clear" w:color="auto" w:fill="F3F3F3"/>
            <w:tcMar>
              <w:top w:w="100" w:type="dxa"/>
              <w:left w:w="100" w:type="dxa"/>
              <w:bottom w:w="100" w:type="dxa"/>
              <w:right w:w="100" w:type="dxa"/>
            </w:tcMar>
          </w:tcPr>
          <w:p w14:paraId="346A8A7D"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Tihana Kraljić</w:t>
            </w:r>
          </w:p>
        </w:tc>
      </w:tr>
      <w:tr w:rsidR="002F7564" w14:paraId="2B352B87" w14:textId="77777777">
        <w:tc>
          <w:tcPr>
            <w:tcW w:w="4425" w:type="dxa"/>
            <w:shd w:val="clear" w:color="auto" w:fill="F3F3F3"/>
            <w:tcMar>
              <w:top w:w="100" w:type="dxa"/>
              <w:left w:w="100" w:type="dxa"/>
              <w:bottom w:w="100" w:type="dxa"/>
              <w:right w:w="100" w:type="dxa"/>
            </w:tcMar>
          </w:tcPr>
          <w:p w14:paraId="69391ACF"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Zajednica sportskih udruga Grada Koprivnice</w:t>
            </w:r>
          </w:p>
        </w:tc>
        <w:tc>
          <w:tcPr>
            <w:tcW w:w="2265" w:type="dxa"/>
            <w:shd w:val="clear" w:color="auto" w:fill="F3F3F3"/>
            <w:tcMar>
              <w:top w:w="100" w:type="dxa"/>
              <w:left w:w="100" w:type="dxa"/>
              <w:bottom w:w="100" w:type="dxa"/>
              <w:right w:w="100" w:type="dxa"/>
            </w:tcMar>
          </w:tcPr>
          <w:p w14:paraId="4EC6778D"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Jasmina Stričević</w:t>
            </w:r>
          </w:p>
        </w:tc>
        <w:tc>
          <w:tcPr>
            <w:tcW w:w="2325" w:type="dxa"/>
            <w:shd w:val="clear" w:color="auto" w:fill="F3F3F3"/>
            <w:tcMar>
              <w:top w:w="100" w:type="dxa"/>
              <w:left w:w="100" w:type="dxa"/>
              <w:bottom w:w="100" w:type="dxa"/>
              <w:right w:w="100" w:type="dxa"/>
            </w:tcMar>
          </w:tcPr>
          <w:p w14:paraId="2EE53BD5"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Božica Palčić</w:t>
            </w:r>
          </w:p>
        </w:tc>
      </w:tr>
      <w:tr w:rsidR="002F7564" w14:paraId="30E4E19D" w14:textId="77777777">
        <w:tc>
          <w:tcPr>
            <w:tcW w:w="4425" w:type="dxa"/>
            <w:shd w:val="clear" w:color="auto" w:fill="F3F3F3"/>
            <w:tcMar>
              <w:top w:w="100" w:type="dxa"/>
              <w:left w:w="100" w:type="dxa"/>
              <w:bottom w:w="100" w:type="dxa"/>
              <w:right w:w="100" w:type="dxa"/>
            </w:tcMar>
          </w:tcPr>
          <w:p w14:paraId="31D3A905"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Predstavnik romske nacionalne manjine</w:t>
            </w:r>
          </w:p>
        </w:tc>
        <w:tc>
          <w:tcPr>
            <w:tcW w:w="2265" w:type="dxa"/>
            <w:shd w:val="clear" w:color="auto" w:fill="F3F3F3"/>
            <w:tcMar>
              <w:top w:w="100" w:type="dxa"/>
              <w:left w:w="100" w:type="dxa"/>
              <w:bottom w:w="100" w:type="dxa"/>
              <w:right w:w="100" w:type="dxa"/>
            </w:tcMar>
          </w:tcPr>
          <w:p w14:paraId="2007E987"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Željko Oršos</w:t>
            </w:r>
          </w:p>
        </w:tc>
        <w:tc>
          <w:tcPr>
            <w:tcW w:w="2325" w:type="dxa"/>
            <w:shd w:val="clear" w:color="auto" w:fill="F3F3F3"/>
            <w:tcMar>
              <w:top w:w="100" w:type="dxa"/>
              <w:left w:w="100" w:type="dxa"/>
              <w:bottom w:w="100" w:type="dxa"/>
              <w:right w:w="100" w:type="dxa"/>
            </w:tcMar>
          </w:tcPr>
          <w:p w14:paraId="6A96A92C"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Damir Oršos</w:t>
            </w:r>
          </w:p>
        </w:tc>
      </w:tr>
      <w:tr w:rsidR="002F7564" w14:paraId="63EFBB18" w14:textId="77777777">
        <w:tc>
          <w:tcPr>
            <w:tcW w:w="4425" w:type="dxa"/>
            <w:shd w:val="clear" w:color="auto" w:fill="F3F3F3"/>
            <w:tcMar>
              <w:top w:w="100" w:type="dxa"/>
              <w:left w:w="100" w:type="dxa"/>
              <w:bottom w:w="100" w:type="dxa"/>
              <w:right w:w="100" w:type="dxa"/>
            </w:tcMar>
          </w:tcPr>
          <w:p w14:paraId="57B01BB3"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Enter Koprivnica d.o.o.</w:t>
            </w:r>
          </w:p>
        </w:tc>
        <w:tc>
          <w:tcPr>
            <w:tcW w:w="2265" w:type="dxa"/>
            <w:shd w:val="clear" w:color="auto" w:fill="F3F3F3"/>
            <w:tcMar>
              <w:top w:w="100" w:type="dxa"/>
              <w:left w:w="100" w:type="dxa"/>
              <w:bottom w:w="100" w:type="dxa"/>
              <w:right w:w="100" w:type="dxa"/>
            </w:tcMar>
          </w:tcPr>
          <w:p w14:paraId="1A238FCD"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Aldijana Matić Horvat</w:t>
            </w:r>
          </w:p>
        </w:tc>
        <w:tc>
          <w:tcPr>
            <w:tcW w:w="2325" w:type="dxa"/>
            <w:shd w:val="clear" w:color="auto" w:fill="F3F3F3"/>
            <w:tcMar>
              <w:top w:w="100" w:type="dxa"/>
              <w:left w:w="100" w:type="dxa"/>
              <w:bottom w:w="100" w:type="dxa"/>
              <w:right w:w="100" w:type="dxa"/>
            </w:tcMar>
          </w:tcPr>
          <w:p w14:paraId="615062EB"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Sanja Premec Sušanj</w:t>
            </w:r>
          </w:p>
        </w:tc>
      </w:tr>
      <w:tr w:rsidR="002F7564" w14:paraId="33D709E2" w14:textId="77777777">
        <w:tc>
          <w:tcPr>
            <w:tcW w:w="4425" w:type="dxa"/>
            <w:shd w:val="clear" w:color="auto" w:fill="F3F3F3"/>
            <w:tcMar>
              <w:top w:w="100" w:type="dxa"/>
              <w:left w:w="100" w:type="dxa"/>
              <w:bottom w:w="100" w:type="dxa"/>
              <w:right w:w="100" w:type="dxa"/>
            </w:tcMar>
          </w:tcPr>
          <w:p w14:paraId="7EE96CDE"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 xml:space="preserve">HGK - Županijska komora Koprivnica </w:t>
            </w:r>
          </w:p>
        </w:tc>
        <w:tc>
          <w:tcPr>
            <w:tcW w:w="2265" w:type="dxa"/>
            <w:shd w:val="clear" w:color="auto" w:fill="F3F3F3"/>
            <w:tcMar>
              <w:top w:w="100" w:type="dxa"/>
              <w:left w:w="100" w:type="dxa"/>
              <w:bottom w:w="100" w:type="dxa"/>
              <w:right w:w="100" w:type="dxa"/>
            </w:tcMar>
          </w:tcPr>
          <w:p w14:paraId="5C028917"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Renata Lohajner</w:t>
            </w:r>
          </w:p>
        </w:tc>
        <w:tc>
          <w:tcPr>
            <w:tcW w:w="2325" w:type="dxa"/>
            <w:shd w:val="clear" w:color="auto" w:fill="F3F3F3"/>
            <w:tcMar>
              <w:top w:w="100" w:type="dxa"/>
              <w:left w:w="100" w:type="dxa"/>
              <w:bottom w:w="100" w:type="dxa"/>
              <w:right w:w="100" w:type="dxa"/>
            </w:tcMar>
          </w:tcPr>
          <w:p w14:paraId="68522EB7"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Kristina Stanišić</w:t>
            </w:r>
          </w:p>
        </w:tc>
      </w:tr>
    </w:tbl>
    <w:p w14:paraId="5BA2F00D" w14:textId="77777777" w:rsidR="002F7564" w:rsidRDefault="00000000">
      <w:pPr>
        <w:jc w:val="both"/>
        <w:rPr>
          <w:rFonts w:ascii="Source Sans Pro" w:eastAsia="Source Sans Pro" w:hAnsi="Source Sans Pro" w:cs="Source Sans Pro"/>
          <w:i/>
          <w:sz w:val="20"/>
          <w:szCs w:val="20"/>
        </w:rPr>
      </w:pPr>
      <w:r>
        <w:rPr>
          <w:rFonts w:ascii="Source Sans Pro" w:eastAsia="Source Sans Pro" w:hAnsi="Source Sans Pro" w:cs="Source Sans Pro"/>
          <w:i/>
          <w:sz w:val="20"/>
          <w:szCs w:val="20"/>
        </w:rPr>
        <w:t xml:space="preserve">Izvor: Odlukom o osnivanju i imenovanju Partnerskog vijeća za izradu i praćenje Strategije razvoja manjeg urbanog područja Koprivnica za financijsko razdoblje od 2021. do 2027. godine </w:t>
      </w:r>
    </w:p>
    <w:p w14:paraId="14E01178" w14:textId="77777777" w:rsidR="002F7564" w:rsidRDefault="002F7564">
      <w:pPr>
        <w:jc w:val="both"/>
        <w:rPr>
          <w:rFonts w:ascii="Source Sans Pro" w:eastAsia="Source Sans Pro" w:hAnsi="Source Sans Pro" w:cs="Source Sans Pro"/>
        </w:rPr>
      </w:pPr>
    </w:p>
    <w:p w14:paraId="730AEDE6"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Tijekom procesa izrade Strategije razvoja Urbanog područja Koprivnica, Partnersko vijeće kontinuirano je bilo uključeno u strateško planiranje razvoja Urbanog područja kroz sudjelovanje u participativnim aktivnostima - radionicama strateškog planiranja, putem aktivne online komunikacije po održanim radionicama te kroz redovite sjednice Partnerskog vijeća. U procesu izrade SRUP-a, od prosinca 2021. do prosinca 2022. održano je ukupno </w:t>
      </w:r>
      <w:r>
        <w:rPr>
          <w:rFonts w:ascii="Source Sans Pro" w:eastAsia="Source Sans Pro" w:hAnsi="Source Sans Pro" w:cs="Source Sans Pro"/>
          <w:highlight w:val="yellow"/>
        </w:rPr>
        <w:t>xxx</w:t>
      </w:r>
      <w:r>
        <w:rPr>
          <w:rFonts w:ascii="Source Sans Pro" w:eastAsia="Source Sans Pro" w:hAnsi="Source Sans Pro" w:cs="Source Sans Pro"/>
        </w:rPr>
        <w:t xml:space="preserve"> sjednica partnerskog vijeća i dvije radionice strateškog planiranja.</w:t>
      </w:r>
    </w:p>
    <w:p w14:paraId="0555916F" w14:textId="77777777" w:rsidR="002F7564" w:rsidRDefault="002F7564">
      <w:pPr>
        <w:jc w:val="both"/>
        <w:rPr>
          <w:rFonts w:ascii="Source Sans Pro" w:eastAsia="Source Sans Pro" w:hAnsi="Source Sans Pro" w:cs="Source Sans Pro"/>
          <w:sz w:val="20"/>
          <w:szCs w:val="20"/>
        </w:rPr>
      </w:pPr>
    </w:p>
    <w:p w14:paraId="3EB912FC" w14:textId="77777777" w:rsidR="002F7564" w:rsidRDefault="00000000">
      <w:pPr>
        <w:jc w:val="both"/>
        <w:rPr>
          <w:rFonts w:ascii="Source Sans Pro" w:eastAsia="Source Sans Pro" w:hAnsi="Source Sans Pro" w:cs="Source Sans Pro"/>
          <w:sz w:val="20"/>
          <w:szCs w:val="20"/>
        </w:rPr>
      </w:pPr>
      <w:r>
        <w:rPr>
          <w:rFonts w:ascii="Source Sans Pro" w:eastAsia="Source Sans Pro" w:hAnsi="Source Sans Pro" w:cs="Source Sans Pro"/>
          <w:sz w:val="20"/>
          <w:szCs w:val="20"/>
        </w:rPr>
        <w:t>Slika 2 Prikaz aktivnosti Partnerskog vijeća u pripremi SRUP-a</w:t>
      </w:r>
    </w:p>
    <w:p w14:paraId="5D1A2835" w14:textId="77777777" w:rsidR="002F7564" w:rsidRDefault="00000000">
      <w:pPr>
        <w:jc w:val="both"/>
        <w:rPr>
          <w:rFonts w:ascii="Source Sans Pro" w:eastAsia="Source Sans Pro" w:hAnsi="Source Sans Pro" w:cs="Source Sans Pro"/>
          <w:sz w:val="20"/>
          <w:szCs w:val="20"/>
        </w:rPr>
      </w:pPr>
      <w:r>
        <w:rPr>
          <w:rFonts w:ascii="Source Sans Pro" w:eastAsia="Source Sans Pro" w:hAnsi="Source Sans Pro" w:cs="Source Sans Pro"/>
          <w:noProof/>
        </w:rPr>
        <w:drawing>
          <wp:inline distT="114300" distB="114300" distL="114300" distR="114300" wp14:anchorId="50CED9FC" wp14:editId="2A8D6D98">
            <wp:extent cx="5734050" cy="2734953"/>
            <wp:effectExtent l="0" t="0" r="0" b="0"/>
            <wp:docPr id="3"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10"/>
                    <a:srcRect b="15299"/>
                    <a:stretch>
                      <a:fillRect/>
                    </a:stretch>
                  </pic:blipFill>
                  <pic:spPr>
                    <a:xfrm>
                      <a:off x="0" y="0"/>
                      <a:ext cx="5734050" cy="2734953"/>
                    </a:xfrm>
                    <a:prstGeom prst="rect">
                      <a:avLst/>
                    </a:prstGeom>
                    <a:ln/>
                  </pic:spPr>
                </pic:pic>
              </a:graphicData>
            </a:graphic>
          </wp:inline>
        </w:drawing>
      </w:r>
    </w:p>
    <w:p w14:paraId="4F857137"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 </w:t>
      </w:r>
      <w:r>
        <w:rPr>
          <w:rFonts w:ascii="Source Sans Pro" w:eastAsia="Source Sans Pro" w:hAnsi="Source Sans Pro" w:cs="Source Sans Pro"/>
          <w:i/>
          <w:sz w:val="20"/>
          <w:szCs w:val="20"/>
        </w:rPr>
        <w:t>Izvor: Grad Koprivnica, izrada autora</w:t>
      </w:r>
    </w:p>
    <w:p w14:paraId="4D551D67" w14:textId="77777777" w:rsidR="002F7564" w:rsidRDefault="002F7564">
      <w:pPr>
        <w:jc w:val="both"/>
        <w:rPr>
          <w:rFonts w:ascii="Source Sans Pro" w:eastAsia="Source Sans Pro" w:hAnsi="Source Sans Pro" w:cs="Source Sans Pro"/>
        </w:rPr>
      </w:pPr>
    </w:p>
    <w:p w14:paraId="5555CAC3" w14:textId="77777777" w:rsidR="002F7564" w:rsidRDefault="002F7564">
      <w:pPr>
        <w:jc w:val="both"/>
        <w:rPr>
          <w:rFonts w:ascii="Source Sans Pro" w:eastAsia="Source Sans Pro" w:hAnsi="Source Sans Pro" w:cs="Source Sans Pro"/>
        </w:rPr>
      </w:pPr>
    </w:p>
    <w:p w14:paraId="57508C94"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lastRenderedPageBreak/>
        <w:t xml:space="preserve">Provedba dva ciklusa radionica, sukladno dinamici izrade SRUP-a bila je podijeljena tako da se prvi ciklus odnosi na definiranje postojećeg stanja, a drugi na definiranje srednjoročnog strateškog pristupa razvoju. Na prvoj radionici članovi Partnerskog vijeća upoznati su s nalazima analize stanja, temeljem kojih su definirali snage, slabosti, prilike i prijetnje (SWOT analiza) te identificirali ključne srednjoročne razvojne potrebe i potencijale Urbanog područja. Cilj druge radionice bio je definirati srednjoročnu viziju razvoja urbanog područja te ključne odrednice strateškog okvira - prioritete javnih politika i ciljeva koji se žele ostvariti u srednjoročnom razdoblju.  </w:t>
      </w:r>
    </w:p>
    <w:p w14:paraId="482DFFA1" w14:textId="77777777" w:rsidR="002F7564" w:rsidRDefault="002F7564">
      <w:pPr>
        <w:jc w:val="both"/>
        <w:rPr>
          <w:rFonts w:ascii="Source Sans Pro" w:eastAsia="Source Sans Pro" w:hAnsi="Source Sans Pro" w:cs="Source Sans Pro"/>
        </w:rPr>
      </w:pPr>
    </w:p>
    <w:p w14:paraId="27B4929D"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Završno, Partnersko vijeće u </w:t>
      </w:r>
      <w:r>
        <w:rPr>
          <w:rFonts w:ascii="Source Sans Pro" w:eastAsia="Source Sans Pro" w:hAnsi="Source Sans Pro" w:cs="Source Sans Pro"/>
          <w:highlight w:val="yellow"/>
        </w:rPr>
        <w:t>xxx 2022.</w:t>
      </w:r>
      <w:r>
        <w:rPr>
          <w:rFonts w:ascii="Source Sans Pro" w:eastAsia="Source Sans Pro" w:hAnsi="Source Sans Pro" w:cs="Source Sans Pro"/>
        </w:rPr>
        <w:t xml:space="preserve"> dalo je mišljenje na nacrt Strategije razvoja Urbanog područja, kao preduvjet za donošenje iste od strane Gradskog vijeća Grada Koprivnice kao nositelja izrade strateškog dokumenta. Sukladno Uredbi (NN 103/15) članovi Partnerskog vijeća imenovani su cijelo razdoblje trajanja SRUP-a, stoga su buduće aktivnosti vezane uz praćenje provedbe SRUP-a.</w:t>
      </w:r>
    </w:p>
    <w:p w14:paraId="556963AE" w14:textId="77777777" w:rsidR="002F7564" w:rsidRDefault="002F7564">
      <w:pPr>
        <w:jc w:val="both"/>
        <w:rPr>
          <w:rFonts w:ascii="Source Sans Pro" w:eastAsia="Source Sans Pro" w:hAnsi="Source Sans Pro" w:cs="Source Sans Pro"/>
        </w:rPr>
      </w:pPr>
    </w:p>
    <w:p w14:paraId="4721F176" w14:textId="77777777" w:rsidR="002F7564" w:rsidRDefault="002F7564">
      <w:pPr>
        <w:jc w:val="both"/>
        <w:rPr>
          <w:rFonts w:ascii="Source Sans Pro" w:eastAsia="Source Sans Pro" w:hAnsi="Source Sans Pro" w:cs="Source Sans Pro"/>
        </w:rPr>
      </w:pPr>
    </w:p>
    <w:p w14:paraId="7C39213E" w14:textId="77777777" w:rsidR="002F7564" w:rsidRDefault="002F7564">
      <w:pPr>
        <w:jc w:val="both"/>
        <w:rPr>
          <w:rFonts w:ascii="Source Sans Pro" w:eastAsia="Source Sans Pro" w:hAnsi="Source Sans Pro" w:cs="Source Sans Pro"/>
        </w:rPr>
      </w:pPr>
    </w:p>
    <w:p w14:paraId="36BD3E83" w14:textId="77777777" w:rsidR="002F7564" w:rsidRDefault="002F7564">
      <w:pPr>
        <w:jc w:val="both"/>
        <w:rPr>
          <w:rFonts w:ascii="Source Sans Pro" w:eastAsia="Source Sans Pro" w:hAnsi="Source Sans Pro" w:cs="Source Sans Pro"/>
        </w:rPr>
      </w:pPr>
    </w:p>
    <w:p w14:paraId="1513EC27" w14:textId="77777777" w:rsidR="002F7564" w:rsidRDefault="002F7564">
      <w:pPr>
        <w:jc w:val="both"/>
        <w:rPr>
          <w:rFonts w:ascii="Source Sans Pro" w:eastAsia="Source Sans Pro" w:hAnsi="Source Sans Pro" w:cs="Source Sans Pro"/>
        </w:rPr>
      </w:pPr>
    </w:p>
    <w:p w14:paraId="38574F5D" w14:textId="77777777" w:rsidR="002F7564" w:rsidRDefault="002F7564">
      <w:pPr>
        <w:jc w:val="both"/>
        <w:rPr>
          <w:rFonts w:ascii="Source Sans Pro" w:eastAsia="Source Sans Pro" w:hAnsi="Source Sans Pro" w:cs="Source Sans Pro"/>
        </w:rPr>
      </w:pPr>
    </w:p>
    <w:p w14:paraId="088C694C" w14:textId="77777777" w:rsidR="002F7564" w:rsidRDefault="002F7564">
      <w:pPr>
        <w:jc w:val="both"/>
        <w:rPr>
          <w:rFonts w:ascii="Source Sans Pro" w:eastAsia="Source Sans Pro" w:hAnsi="Source Sans Pro" w:cs="Source Sans Pro"/>
        </w:rPr>
      </w:pPr>
    </w:p>
    <w:p w14:paraId="0DB0392B" w14:textId="77777777" w:rsidR="002F7564" w:rsidRDefault="002F7564">
      <w:pPr>
        <w:jc w:val="both"/>
        <w:rPr>
          <w:rFonts w:ascii="Source Sans Pro" w:eastAsia="Source Sans Pro" w:hAnsi="Source Sans Pro" w:cs="Source Sans Pro"/>
        </w:rPr>
      </w:pPr>
    </w:p>
    <w:p w14:paraId="3C8DCEB5" w14:textId="77777777" w:rsidR="002F7564" w:rsidRDefault="002F7564">
      <w:pPr>
        <w:jc w:val="both"/>
        <w:rPr>
          <w:rFonts w:ascii="Source Sans Pro" w:eastAsia="Source Sans Pro" w:hAnsi="Source Sans Pro" w:cs="Source Sans Pro"/>
        </w:rPr>
      </w:pPr>
    </w:p>
    <w:p w14:paraId="273FD66A" w14:textId="77777777" w:rsidR="002F7564" w:rsidRDefault="002F7564">
      <w:pPr>
        <w:jc w:val="both"/>
        <w:rPr>
          <w:rFonts w:ascii="Source Sans Pro" w:eastAsia="Source Sans Pro" w:hAnsi="Source Sans Pro" w:cs="Source Sans Pro"/>
        </w:rPr>
      </w:pPr>
    </w:p>
    <w:p w14:paraId="5711601F" w14:textId="77777777" w:rsidR="002F7564" w:rsidRDefault="002F7564">
      <w:pPr>
        <w:jc w:val="both"/>
        <w:rPr>
          <w:rFonts w:ascii="Source Sans Pro" w:eastAsia="Source Sans Pro" w:hAnsi="Source Sans Pro" w:cs="Source Sans Pro"/>
        </w:rPr>
      </w:pPr>
    </w:p>
    <w:p w14:paraId="50A16744" w14:textId="77777777" w:rsidR="002F7564" w:rsidRDefault="002F7564">
      <w:pPr>
        <w:jc w:val="both"/>
        <w:rPr>
          <w:rFonts w:ascii="Source Sans Pro" w:eastAsia="Source Sans Pro" w:hAnsi="Source Sans Pro" w:cs="Source Sans Pro"/>
        </w:rPr>
      </w:pPr>
    </w:p>
    <w:p w14:paraId="5B038C05" w14:textId="77777777" w:rsidR="002F7564" w:rsidRDefault="002F7564">
      <w:pPr>
        <w:jc w:val="both"/>
        <w:rPr>
          <w:rFonts w:ascii="Source Sans Pro" w:eastAsia="Source Sans Pro" w:hAnsi="Source Sans Pro" w:cs="Source Sans Pro"/>
        </w:rPr>
      </w:pPr>
    </w:p>
    <w:p w14:paraId="321F805F" w14:textId="77777777" w:rsidR="002F7564" w:rsidRDefault="002F7564">
      <w:pPr>
        <w:jc w:val="both"/>
        <w:rPr>
          <w:rFonts w:ascii="Source Sans Pro" w:eastAsia="Source Sans Pro" w:hAnsi="Source Sans Pro" w:cs="Source Sans Pro"/>
        </w:rPr>
      </w:pPr>
    </w:p>
    <w:p w14:paraId="7D8C8D35" w14:textId="77777777" w:rsidR="002F7564" w:rsidRDefault="002F7564">
      <w:pPr>
        <w:jc w:val="both"/>
        <w:rPr>
          <w:rFonts w:ascii="Source Sans Pro" w:eastAsia="Source Sans Pro" w:hAnsi="Source Sans Pro" w:cs="Source Sans Pro"/>
        </w:rPr>
      </w:pPr>
    </w:p>
    <w:p w14:paraId="14121C26" w14:textId="77777777" w:rsidR="002F7564" w:rsidRDefault="002F7564">
      <w:pPr>
        <w:jc w:val="both"/>
        <w:rPr>
          <w:rFonts w:ascii="Source Sans Pro" w:eastAsia="Source Sans Pro" w:hAnsi="Source Sans Pro" w:cs="Source Sans Pro"/>
        </w:rPr>
      </w:pPr>
    </w:p>
    <w:p w14:paraId="15CE94E1" w14:textId="77777777" w:rsidR="002F7564" w:rsidRDefault="002F7564">
      <w:pPr>
        <w:jc w:val="both"/>
        <w:rPr>
          <w:rFonts w:ascii="Source Sans Pro" w:eastAsia="Source Sans Pro" w:hAnsi="Source Sans Pro" w:cs="Source Sans Pro"/>
        </w:rPr>
      </w:pPr>
    </w:p>
    <w:p w14:paraId="3132429F" w14:textId="77777777" w:rsidR="002F7564" w:rsidRDefault="002F7564">
      <w:pPr>
        <w:jc w:val="both"/>
        <w:rPr>
          <w:rFonts w:ascii="Source Sans Pro" w:eastAsia="Source Sans Pro" w:hAnsi="Source Sans Pro" w:cs="Source Sans Pro"/>
        </w:rPr>
      </w:pPr>
    </w:p>
    <w:p w14:paraId="7032A127" w14:textId="77777777" w:rsidR="002F7564" w:rsidRDefault="002F7564">
      <w:pPr>
        <w:jc w:val="both"/>
        <w:rPr>
          <w:rFonts w:ascii="Source Sans Pro" w:eastAsia="Source Sans Pro" w:hAnsi="Source Sans Pro" w:cs="Source Sans Pro"/>
        </w:rPr>
      </w:pPr>
    </w:p>
    <w:p w14:paraId="615D5BBD" w14:textId="77777777" w:rsidR="002F7564" w:rsidRDefault="002F7564">
      <w:pPr>
        <w:jc w:val="both"/>
        <w:rPr>
          <w:rFonts w:ascii="Source Sans Pro" w:eastAsia="Source Sans Pro" w:hAnsi="Source Sans Pro" w:cs="Source Sans Pro"/>
        </w:rPr>
      </w:pPr>
    </w:p>
    <w:p w14:paraId="55954431" w14:textId="77777777" w:rsidR="002F7564" w:rsidRDefault="002F7564">
      <w:pPr>
        <w:jc w:val="both"/>
        <w:rPr>
          <w:rFonts w:ascii="Source Sans Pro" w:eastAsia="Source Sans Pro" w:hAnsi="Source Sans Pro" w:cs="Source Sans Pro"/>
        </w:rPr>
      </w:pPr>
    </w:p>
    <w:p w14:paraId="5A65E02B" w14:textId="77777777" w:rsidR="002F7564" w:rsidRDefault="002F7564">
      <w:pPr>
        <w:jc w:val="both"/>
        <w:rPr>
          <w:rFonts w:ascii="Source Sans Pro" w:eastAsia="Source Sans Pro" w:hAnsi="Source Sans Pro" w:cs="Source Sans Pro"/>
        </w:rPr>
      </w:pPr>
    </w:p>
    <w:p w14:paraId="1155BFB2" w14:textId="77777777" w:rsidR="002F7564" w:rsidRDefault="002F7564">
      <w:pPr>
        <w:jc w:val="both"/>
        <w:rPr>
          <w:rFonts w:ascii="Source Sans Pro" w:eastAsia="Source Sans Pro" w:hAnsi="Source Sans Pro" w:cs="Source Sans Pro"/>
        </w:rPr>
      </w:pPr>
    </w:p>
    <w:p w14:paraId="21A7BCA0" w14:textId="77777777" w:rsidR="002F7564" w:rsidRDefault="002F7564">
      <w:pPr>
        <w:jc w:val="both"/>
        <w:rPr>
          <w:rFonts w:ascii="Source Sans Pro" w:eastAsia="Source Sans Pro" w:hAnsi="Source Sans Pro" w:cs="Source Sans Pro"/>
        </w:rPr>
      </w:pPr>
    </w:p>
    <w:p w14:paraId="3AFBF900" w14:textId="77777777" w:rsidR="002F7564" w:rsidRDefault="002F7564">
      <w:pPr>
        <w:jc w:val="both"/>
        <w:rPr>
          <w:rFonts w:ascii="Source Sans Pro" w:eastAsia="Source Sans Pro" w:hAnsi="Source Sans Pro" w:cs="Source Sans Pro"/>
        </w:rPr>
      </w:pPr>
    </w:p>
    <w:p w14:paraId="6F8C5BA6" w14:textId="77777777" w:rsidR="002F7564" w:rsidRDefault="002F7564">
      <w:pPr>
        <w:jc w:val="both"/>
        <w:rPr>
          <w:rFonts w:ascii="Source Sans Pro" w:eastAsia="Source Sans Pro" w:hAnsi="Source Sans Pro" w:cs="Source Sans Pro"/>
        </w:rPr>
      </w:pPr>
    </w:p>
    <w:p w14:paraId="76A4E9A9" w14:textId="77777777" w:rsidR="002F7564" w:rsidRDefault="002F7564">
      <w:pPr>
        <w:jc w:val="both"/>
        <w:rPr>
          <w:rFonts w:ascii="Source Sans Pro" w:eastAsia="Source Sans Pro" w:hAnsi="Source Sans Pro" w:cs="Source Sans Pro"/>
        </w:rPr>
      </w:pPr>
    </w:p>
    <w:p w14:paraId="2FA4EA10" w14:textId="77777777" w:rsidR="002F7564" w:rsidRDefault="002F7564">
      <w:pPr>
        <w:jc w:val="both"/>
        <w:rPr>
          <w:rFonts w:ascii="Source Sans Pro" w:eastAsia="Source Sans Pro" w:hAnsi="Source Sans Pro" w:cs="Source Sans Pro"/>
        </w:rPr>
      </w:pPr>
    </w:p>
    <w:p w14:paraId="64B4306B" w14:textId="77777777" w:rsidR="002F7564" w:rsidRDefault="002F7564">
      <w:pPr>
        <w:jc w:val="both"/>
        <w:rPr>
          <w:rFonts w:ascii="Source Sans Pro" w:eastAsia="Source Sans Pro" w:hAnsi="Source Sans Pro" w:cs="Source Sans Pro"/>
        </w:rPr>
      </w:pPr>
    </w:p>
    <w:p w14:paraId="6FB25315" w14:textId="77777777" w:rsidR="002F7564" w:rsidRDefault="002F7564">
      <w:pPr>
        <w:jc w:val="both"/>
        <w:rPr>
          <w:rFonts w:ascii="Source Sans Pro" w:eastAsia="Source Sans Pro" w:hAnsi="Source Sans Pro" w:cs="Source Sans Pro"/>
        </w:rPr>
      </w:pPr>
    </w:p>
    <w:p w14:paraId="272A4125" w14:textId="77777777" w:rsidR="002F7564" w:rsidRDefault="002F7564">
      <w:pPr>
        <w:jc w:val="both"/>
        <w:rPr>
          <w:rFonts w:ascii="Source Sans Pro" w:eastAsia="Source Sans Pro" w:hAnsi="Source Sans Pro" w:cs="Source Sans Pro"/>
        </w:rPr>
      </w:pPr>
    </w:p>
    <w:p w14:paraId="1B11ED4E" w14:textId="77777777" w:rsidR="002F7564" w:rsidRDefault="00000000">
      <w:pPr>
        <w:pStyle w:val="Heading1"/>
        <w:ind w:firstLine="720"/>
      </w:pPr>
      <w:bookmarkStart w:id="7" w:name="_3dy6vkm" w:colFirst="0" w:colLast="0"/>
      <w:bookmarkEnd w:id="7"/>
      <w:r>
        <w:lastRenderedPageBreak/>
        <w:t>4. Srednjoročna vizija razvoja</w:t>
      </w:r>
    </w:p>
    <w:p w14:paraId="19C97A0B" w14:textId="77777777" w:rsidR="002F7564" w:rsidRDefault="002F7564">
      <w:pPr>
        <w:rPr>
          <w:rFonts w:ascii="Source Sans Pro" w:eastAsia="Source Sans Pro" w:hAnsi="Source Sans Pro" w:cs="Source Sans Pro"/>
        </w:rPr>
      </w:pPr>
    </w:p>
    <w:p w14:paraId="615BAE05"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Vizija, vrh piramide u strukturi strateškog planiranja, na jednom mjestu u simplificiranom izdanju govori što Urbano područje želi, čemu teži, što želi postići, i najvažnije, kako se vidi u budućnosti? Vizija je ključna za stalno podsjećanje zacrtanog smjera razvoja, ali i komunikacijski alat za komuniciranje tog smjera prema vanjskim dionicima. </w:t>
      </w:r>
    </w:p>
    <w:p w14:paraId="152FCE3C"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U konzultaciji s dionicima, po održanim radionicama i intervjuima, u okviru kojih su prikupljeni ključni pojmovi koji opisuju Urbano područje kakvo dionici žele vidjeti, proizašlo je nekoliko vizija, a dodatnim konzultacijama definirana je sljedeća vizija razvoja:</w:t>
      </w:r>
    </w:p>
    <w:p w14:paraId="66079429" w14:textId="77777777" w:rsidR="002F7564" w:rsidRDefault="002F7564">
      <w:pPr>
        <w:jc w:val="center"/>
        <w:rPr>
          <w:rFonts w:ascii="Source Sans Pro" w:eastAsia="Source Sans Pro" w:hAnsi="Source Sans Pro" w:cs="Source Sans Pro"/>
          <w:b/>
          <w:color w:val="096EB3"/>
          <w:sz w:val="28"/>
          <w:szCs w:val="28"/>
        </w:rPr>
      </w:pPr>
    </w:p>
    <w:tbl>
      <w:tblPr>
        <w:tblStyle w:val="a1"/>
        <w:tblW w:w="902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29"/>
      </w:tblGrid>
      <w:tr w:rsidR="002F7564" w14:paraId="63259607" w14:textId="77777777">
        <w:trPr>
          <w:jc w:val="center"/>
        </w:trPr>
        <w:tc>
          <w:tcPr>
            <w:tcW w:w="9029" w:type="dxa"/>
            <w:shd w:val="clear" w:color="auto" w:fill="096EB3"/>
            <w:tcMar>
              <w:top w:w="100" w:type="dxa"/>
              <w:left w:w="100" w:type="dxa"/>
              <w:bottom w:w="100" w:type="dxa"/>
              <w:right w:w="100" w:type="dxa"/>
            </w:tcMar>
          </w:tcPr>
          <w:p w14:paraId="4BCBC3DB" w14:textId="77777777" w:rsidR="002F7564" w:rsidRDefault="00000000">
            <w:pPr>
              <w:widowControl w:val="0"/>
              <w:jc w:val="center"/>
              <w:rPr>
                <w:rFonts w:ascii="Source Sans Pro" w:eastAsia="Source Sans Pro" w:hAnsi="Source Sans Pro" w:cs="Source Sans Pro"/>
                <w:b/>
                <w:color w:val="FFFFFF"/>
                <w:sz w:val="30"/>
                <w:szCs w:val="30"/>
                <w:shd w:val="clear" w:color="auto" w:fill="096EB3"/>
              </w:rPr>
            </w:pPr>
            <w:r>
              <w:rPr>
                <w:rFonts w:ascii="Source Sans Pro" w:eastAsia="Source Sans Pro" w:hAnsi="Source Sans Pro" w:cs="Source Sans Pro"/>
                <w:b/>
                <w:color w:val="FFFFFF"/>
                <w:sz w:val="30"/>
                <w:szCs w:val="30"/>
              </w:rPr>
              <w:t>Srce Podravine u novom ruhu - progresivno, povezano i razvijeno, kaj got ‘ko rekel!</w:t>
            </w:r>
          </w:p>
        </w:tc>
      </w:tr>
    </w:tbl>
    <w:p w14:paraId="33F972D8" w14:textId="77777777" w:rsidR="002F7564" w:rsidRDefault="002F7564">
      <w:pPr>
        <w:jc w:val="both"/>
        <w:rPr>
          <w:rFonts w:ascii="Source Sans Pro" w:eastAsia="Source Sans Pro" w:hAnsi="Source Sans Pro" w:cs="Source Sans Pro"/>
        </w:rPr>
      </w:pPr>
    </w:p>
    <w:p w14:paraId="03B79C51"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Urbano područje Koprivnica uistinu predstavlja središte i</w:t>
      </w:r>
      <w:r>
        <w:rPr>
          <w:rFonts w:ascii="Source Sans Pro" w:eastAsia="Source Sans Pro" w:hAnsi="Source Sans Pro" w:cs="Source Sans Pro"/>
          <w:b/>
          <w:color w:val="096EB3"/>
          <w:sz w:val="30"/>
          <w:szCs w:val="30"/>
        </w:rPr>
        <w:t xml:space="preserve"> </w:t>
      </w:r>
      <w:r>
        <w:rPr>
          <w:rFonts w:ascii="Source Sans Pro" w:eastAsia="Source Sans Pro" w:hAnsi="Source Sans Pro" w:cs="Source Sans Pro"/>
          <w:b/>
          <w:color w:val="096EB3"/>
        </w:rPr>
        <w:t>srce podravskog</w:t>
      </w:r>
      <w:r>
        <w:rPr>
          <w:rFonts w:ascii="Source Sans Pro" w:eastAsia="Source Sans Pro" w:hAnsi="Source Sans Pro" w:cs="Source Sans Pro"/>
        </w:rPr>
        <w:t xml:space="preserve"> regionalnog identiteta koji je stoljećima građen na kulturno-povijesnoj i geografskoj determiniranosti prostora pridravske nizine. Urbano područje Koprivnica sačinjeno od kombinacije urbane i ruralnih sredina želi jačati svoju integraciju, biti uistinu povezano i dijeliti ne samo identitet nego se i funkcionalno povezivati zajedničkim projektima i razvojnim idejama. U tom kontekstu, u</w:t>
      </w:r>
      <w:r>
        <w:rPr>
          <w:rFonts w:ascii="Source Sans Pro" w:eastAsia="Source Sans Pro" w:hAnsi="Source Sans Pro" w:cs="Source Sans Pro"/>
          <w:b/>
          <w:color w:val="096EB3"/>
        </w:rPr>
        <w:t xml:space="preserve"> novo ruho</w:t>
      </w:r>
      <w:r>
        <w:rPr>
          <w:rFonts w:ascii="Source Sans Pro" w:eastAsia="Source Sans Pro" w:hAnsi="Source Sans Pro" w:cs="Source Sans Pro"/>
          <w:b/>
          <w:color w:val="096EB3"/>
          <w:sz w:val="24"/>
          <w:szCs w:val="24"/>
        </w:rPr>
        <w:t xml:space="preserve"> </w:t>
      </w:r>
      <w:r>
        <w:rPr>
          <w:rFonts w:ascii="Source Sans Pro" w:eastAsia="Source Sans Pro" w:hAnsi="Source Sans Pro" w:cs="Source Sans Pro"/>
        </w:rPr>
        <w:t xml:space="preserve">ovog područja utkano je u suvremeno promišljanje razvoja, </w:t>
      </w:r>
      <w:r>
        <w:rPr>
          <w:rFonts w:ascii="Source Sans Pro" w:eastAsia="Source Sans Pro" w:hAnsi="Source Sans Pro" w:cs="Source Sans Pro"/>
          <w:b/>
          <w:color w:val="096EB3"/>
        </w:rPr>
        <w:t>progresivni</w:t>
      </w:r>
      <w:r>
        <w:rPr>
          <w:rFonts w:ascii="Source Sans Pro" w:eastAsia="Source Sans Pro" w:hAnsi="Source Sans Pro" w:cs="Source Sans Pro"/>
        </w:rPr>
        <w:t xml:space="preserve"> projekti koji uvažavaju izazove današnjice za kvalitetniji život budućnosti. Jačanje zajedništva očituje se u povezanosti, ne samo prometnoj, već funkcionalnoj, svakodnevnoj, životnoj </w:t>
      </w:r>
      <w:r>
        <w:rPr>
          <w:rFonts w:ascii="Source Sans Pro" w:eastAsia="Source Sans Pro" w:hAnsi="Source Sans Pro" w:cs="Source Sans Pro"/>
          <w:b/>
          <w:color w:val="096EB3"/>
        </w:rPr>
        <w:t>povezanosti</w:t>
      </w:r>
      <w:r>
        <w:rPr>
          <w:rFonts w:ascii="Source Sans Pro" w:eastAsia="Source Sans Pro" w:hAnsi="Source Sans Pro" w:cs="Source Sans Pro"/>
        </w:rPr>
        <w:t xml:space="preserve"> kao temelja zajedništva i bolje suradnje. Upravo je povezanost preduvjet razvoja u gospodarsko društvenom smislu, razvoja koji će u konačnici podizati letvicu kvalitete života, </w:t>
      </w:r>
      <w:r>
        <w:rPr>
          <w:rFonts w:ascii="Source Sans Pro" w:eastAsia="Source Sans Pro" w:hAnsi="Source Sans Pro" w:cs="Source Sans Pro"/>
          <w:b/>
          <w:color w:val="096EB3"/>
        </w:rPr>
        <w:t xml:space="preserve">razvoja </w:t>
      </w:r>
      <w:r>
        <w:rPr>
          <w:rFonts w:ascii="Source Sans Pro" w:eastAsia="Source Sans Pro" w:hAnsi="Source Sans Pro" w:cs="Source Sans Pro"/>
        </w:rPr>
        <w:t xml:space="preserve">koji će graditi i osnažiti identitet Urbanog područja i omogućiti postavljanje trendova što je ovo područje uvijek i radilo - </w:t>
      </w:r>
      <w:r>
        <w:rPr>
          <w:rFonts w:ascii="Source Sans Pro" w:eastAsia="Source Sans Pro" w:hAnsi="Source Sans Pro" w:cs="Source Sans Pro"/>
          <w:b/>
          <w:color w:val="096EB3"/>
        </w:rPr>
        <w:t>kaj got ‘ko rekel!</w:t>
      </w:r>
    </w:p>
    <w:p w14:paraId="35F48CB8" w14:textId="77777777" w:rsidR="002F7564" w:rsidRDefault="002F7564">
      <w:pPr>
        <w:jc w:val="both"/>
        <w:rPr>
          <w:rFonts w:ascii="Source Sans Pro" w:eastAsia="Source Sans Pro" w:hAnsi="Source Sans Pro" w:cs="Source Sans Pro"/>
        </w:rPr>
      </w:pPr>
    </w:p>
    <w:p w14:paraId="01C738A7" w14:textId="77777777" w:rsidR="002F7564" w:rsidRDefault="002F7564">
      <w:pPr>
        <w:jc w:val="both"/>
        <w:rPr>
          <w:rFonts w:ascii="Source Sans Pro" w:eastAsia="Source Sans Pro" w:hAnsi="Source Sans Pro" w:cs="Source Sans Pro"/>
          <w:b/>
          <w:color w:val="096EB3"/>
          <w:sz w:val="24"/>
          <w:szCs w:val="24"/>
        </w:rPr>
      </w:pPr>
    </w:p>
    <w:p w14:paraId="52D50EEC" w14:textId="77777777" w:rsidR="002F7564" w:rsidRDefault="002F7564">
      <w:pPr>
        <w:jc w:val="both"/>
        <w:rPr>
          <w:rFonts w:ascii="Source Sans Pro" w:eastAsia="Source Sans Pro" w:hAnsi="Source Sans Pro" w:cs="Source Sans Pro"/>
          <w:b/>
          <w:color w:val="096EB3"/>
          <w:sz w:val="24"/>
          <w:szCs w:val="24"/>
        </w:rPr>
      </w:pPr>
    </w:p>
    <w:p w14:paraId="52AA4CAD" w14:textId="77777777" w:rsidR="002F7564" w:rsidRDefault="002F7564">
      <w:pPr>
        <w:jc w:val="both"/>
        <w:rPr>
          <w:rFonts w:ascii="Source Sans Pro" w:eastAsia="Source Sans Pro" w:hAnsi="Source Sans Pro" w:cs="Source Sans Pro"/>
          <w:b/>
          <w:color w:val="096EB3"/>
          <w:sz w:val="24"/>
          <w:szCs w:val="24"/>
        </w:rPr>
      </w:pPr>
    </w:p>
    <w:p w14:paraId="6A4C6AA0" w14:textId="77777777" w:rsidR="002F7564" w:rsidRDefault="002F7564">
      <w:pPr>
        <w:jc w:val="both"/>
        <w:rPr>
          <w:rFonts w:ascii="Source Sans Pro" w:eastAsia="Source Sans Pro" w:hAnsi="Source Sans Pro" w:cs="Source Sans Pro"/>
          <w:b/>
          <w:color w:val="096EB3"/>
          <w:sz w:val="24"/>
          <w:szCs w:val="24"/>
        </w:rPr>
      </w:pPr>
    </w:p>
    <w:p w14:paraId="10A37DE7" w14:textId="77777777" w:rsidR="002F7564" w:rsidRDefault="002F7564">
      <w:pPr>
        <w:jc w:val="both"/>
        <w:rPr>
          <w:rFonts w:ascii="Source Sans Pro" w:eastAsia="Source Sans Pro" w:hAnsi="Source Sans Pro" w:cs="Source Sans Pro"/>
          <w:b/>
          <w:color w:val="096EB3"/>
          <w:sz w:val="24"/>
          <w:szCs w:val="24"/>
        </w:rPr>
      </w:pPr>
    </w:p>
    <w:p w14:paraId="6B21D178" w14:textId="77777777" w:rsidR="002F7564" w:rsidRDefault="002F7564">
      <w:pPr>
        <w:jc w:val="both"/>
        <w:rPr>
          <w:rFonts w:ascii="Source Sans Pro" w:eastAsia="Source Sans Pro" w:hAnsi="Source Sans Pro" w:cs="Source Sans Pro"/>
          <w:b/>
          <w:color w:val="096EB3"/>
          <w:sz w:val="24"/>
          <w:szCs w:val="24"/>
        </w:rPr>
      </w:pPr>
    </w:p>
    <w:p w14:paraId="0B6DDE89" w14:textId="77777777" w:rsidR="002F7564" w:rsidRDefault="002F7564">
      <w:pPr>
        <w:jc w:val="both"/>
        <w:rPr>
          <w:rFonts w:ascii="Source Sans Pro" w:eastAsia="Source Sans Pro" w:hAnsi="Source Sans Pro" w:cs="Source Sans Pro"/>
          <w:b/>
          <w:color w:val="096EB3"/>
          <w:sz w:val="24"/>
          <w:szCs w:val="24"/>
        </w:rPr>
      </w:pPr>
    </w:p>
    <w:p w14:paraId="10FEDDA7" w14:textId="77777777" w:rsidR="002F7564" w:rsidRDefault="002F7564">
      <w:pPr>
        <w:jc w:val="both"/>
        <w:rPr>
          <w:rFonts w:ascii="Source Sans Pro" w:eastAsia="Source Sans Pro" w:hAnsi="Source Sans Pro" w:cs="Source Sans Pro"/>
          <w:b/>
          <w:color w:val="096EB3"/>
          <w:sz w:val="24"/>
          <w:szCs w:val="24"/>
        </w:rPr>
      </w:pPr>
    </w:p>
    <w:p w14:paraId="1C8A05C5" w14:textId="77777777" w:rsidR="002F7564" w:rsidRDefault="002F7564">
      <w:pPr>
        <w:jc w:val="both"/>
        <w:rPr>
          <w:rFonts w:ascii="Source Sans Pro" w:eastAsia="Source Sans Pro" w:hAnsi="Source Sans Pro" w:cs="Source Sans Pro"/>
          <w:b/>
          <w:color w:val="096EB3"/>
          <w:sz w:val="24"/>
          <w:szCs w:val="24"/>
        </w:rPr>
      </w:pPr>
    </w:p>
    <w:p w14:paraId="760C0F95" w14:textId="77777777" w:rsidR="002F7564" w:rsidRDefault="002F7564">
      <w:pPr>
        <w:jc w:val="both"/>
        <w:rPr>
          <w:rFonts w:ascii="Source Sans Pro" w:eastAsia="Source Sans Pro" w:hAnsi="Source Sans Pro" w:cs="Source Sans Pro"/>
          <w:b/>
          <w:color w:val="096EB3"/>
          <w:sz w:val="24"/>
          <w:szCs w:val="24"/>
        </w:rPr>
      </w:pPr>
    </w:p>
    <w:p w14:paraId="47BED019" w14:textId="77777777" w:rsidR="002F7564" w:rsidRDefault="002F7564">
      <w:pPr>
        <w:jc w:val="both"/>
        <w:rPr>
          <w:rFonts w:ascii="Source Sans Pro" w:eastAsia="Source Sans Pro" w:hAnsi="Source Sans Pro" w:cs="Source Sans Pro"/>
          <w:b/>
          <w:color w:val="096EB3"/>
          <w:sz w:val="24"/>
          <w:szCs w:val="24"/>
        </w:rPr>
      </w:pPr>
    </w:p>
    <w:p w14:paraId="7E422A6B" w14:textId="77777777" w:rsidR="002F7564" w:rsidRDefault="002F7564">
      <w:pPr>
        <w:jc w:val="both"/>
        <w:rPr>
          <w:rFonts w:ascii="Source Sans Pro" w:eastAsia="Source Sans Pro" w:hAnsi="Source Sans Pro" w:cs="Source Sans Pro"/>
          <w:b/>
          <w:color w:val="096EB3"/>
          <w:sz w:val="24"/>
          <w:szCs w:val="24"/>
        </w:rPr>
      </w:pPr>
    </w:p>
    <w:p w14:paraId="4B6234D2" w14:textId="77777777" w:rsidR="002F7564" w:rsidRDefault="002F7564">
      <w:pPr>
        <w:jc w:val="both"/>
        <w:rPr>
          <w:rFonts w:ascii="Source Sans Pro" w:eastAsia="Source Sans Pro" w:hAnsi="Source Sans Pro" w:cs="Source Sans Pro"/>
          <w:b/>
          <w:color w:val="096EB3"/>
          <w:sz w:val="24"/>
          <w:szCs w:val="24"/>
        </w:rPr>
      </w:pPr>
    </w:p>
    <w:p w14:paraId="11913023" w14:textId="77777777" w:rsidR="002F7564" w:rsidRDefault="002F7564">
      <w:pPr>
        <w:jc w:val="both"/>
        <w:rPr>
          <w:rFonts w:ascii="Source Sans Pro" w:eastAsia="Source Sans Pro" w:hAnsi="Source Sans Pro" w:cs="Source Sans Pro"/>
          <w:b/>
          <w:color w:val="096EB3"/>
          <w:sz w:val="24"/>
          <w:szCs w:val="24"/>
        </w:rPr>
      </w:pPr>
    </w:p>
    <w:p w14:paraId="09F06C03" w14:textId="77777777" w:rsidR="002F7564" w:rsidRDefault="002F7564">
      <w:pPr>
        <w:jc w:val="both"/>
        <w:rPr>
          <w:rFonts w:ascii="Source Sans Pro" w:eastAsia="Source Sans Pro" w:hAnsi="Source Sans Pro" w:cs="Source Sans Pro"/>
          <w:b/>
          <w:color w:val="096EB3"/>
          <w:sz w:val="24"/>
          <w:szCs w:val="24"/>
        </w:rPr>
      </w:pPr>
    </w:p>
    <w:p w14:paraId="676C5287" w14:textId="77777777" w:rsidR="002F7564" w:rsidRDefault="00000000">
      <w:pPr>
        <w:pStyle w:val="Heading1"/>
        <w:ind w:firstLine="720"/>
      </w:pPr>
      <w:bookmarkStart w:id="8" w:name="_1t3h5sf" w:colFirst="0" w:colLast="0"/>
      <w:bookmarkEnd w:id="8"/>
      <w:r>
        <w:lastRenderedPageBreak/>
        <w:t>5. Opis srednjoročnih razvojnih potreba i razvojnih potencijala</w:t>
      </w:r>
    </w:p>
    <w:p w14:paraId="41A70206" w14:textId="77777777" w:rsidR="002F7564" w:rsidRDefault="002F7564">
      <w:pPr>
        <w:jc w:val="both"/>
      </w:pPr>
    </w:p>
    <w:p w14:paraId="3F05791F"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Analiza srednjoročnih razvojnih potreba i potencijala proizlazi iz analize stanja, a predstavlja osnovu za definiranje srednjoročnog strateškog pristupa razvoju Urbanog područja. </w:t>
      </w:r>
    </w:p>
    <w:p w14:paraId="5004650A" w14:textId="77777777" w:rsidR="002F7564" w:rsidRDefault="002F7564">
      <w:pPr>
        <w:jc w:val="both"/>
        <w:rPr>
          <w:rFonts w:ascii="Source Sans Pro" w:eastAsia="Source Sans Pro" w:hAnsi="Source Sans Pro" w:cs="Source Sans Pro"/>
        </w:rPr>
      </w:pPr>
    </w:p>
    <w:p w14:paraId="53A5151C" w14:textId="77777777" w:rsidR="002F7564" w:rsidRDefault="00000000">
      <w:pPr>
        <w:jc w:val="both"/>
        <w:rPr>
          <w:rFonts w:ascii="Source Sans Pro" w:eastAsia="Source Sans Pro" w:hAnsi="Source Sans Pro" w:cs="Source Sans Pro"/>
          <w:highlight w:val="white"/>
        </w:rPr>
      </w:pPr>
      <w:r>
        <w:rPr>
          <w:rFonts w:ascii="Source Sans Pro" w:eastAsia="Source Sans Pro" w:hAnsi="Source Sans Pro" w:cs="Source Sans Pro"/>
        </w:rPr>
        <w:t xml:space="preserve">Analiza stanja i pripadajuća SWOT analiza, utemeljene na relevantnim kvantitativnim i kvalitativnim podacima, te dodano potkrijepljene nalazima ključnih dionika, odražavaju snage i buduće razvojne prilike, te potencijalne interne slabosti i vanjske prijetnje relevantne za određeni sektor u Urbanom području i tako omogućavaju identifikaciju razvojnih potreba i razvojnih potencijala te strateško planiranje razvoja. Cjelovita analiza stanja i pripadajuća SWOT analiza kao alati koji služe za definiranje strateškog okvira, prilozi su SRUP-a, </w:t>
      </w:r>
      <w:r>
        <w:rPr>
          <w:rFonts w:ascii="Source Sans Pro" w:eastAsia="Source Sans Pro" w:hAnsi="Source Sans Pro" w:cs="Source Sans Pro"/>
          <w:highlight w:val="white"/>
        </w:rPr>
        <w:t xml:space="preserve">Prilog 1. - Analiza stanja Strategije razvoja Urbanog područja Koprivnica za razdoblje 2021.-2027. i Prilog 2. - SWOT analiza. </w:t>
      </w:r>
    </w:p>
    <w:p w14:paraId="7F27C343" w14:textId="77777777" w:rsidR="002F7564" w:rsidRDefault="002F7564">
      <w:pPr>
        <w:jc w:val="both"/>
        <w:rPr>
          <w:rFonts w:ascii="Source Sans Pro" w:eastAsia="Source Sans Pro" w:hAnsi="Source Sans Pro" w:cs="Source Sans Pro"/>
          <w:highlight w:val="white"/>
        </w:rPr>
      </w:pPr>
    </w:p>
    <w:p w14:paraId="337AD75A"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highlight w:val="white"/>
        </w:rPr>
        <w:t xml:space="preserve">Opis srednjoročnih razvojnih potreba i razvojnih potencijala, prikazan u </w:t>
      </w:r>
      <w:r>
        <w:rPr>
          <w:rFonts w:ascii="Source Sans Pro" w:eastAsia="Source Sans Pro" w:hAnsi="Source Sans Pro" w:cs="Source Sans Pro"/>
        </w:rPr>
        <w:t>nastavku, sumira ključne nalaze analize stanja kroz tri glavna tematska područja:</w:t>
      </w:r>
    </w:p>
    <w:p w14:paraId="0AA474D6" w14:textId="77777777" w:rsidR="002F7564" w:rsidRDefault="00000000">
      <w:pPr>
        <w:numPr>
          <w:ilvl w:val="0"/>
          <w:numId w:val="1"/>
        </w:numPr>
        <w:jc w:val="both"/>
        <w:rPr>
          <w:rFonts w:ascii="Source Sans Pro" w:eastAsia="Source Sans Pro" w:hAnsi="Source Sans Pro" w:cs="Source Sans Pro"/>
        </w:rPr>
      </w:pPr>
      <w:r>
        <w:rPr>
          <w:rFonts w:ascii="Source Sans Pro" w:eastAsia="Source Sans Pro" w:hAnsi="Source Sans Pro" w:cs="Source Sans Pro"/>
        </w:rPr>
        <w:t>društvo;</w:t>
      </w:r>
    </w:p>
    <w:p w14:paraId="6222E0C0" w14:textId="77777777" w:rsidR="002F7564" w:rsidRDefault="00000000">
      <w:pPr>
        <w:numPr>
          <w:ilvl w:val="0"/>
          <w:numId w:val="1"/>
        </w:numPr>
        <w:jc w:val="both"/>
        <w:rPr>
          <w:rFonts w:ascii="Source Sans Pro" w:eastAsia="Source Sans Pro" w:hAnsi="Source Sans Pro" w:cs="Source Sans Pro"/>
        </w:rPr>
      </w:pPr>
      <w:r>
        <w:rPr>
          <w:rFonts w:ascii="Source Sans Pro" w:eastAsia="Source Sans Pro" w:hAnsi="Source Sans Pro" w:cs="Source Sans Pro"/>
        </w:rPr>
        <w:t>gospodarstvo;</w:t>
      </w:r>
    </w:p>
    <w:p w14:paraId="6F1509A0" w14:textId="77777777" w:rsidR="002F7564" w:rsidRDefault="00000000">
      <w:pPr>
        <w:numPr>
          <w:ilvl w:val="0"/>
          <w:numId w:val="1"/>
        </w:numPr>
        <w:jc w:val="both"/>
        <w:rPr>
          <w:rFonts w:ascii="Source Sans Pro" w:eastAsia="Source Sans Pro" w:hAnsi="Source Sans Pro" w:cs="Source Sans Pro"/>
        </w:rPr>
      </w:pPr>
      <w:r>
        <w:rPr>
          <w:rFonts w:ascii="Source Sans Pro" w:eastAsia="Source Sans Pro" w:hAnsi="Source Sans Pro" w:cs="Source Sans Pro"/>
        </w:rPr>
        <w:t xml:space="preserve">urbano okruženje. </w:t>
      </w:r>
    </w:p>
    <w:p w14:paraId="151F4433" w14:textId="77777777" w:rsidR="002F7564" w:rsidRDefault="002F7564"/>
    <w:tbl>
      <w:tblPr>
        <w:tblStyle w:val="a2"/>
        <w:tblW w:w="9030" w:type="dxa"/>
        <w:tblInd w:w="-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30"/>
      </w:tblGrid>
      <w:tr w:rsidR="002F7564" w14:paraId="60AB2CB8" w14:textId="77777777">
        <w:tc>
          <w:tcPr>
            <w:tcW w:w="9030" w:type="dxa"/>
            <w:shd w:val="clear" w:color="auto" w:fill="096EB3"/>
            <w:tcMar>
              <w:top w:w="100" w:type="dxa"/>
              <w:left w:w="100" w:type="dxa"/>
              <w:bottom w:w="100" w:type="dxa"/>
              <w:right w:w="100" w:type="dxa"/>
            </w:tcMar>
          </w:tcPr>
          <w:p w14:paraId="6B8822C7" w14:textId="77777777" w:rsidR="002F7564" w:rsidRDefault="00000000">
            <w:pPr>
              <w:pStyle w:val="Heading2"/>
              <w:spacing w:before="0" w:after="0"/>
              <w:outlineLvl w:val="1"/>
              <w:rPr>
                <w:color w:val="FFFFFF"/>
              </w:rPr>
            </w:pPr>
            <w:bookmarkStart w:id="9" w:name="_4d34og8" w:colFirst="0" w:colLast="0"/>
            <w:bookmarkEnd w:id="9"/>
            <w:r>
              <w:rPr>
                <w:color w:val="FFFFFF"/>
                <w:sz w:val="28"/>
                <w:szCs w:val="28"/>
              </w:rPr>
              <w:t>5.1. Društvo</w:t>
            </w:r>
          </w:p>
        </w:tc>
      </w:tr>
    </w:tbl>
    <w:p w14:paraId="21DF7593" w14:textId="77777777" w:rsidR="002F7564" w:rsidRDefault="002F7564">
      <w:pPr>
        <w:rPr>
          <w:rFonts w:ascii="Source Sans Pro" w:eastAsia="Source Sans Pro" w:hAnsi="Source Sans Pro" w:cs="Source Sans Pro"/>
          <w:b/>
          <w:color w:val="096EB3"/>
          <w:sz w:val="28"/>
          <w:szCs w:val="28"/>
        </w:rPr>
      </w:pPr>
    </w:p>
    <w:p w14:paraId="14AE3D01" w14:textId="77777777" w:rsidR="002F7564" w:rsidRDefault="00000000">
      <w:pPr>
        <w:rPr>
          <w:rFonts w:ascii="Source Sans Pro" w:eastAsia="Source Sans Pro" w:hAnsi="Source Sans Pro" w:cs="Source Sans Pro"/>
          <w:b/>
          <w:i/>
          <w:color w:val="096EB3"/>
        </w:rPr>
      </w:pPr>
      <w:r>
        <w:rPr>
          <w:rFonts w:ascii="Source Sans Pro" w:eastAsia="Source Sans Pro" w:hAnsi="Source Sans Pro" w:cs="Source Sans Pro"/>
          <w:b/>
          <w:i/>
          <w:color w:val="096EB3"/>
        </w:rPr>
        <w:t>Razvojne potrebe</w:t>
      </w:r>
    </w:p>
    <w:p w14:paraId="7B671678"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Kvalitetan sustav odgoja i obrazovanja ključna je pretpostavka ne samo ekonomskog prosperiteta nego i faktor društvenog razvoja i stabilnosti. Analizom stanja u Urbanom području Koprivnica identificirane su razvojne potrebe na svim razinama obrazovanja, od predškolskog - u vidu povećanja prostornih i ljudskih kapaciteta, osnovnoškolskog - u vidu potrebe za potpunom uspostavom jednosmjenske nastave, srednjoškolskog - u vidu usklađivanja obrazovnih programa s potrebama tržišta rada, te visokog obrazovanja u kojem je kao ključna razvojna potreba prepoznato ulaganje u dodatnu infrastrukturu i opremanje Sveučilišta Sjever. </w:t>
      </w:r>
    </w:p>
    <w:p w14:paraId="3CD5E1E5"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Geografska disperziranost stanovništva sve izraženijim čini problem ograničenog zdravstvenog sustava, gdje je primarna potreba povećanje broja zdravstvenih timova i poboljšanje zdravstvene usluge izvan središta UP. Povezano s negativnim demografskim trendovima, raste i potreba za uslugama skrbi o starijim i nemoćnim osobama. U kontekstu socijalne skrbi općenito, koju karakterizira razvijena mreža socijalnih usluga, nužno je osigurati kontinuitet u pružanju istih. Demografsku sliku stanovništva u Urbanom području karakterizira multietnička struktura koja sama po sebi generira potrebu za inkluzijom nacionalnih manjina, a iako je Grad Koprivnica proglašen Europskom prijestolnicom uključenosti i različitosti, u ostatku Urbanog područja prepoznat je prostor za napredak.</w:t>
      </w:r>
    </w:p>
    <w:p w14:paraId="7447E209"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Nadalje, u cijelom Urbanom području Koprivnica istaknuta je uloga civilnog društva kojemu je potrebna podrška (prvenstveno kontinuirana financijska) u razvoju kvalitetnijih programa, osobito izvan središta Urbanog područja, gdje je razvidna potreba i za ulaganjima u fizičku društvenu infrastrukturu - društvene domove, koji predstavljaju središte društvenog života i okupljanja </w:t>
      </w:r>
      <w:r>
        <w:rPr>
          <w:rFonts w:ascii="Source Sans Pro" w:eastAsia="Source Sans Pro" w:hAnsi="Source Sans Pro" w:cs="Source Sans Pro"/>
        </w:rPr>
        <w:lastRenderedPageBreak/>
        <w:t>stanovništva u ruralnim područjima. Završno, razvojne potrebe u područjima kulture i sporta koji su također uvelike u domeni civilnog društva, vezane su uz podršku kulturnim aktivnostima i produkciji s ciljem stvaranja kulturnog identiteta, te ulaganja u sportsku infrastrukturu i povećanje mogućnosti za bavljenje sportskim aktivnostima u ruralnim područjima.</w:t>
      </w:r>
    </w:p>
    <w:p w14:paraId="04B756EE" w14:textId="77777777" w:rsidR="002F7564" w:rsidRDefault="002F7564">
      <w:pPr>
        <w:rPr>
          <w:rFonts w:ascii="Source Sans Pro" w:eastAsia="Source Sans Pro" w:hAnsi="Source Sans Pro" w:cs="Source Sans Pro"/>
          <w:b/>
          <w:color w:val="096EB3"/>
        </w:rPr>
      </w:pPr>
    </w:p>
    <w:p w14:paraId="088E8C0E" w14:textId="77777777" w:rsidR="002F7564" w:rsidRDefault="00000000">
      <w:pPr>
        <w:rPr>
          <w:rFonts w:ascii="Source Sans Pro" w:eastAsia="Source Sans Pro" w:hAnsi="Source Sans Pro" w:cs="Source Sans Pro"/>
          <w:b/>
          <w:i/>
          <w:color w:val="096EB3"/>
        </w:rPr>
      </w:pPr>
      <w:r>
        <w:rPr>
          <w:rFonts w:ascii="Source Sans Pro" w:eastAsia="Source Sans Pro" w:hAnsi="Source Sans Pro" w:cs="Source Sans Pro"/>
          <w:b/>
          <w:i/>
          <w:color w:val="096EB3"/>
        </w:rPr>
        <w:t>Razvojni potencijali</w:t>
      </w:r>
    </w:p>
    <w:p w14:paraId="5F9FB346"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Razvojni potencijali društvenog okruženja ogledaju se u snagama koje su identificirane, osobito u onim aspektima čiji potencijali nisu dovoljno iskorišteni. Grad Koprivnica intenzivno je pristupio povećanju obuhvata djece predškolskim odgojem, a korištenjem bespovratnih sredstava iz EU fondova cilj je riješiti problem nedostatne infrastrukture u cijelom Urbanom području. Nadalje, povećanje broja učenika Obrtničke škole Koprivnica koje ukazuje na povećanje relevantnosti strukovnih i obrtničkih zanimanja, uz uspostavu Centra kompetentnosti u podsektoru elektrotehnike i računalstva razvojni je potencijal koji će otvoriti mogućnost za učenje temeljeno na radu. Slično tome, kontinuirani porast broja studenata i povećanje kvalitete programa Sveučilišta Sjever ukazuje na razvojne potencijale središnje visokoškolske institucije cijele Sjeverne Hrvatske. Potencijali Sveučilišta očituju se u daljnjoj prilagodbi studijskih programa potrebama tržišta rada te intenziviranju suradnje s gospodarstvom. </w:t>
      </w:r>
    </w:p>
    <w:p w14:paraId="0CAD7B7F"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Kao rješenje problematike nepotpune mreže zdravstvenih usluga, osobito u ruralnim područjima, nalaže se uvođenje novih tehnologija koje predstavljaju razvojni potencijal u optimizaciji zdravstvenog sustava na lokalnoj razini, dok se potencijal za jačanje socijalne zaštite očituje okretanju prema izvaninstitucionalnim uslugama, odnosno skrbi u zajednici kroz civilno društvo. </w:t>
      </w:r>
    </w:p>
    <w:p w14:paraId="76675C4C" w14:textId="77777777" w:rsidR="002F7564" w:rsidRDefault="00000000">
      <w:pPr>
        <w:jc w:val="both"/>
        <w:rPr>
          <w:rFonts w:ascii="Source Sans Pro" w:eastAsia="Source Sans Pro" w:hAnsi="Source Sans Pro" w:cs="Source Sans Pro"/>
          <w:b/>
        </w:rPr>
      </w:pPr>
      <w:r>
        <w:rPr>
          <w:rFonts w:ascii="Source Sans Pro" w:eastAsia="Source Sans Pro" w:hAnsi="Source Sans Pro" w:cs="Source Sans Pro"/>
        </w:rPr>
        <w:t>Potencijali društvenog okruženja u segmentima kulturnih i sportskih programa, i općenito aktivnosti civilnog društva identificirani su u korištenju postojećih resursa i prelijevanju primjera dobre prakse iz središta, prema svim općinama u Urbanom području. Postojeći resursi odnose se prije svega na kulturnu i prirodnu baštinu kojima je potrebna revitalizacija i valorizacija, a primjer širenja aktivnosti iz središta prema općinama bio bi Mala sportska škola kojom su obuhvaćena djeca u Gradu Koprivnici, a koja bi svojim bi širenjem na cijelo Urbano područje značajno doprinijela organizaciji slobodnog vremena djece</w:t>
      </w:r>
    </w:p>
    <w:p w14:paraId="764CD368" w14:textId="77777777" w:rsidR="002F7564" w:rsidRDefault="002F7564">
      <w:pPr>
        <w:rPr>
          <w:rFonts w:ascii="Source Sans Pro" w:eastAsia="Source Sans Pro" w:hAnsi="Source Sans Pro" w:cs="Source Sans Pro"/>
          <w:b/>
        </w:rPr>
      </w:pPr>
    </w:p>
    <w:p w14:paraId="7C572A19" w14:textId="77777777" w:rsidR="002F7564" w:rsidRDefault="002F7564">
      <w:pPr>
        <w:rPr>
          <w:rFonts w:ascii="Source Sans Pro" w:eastAsia="Source Sans Pro" w:hAnsi="Source Sans Pro" w:cs="Source Sans Pro"/>
          <w:b/>
        </w:rPr>
      </w:pPr>
    </w:p>
    <w:tbl>
      <w:tblPr>
        <w:tblStyle w:val="a3"/>
        <w:tblW w:w="9060" w:type="dxa"/>
        <w:tblInd w:w="-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60"/>
      </w:tblGrid>
      <w:tr w:rsidR="002F7564" w14:paraId="3D101E3B" w14:textId="77777777">
        <w:tc>
          <w:tcPr>
            <w:tcW w:w="9060" w:type="dxa"/>
            <w:shd w:val="clear" w:color="auto" w:fill="096EB3"/>
            <w:tcMar>
              <w:top w:w="100" w:type="dxa"/>
              <w:left w:w="100" w:type="dxa"/>
              <w:bottom w:w="100" w:type="dxa"/>
              <w:right w:w="100" w:type="dxa"/>
            </w:tcMar>
          </w:tcPr>
          <w:p w14:paraId="36F701E2" w14:textId="77777777" w:rsidR="002F7564" w:rsidRDefault="00000000">
            <w:pPr>
              <w:pStyle w:val="Heading2"/>
              <w:spacing w:before="0" w:after="0"/>
              <w:outlineLvl w:val="1"/>
              <w:rPr>
                <w:color w:val="FFFFFF"/>
              </w:rPr>
            </w:pPr>
            <w:bookmarkStart w:id="10" w:name="_2s8eyo1" w:colFirst="0" w:colLast="0"/>
            <w:bookmarkEnd w:id="10"/>
            <w:r>
              <w:rPr>
                <w:color w:val="FFFFFF"/>
                <w:sz w:val="28"/>
                <w:szCs w:val="28"/>
              </w:rPr>
              <w:t>5.2. Gospodarstvo</w:t>
            </w:r>
          </w:p>
        </w:tc>
      </w:tr>
    </w:tbl>
    <w:p w14:paraId="2E64A330" w14:textId="77777777" w:rsidR="002F7564" w:rsidRDefault="002F7564">
      <w:pPr>
        <w:rPr>
          <w:rFonts w:ascii="Source Sans Pro" w:eastAsia="Source Sans Pro" w:hAnsi="Source Sans Pro" w:cs="Source Sans Pro"/>
          <w:b/>
        </w:rPr>
      </w:pPr>
    </w:p>
    <w:p w14:paraId="65D53589" w14:textId="77777777" w:rsidR="002F7564" w:rsidRDefault="00000000">
      <w:pPr>
        <w:rPr>
          <w:rFonts w:ascii="Source Sans Pro" w:eastAsia="Source Sans Pro" w:hAnsi="Source Sans Pro" w:cs="Source Sans Pro"/>
          <w:b/>
          <w:i/>
          <w:color w:val="096EB3"/>
        </w:rPr>
      </w:pPr>
      <w:r>
        <w:rPr>
          <w:rFonts w:ascii="Source Sans Pro" w:eastAsia="Source Sans Pro" w:hAnsi="Source Sans Pro" w:cs="Source Sans Pro"/>
          <w:b/>
          <w:i/>
          <w:color w:val="096EB3"/>
        </w:rPr>
        <w:t>Razvojne potrebe</w:t>
      </w:r>
    </w:p>
    <w:p w14:paraId="3F73C573"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Iako velika poduzeća predstavljaju zamašnjak cjelokupnog gospodarskog razvoja područja, ovisnost gospodarstva Urbanog područja Koprivnica o nekoliko velikih tvrtki stvara potrebu za intenziviranjem dinamike u sektoru malog i srednjeg poduzetništva kroz podršku subjektima  malog gospodarstva. Poslovna infrastruktura pri tome je ključan potporni segment, pa se nameće potreba za opremanjem i aktivacijom poduzetničkih zona izvan središta Urbanog područja, čime bi se osigurao ravnomjerniji gospodarski razvoj područja, ali i uspostava dodatne poduzetničke potporne infrastrukture. Osim poslovne infrastrukture, ljudski resursi najvažniji su faktor gospodarskog razvoja, pa je osiguravanje dostatne i adekvatne radne snage za potrebe lokalnog tržišta rada razvojna potreba u kontekstu povezivanja sustava obrazovanja i gospodarstva. </w:t>
      </w:r>
    </w:p>
    <w:p w14:paraId="576AB035" w14:textId="77777777" w:rsidR="002F7564" w:rsidRDefault="00000000">
      <w:pPr>
        <w:widowControl w:val="0"/>
        <w:jc w:val="both"/>
        <w:rPr>
          <w:rFonts w:ascii="Source Sans Pro" w:eastAsia="Source Sans Pro" w:hAnsi="Source Sans Pro" w:cs="Source Sans Pro"/>
          <w:b/>
          <w:i/>
          <w:color w:val="096EB3"/>
        </w:rPr>
      </w:pPr>
      <w:r>
        <w:rPr>
          <w:rFonts w:ascii="Source Sans Pro" w:eastAsia="Source Sans Pro" w:hAnsi="Source Sans Pro" w:cs="Source Sans Pro"/>
        </w:rPr>
        <w:t xml:space="preserve">Nadalje, smanjenje broja proizvođača u tradicionalno važnom poljoprivrednom sektoru ukazuje na </w:t>
      </w:r>
      <w:r>
        <w:rPr>
          <w:rFonts w:ascii="Source Sans Pro" w:eastAsia="Source Sans Pro" w:hAnsi="Source Sans Pro" w:cs="Source Sans Pro"/>
        </w:rPr>
        <w:lastRenderedPageBreak/>
        <w:t>potrebe poticanja malih poljoprivrednika i ulaganja u ekološku proizvodnju za koju na tržištu postoji potražnja koju proizvođači s postojećim kapacitetima ne mogu zadovoljiti. Povećanje efikasnosti i konkurentnosti poljoprivredne proizvodnje izravno je povezano s tehnološkom modernizacijom, a okretanje ka ekološkoj proizvodnji imperativ je i u kontekstu istaknute potrebe za očuvanjem i održivim korištenjem prirodnih resursa. Završno, u sektoru turizma koji je trenutno ograničen na kratke, poslovne dolaske uglavnom u Grad Koprivnicu, identificirani su koraci koji bi doprinijeli diverzifikaciji i rastu sektora. U idućem razdoblju sektor turizma bit će potrebno podržati stvaranjem cjelovite, autentične turističke ponude, ulaganjem u smještajne kapacitete i podizanje kvalitete ponude, što će sektor turizma pozicionirati kao dodanu vrijednost lokalnom gospodarstvu.</w:t>
      </w:r>
    </w:p>
    <w:p w14:paraId="32F6BC85" w14:textId="77777777" w:rsidR="002F7564" w:rsidRDefault="002F7564">
      <w:pPr>
        <w:rPr>
          <w:rFonts w:ascii="Source Sans Pro" w:eastAsia="Source Sans Pro" w:hAnsi="Source Sans Pro" w:cs="Source Sans Pro"/>
          <w:b/>
          <w:i/>
          <w:color w:val="096EB3"/>
        </w:rPr>
      </w:pPr>
    </w:p>
    <w:p w14:paraId="3EAAF6EF" w14:textId="77777777" w:rsidR="002F7564" w:rsidRDefault="00000000">
      <w:pPr>
        <w:rPr>
          <w:rFonts w:ascii="Source Sans Pro" w:eastAsia="Source Sans Pro" w:hAnsi="Source Sans Pro" w:cs="Source Sans Pro"/>
          <w:b/>
          <w:i/>
          <w:color w:val="096EB3"/>
        </w:rPr>
      </w:pPr>
      <w:r>
        <w:rPr>
          <w:rFonts w:ascii="Source Sans Pro" w:eastAsia="Source Sans Pro" w:hAnsi="Source Sans Pro" w:cs="Source Sans Pro"/>
          <w:b/>
          <w:i/>
          <w:color w:val="096EB3"/>
        </w:rPr>
        <w:t>Razvojni potencijali</w:t>
      </w:r>
    </w:p>
    <w:p w14:paraId="3FD006A4"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Razvojni potencijal tradicionalno jake industrijske proizvodnje koncentrirane u Gradu Koprivnici očituje se u zelenoj i digitalnoj tranziciji. Ulaganja u nove tehnologije prepoznata su kao potencijal za povećanje konkurentnosti industrije, istovremeno stvarajući energetske i financijske uštede, te predstavljaju ključnu pretpostavku održivog gospodarskog razvoja. Poduzetničko okruženje s razvijenom mrežom poduzetničkih potpornih institucija potencijal je daljnjeg razvoja sektora koji se temelje na istraživanju i inovacijama, kreativnim industrijama, ali i općenito prilika za dinamizaciju malog i srednjeg poduzetništva kao bitne odrednice lokalnog gospodarstva.</w:t>
      </w:r>
    </w:p>
    <w:p w14:paraId="2A9B96EC" w14:textId="77777777" w:rsidR="002F7564" w:rsidRDefault="00000000">
      <w:pPr>
        <w:jc w:val="both"/>
        <w:rPr>
          <w:rFonts w:ascii="Source Sans Pro" w:eastAsia="Source Sans Pro" w:hAnsi="Source Sans Pro" w:cs="Source Sans Pro"/>
          <w:b/>
        </w:rPr>
      </w:pPr>
      <w:r>
        <w:rPr>
          <w:rFonts w:ascii="Source Sans Pro" w:eastAsia="Source Sans Pro" w:hAnsi="Source Sans Pro" w:cs="Source Sans Pro"/>
        </w:rPr>
        <w:t xml:space="preserve">Korelacija kulturne, materijalne i nematerijalne baštine, te prirodnih resursa u svojstvu kreiranje novog turističkog proizvoda prepoznata je kao razvojni potencijal za podizanje kvalitete i sadržaja turističke ponude, a time i povećanje turističkog prometa na cjelogodišnjoj razini. Sinergija poljoprivrede i turizma, revitalizacija vinskih cesta, potencijal cikloturizma, ali i inovativni turistički proizvodi poput galerijskih cesta razvojni su potencijali koje je potrebno prezentirati kao cjelovito iskustvo i pozicionirati Urbano područje kao turističku destinaciju. Konačno, plasman lokalnih poljoprivrednih proizvoda kroz turističku ponudu samo je jedan od potencijala sektora koji je izvan središta Urbanog područja nezaobilazna djelatnost stanovništva, a jačanje poljoprivrednog sektora, osim u gospodarskom segmentu od ključne je važnosti i iz perspektive revitalizacije ruralnog područja uključivanjem u lance vrijednosti. </w:t>
      </w:r>
    </w:p>
    <w:p w14:paraId="2DF9B14E" w14:textId="77777777" w:rsidR="002F7564" w:rsidRDefault="002F7564">
      <w:pPr>
        <w:rPr>
          <w:rFonts w:ascii="Source Sans Pro" w:eastAsia="Source Sans Pro" w:hAnsi="Source Sans Pro" w:cs="Source Sans Pro"/>
          <w:b/>
        </w:rPr>
      </w:pPr>
    </w:p>
    <w:p w14:paraId="5F13C172" w14:textId="77777777" w:rsidR="002F7564" w:rsidRDefault="002F7564">
      <w:pPr>
        <w:rPr>
          <w:rFonts w:ascii="Source Sans Pro" w:eastAsia="Source Sans Pro" w:hAnsi="Source Sans Pro" w:cs="Source Sans Pro"/>
          <w:b/>
        </w:rPr>
      </w:pPr>
    </w:p>
    <w:tbl>
      <w:tblPr>
        <w:tblStyle w:val="a4"/>
        <w:tblW w:w="9135" w:type="dxa"/>
        <w:tblInd w:w="-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135"/>
      </w:tblGrid>
      <w:tr w:rsidR="002F7564" w14:paraId="2213C3EA" w14:textId="77777777">
        <w:tc>
          <w:tcPr>
            <w:tcW w:w="9135" w:type="dxa"/>
            <w:shd w:val="clear" w:color="auto" w:fill="096EB3"/>
            <w:tcMar>
              <w:top w:w="100" w:type="dxa"/>
              <w:left w:w="100" w:type="dxa"/>
              <w:bottom w:w="100" w:type="dxa"/>
              <w:right w:w="100" w:type="dxa"/>
            </w:tcMar>
          </w:tcPr>
          <w:p w14:paraId="13F11087" w14:textId="77777777" w:rsidR="002F7564" w:rsidRDefault="00000000">
            <w:pPr>
              <w:pStyle w:val="Heading2"/>
              <w:spacing w:before="0" w:after="0"/>
              <w:outlineLvl w:val="1"/>
              <w:rPr>
                <w:color w:val="FFFFFF"/>
              </w:rPr>
            </w:pPr>
            <w:bookmarkStart w:id="11" w:name="_17dp8vu" w:colFirst="0" w:colLast="0"/>
            <w:bookmarkEnd w:id="11"/>
            <w:r>
              <w:rPr>
                <w:color w:val="FFFFFF"/>
                <w:sz w:val="28"/>
                <w:szCs w:val="28"/>
              </w:rPr>
              <w:t>5.3. Urbano okruženje</w:t>
            </w:r>
          </w:p>
        </w:tc>
      </w:tr>
    </w:tbl>
    <w:p w14:paraId="6B4FBCAD" w14:textId="77777777" w:rsidR="002F7564" w:rsidRDefault="002F7564">
      <w:pPr>
        <w:rPr>
          <w:rFonts w:ascii="Source Sans Pro" w:eastAsia="Source Sans Pro" w:hAnsi="Source Sans Pro" w:cs="Source Sans Pro"/>
          <w:b/>
          <w:color w:val="096EB3"/>
          <w:sz w:val="28"/>
          <w:szCs w:val="28"/>
        </w:rPr>
      </w:pPr>
    </w:p>
    <w:p w14:paraId="6D061C6D" w14:textId="77777777" w:rsidR="002F7564" w:rsidRDefault="00000000">
      <w:pPr>
        <w:rPr>
          <w:rFonts w:ascii="Source Sans Pro" w:eastAsia="Source Sans Pro" w:hAnsi="Source Sans Pro" w:cs="Source Sans Pro"/>
          <w:b/>
          <w:i/>
          <w:color w:val="096EB3"/>
        </w:rPr>
      </w:pPr>
      <w:r>
        <w:rPr>
          <w:rFonts w:ascii="Source Sans Pro" w:eastAsia="Source Sans Pro" w:hAnsi="Source Sans Pro" w:cs="Source Sans Pro"/>
          <w:b/>
          <w:i/>
          <w:color w:val="096EB3"/>
        </w:rPr>
        <w:t>Razvojne potrebe</w:t>
      </w:r>
    </w:p>
    <w:p w14:paraId="1E7D6AE0"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Kao jedna od temeljnih razvojnih potreba prepoznato je povećanje stupnja priključenosti stanovništva na sustave vodoopskrbe i odvodnje, primarno izvan grada središta Urbanog područja. Premda je u posljednjih pet godina primjetan razvoj vodoopskrbne i mreže odvodnje te je u provedbi i projekt “Poboljšanje vodno-komunalne infrastrukture aglomeracije Koprivnica”, bitno je nastaviti taj trend i u predstojećem razdoblju. Nadalje, s ciljem povećanja razine zaštite okoliša i očuvanja prirodnih bogatstava važno je nastaviti započete pozitivne trendove podizanja kvalitete u sustavu gospodarenja otpadom te putem sanacije odlagališta otpada Piškornica umanjiti okolišne rizike na Urbanom području. Kroz daljnje poboljšanje dostupnosti i kvalitete infrastrukture za </w:t>
      </w:r>
      <w:r>
        <w:rPr>
          <w:rFonts w:ascii="Source Sans Pro" w:eastAsia="Source Sans Pro" w:hAnsi="Source Sans Pro" w:cs="Source Sans Pro"/>
        </w:rPr>
        <w:lastRenderedPageBreak/>
        <w:t xml:space="preserve">odvojeno prikupljanje otpada u JLS-ovima izvan Koprivnice stvorit će se uvjeti za održivo gospodarenje otpadom i poboljšanje kvalitete života stanovnika na čitavom urbanom području. </w:t>
      </w:r>
    </w:p>
    <w:p w14:paraId="4C79CECB" w14:textId="77777777" w:rsidR="002F7564" w:rsidRDefault="002F7564">
      <w:pPr>
        <w:widowControl w:val="0"/>
        <w:jc w:val="both"/>
        <w:rPr>
          <w:rFonts w:ascii="Source Sans Pro" w:eastAsia="Source Sans Pro" w:hAnsi="Source Sans Pro" w:cs="Source Sans Pro"/>
        </w:rPr>
      </w:pPr>
    </w:p>
    <w:p w14:paraId="77FF1D28"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S ciljem poboljšanja zaštite okoliša i unaprjeđenja gospodarenja postojećim resursima nužno je i povećanje udjela alternativnih izvora energije u ukupnoj proizvodnji energije te provedba mjera sustavne energetske obnove infrastrukture koja osigurava energetsku učinkovitost i smanjenje potrošnje energije. Komplementarna s energetskom infrastrukturom je i infrastruktura za javni prijevoz koja je trenutno na Urbanom području dostupna jedino u Koprivnici. Proširenjem mreže javnog gradskog prijevoza na međugradski te nabavom i uvođenjem kvalitetnijih električnih ili hibridnih vozila za javni prijevoz potaknulo bi se građane na smanjenje prometovanja vlastitim osobnim vozilima te se posljedično smanjila razina zagađenja uz istovremeno povećanje kvalitete i dostupnosti prometne infrastrukture građanima. U području prometa, kao razvojnu potrebu potrebno je istaknuti i povezanost Urbanog područja Koprivnica s važnijim prometnim čvorištima u okolici te se u tom smislu ističe potreba za završetkom izgradnje državne ceste D10 do Koprivnice te završetkom projekta željezničke infrastrukture “Rekonstrukcija postojećeg i izgradnja drugog kolosijeka na dionici Križevci – Koprivnica – državna granica''. Provedbom navedenih projekata zadovoljilo bi se važne potrebe Urbanog područja Koprivnica za unaprjeđenom povezanošću s ostatkom RH i glavnim gradom te bi se građanima i poduzetnicima osigurala odgovarajuća prometna infrastruktura uz povećanje broja korisnika javnog  prijevoza. U području prometa i mobilnosti, identificirana je daljnja potreba za unaprjeđenjem biciklističke infrastrukture izvan Koprivnice, a primarno na prometnicama u sklopu Eurovelo rute kako bi se poboljšala sigurnost i dostupnost biciklističkih prometnica, ali i stvorili preduvjeti za daljnji razvoj cikloturizma. </w:t>
      </w:r>
    </w:p>
    <w:p w14:paraId="110E7874" w14:textId="77777777" w:rsidR="002F7564" w:rsidRDefault="002F7564">
      <w:pPr>
        <w:widowControl w:val="0"/>
        <w:jc w:val="both"/>
        <w:rPr>
          <w:rFonts w:ascii="Source Sans Pro" w:eastAsia="Source Sans Pro" w:hAnsi="Source Sans Pro" w:cs="Source Sans Pro"/>
        </w:rPr>
      </w:pPr>
    </w:p>
    <w:p w14:paraId="732FA36C" w14:textId="77777777" w:rsidR="002F7564" w:rsidRDefault="00000000">
      <w:pPr>
        <w:widowControl w:val="0"/>
        <w:jc w:val="both"/>
        <w:rPr>
          <w:rFonts w:ascii="Source Sans Pro" w:eastAsia="Source Sans Pro" w:hAnsi="Source Sans Pro" w:cs="Source Sans Pro"/>
          <w:b/>
          <w:i/>
          <w:color w:val="096EB3"/>
        </w:rPr>
      </w:pPr>
      <w:r>
        <w:rPr>
          <w:rFonts w:ascii="Source Sans Pro" w:eastAsia="Source Sans Pro" w:hAnsi="Source Sans Pro" w:cs="Source Sans Pro"/>
        </w:rPr>
        <w:t xml:space="preserve">U području urbanog okruženja kao razvojna potreba prometnula se i potreba za povećanjem trenutno niske dostupnosti fiksnog širokopojasnog interneta visoke brzine izvan grada središta te povećanjem udjela korisnika spojenih na internet visokih brzina. Radi se o potrebi koja je sve izraženija što se više odmiče od središta Urbanog područja. U današnje vrijeme kad se sve više segmenata života seli u virtualni prostor, nužno je poticati razvoj fiksne širokopojasne infrastrukture te njene dostupnosti stanovništvu i poduzetnicima kako bi se osigurao ravnomjeran razvoj svih dijelova Urbanog područja, kako onih ruralnih i slabije naseljenih tako i gušće naseljenih urbanih dijelova. </w:t>
      </w:r>
    </w:p>
    <w:p w14:paraId="059D69AA" w14:textId="77777777" w:rsidR="002F7564" w:rsidRDefault="002F7564">
      <w:pPr>
        <w:rPr>
          <w:rFonts w:ascii="Source Sans Pro" w:eastAsia="Source Sans Pro" w:hAnsi="Source Sans Pro" w:cs="Source Sans Pro"/>
          <w:b/>
          <w:i/>
          <w:color w:val="096EB3"/>
        </w:rPr>
      </w:pPr>
    </w:p>
    <w:p w14:paraId="02EB42F4" w14:textId="77777777" w:rsidR="002F7564" w:rsidRDefault="00000000">
      <w:pPr>
        <w:rPr>
          <w:rFonts w:ascii="Source Sans Pro" w:eastAsia="Source Sans Pro" w:hAnsi="Source Sans Pro" w:cs="Source Sans Pro"/>
          <w:b/>
          <w:i/>
          <w:color w:val="096EB3"/>
        </w:rPr>
      </w:pPr>
      <w:r>
        <w:rPr>
          <w:rFonts w:ascii="Source Sans Pro" w:eastAsia="Source Sans Pro" w:hAnsi="Source Sans Pro" w:cs="Source Sans Pro"/>
          <w:b/>
          <w:i/>
          <w:color w:val="096EB3"/>
        </w:rPr>
        <w:t>Razvojni potencijali</w:t>
      </w:r>
    </w:p>
    <w:p w14:paraId="167433DB"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Razvojni potencijali Urbanog područja Koprivnica u kontekstu urbanog okruženja uvelike se naslanjaju na nastavak započetih projekata kao što su projekt “Rekonstrukcija postojećeg i izgradnja drugog kolosijeka na dionici Križevci – Koprivnica – državna granica” i izgradnje državne ceste D10 koji nude potencijal za poboljšanje povezanosti i mobilnosti stanovništva. Veliki potencijal u smislu poticanja energetske održivosti urbanog područja također se može identificirati u segmentu korištenja obnovljivih izvora energije te iskorištavanja energetskih potencijala u vidu eksploatacijskih polja ugljikovodika te eksploatacijskog polja geotermalne vode „Lunjkovec-Kutnjak“. Energetsku tranziciju nužno je promatrati kao potencijal i kroz aspekt poboljšanja energetske učinkovitosti u javnim i privatnim zgradama te diverzifikaciju energetskih izvora kroz poticanje izgradnje mikro solarnih elektrana u kućanstvima odnosno pilotiranjem energetski inovativnih projekata. Iskorištavanjem navedenih potencijala značajno bi se unaprijedila otpornost </w:t>
      </w:r>
      <w:r>
        <w:rPr>
          <w:rFonts w:ascii="Source Sans Pro" w:eastAsia="Source Sans Pro" w:hAnsi="Source Sans Pro" w:cs="Source Sans Pro"/>
        </w:rPr>
        <w:lastRenderedPageBreak/>
        <w:t xml:space="preserve">Urbanog područja na energetske promjene te potaknula zelena tranzicija gospodarstva, a Grad Koprivnica strateški je pristupio energetskoj tranziciji te Akcijskim planom energetski i klimatski održivog razvitka (SECAP) definirao ključne intervencije u nadolazećem razdoblju.  </w:t>
      </w:r>
    </w:p>
    <w:p w14:paraId="02F6084B" w14:textId="77777777" w:rsidR="002F7564" w:rsidRDefault="002F7564">
      <w:pPr>
        <w:jc w:val="both"/>
        <w:rPr>
          <w:rFonts w:ascii="Source Sans Pro" w:eastAsia="Source Sans Pro" w:hAnsi="Source Sans Pro" w:cs="Source Sans Pro"/>
        </w:rPr>
      </w:pPr>
    </w:p>
    <w:p w14:paraId="33A8E469"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Tri zaštićena područja: Posebni botanički rezervat (šumske vegetacije) Dugačko brdo na području Koprivnice, Livade u Zovju kod Đelekovca, te Rezervat biosfere Mura-Drava-Dunav (rubno uključeno) čine veliko prirodno bogatstvo Urbanog područja koje je potrebno štititi, ali i ulagati u njegovu prepoznatljivost na regionalnoj razini. U skladu s time, razvojni potencijali unaprjeđenja sustava gospodarenja otpadom, prevencijom nelegalnih odlagališta otpada te mjerama aktivnog poboljšanja kvalitete tla, primarno u poljoprivredi dodatno bi omogućile da se samo Urbano područje isprofilira kao zaista zeleno područje, koje pored dosad identificiranih potencijala nudi i ugodan boravak svim građanima u netaknutom okolišu. </w:t>
      </w:r>
    </w:p>
    <w:p w14:paraId="714F6EB4" w14:textId="77777777" w:rsidR="002F7564" w:rsidRDefault="002F7564">
      <w:pPr>
        <w:jc w:val="both"/>
        <w:rPr>
          <w:rFonts w:ascii="Source Sans Pro" w:eastAsia="Source Sans Pro" w:hAnsi="Source Sans Pro" w:cs="Source Sans Pro"/>
        </w:rPr>
      </w:pPr>
    </w:p>
    <w:p w14:paraId="0F56E914"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Grad Koprivnica kao jedan od predvodnika “smart city” gradova u RH koja je već pilotirala nova održiva i ekološka rješenja, navedeno je primjenila i u području urbanog prijevoza. Tako se BicKO i BusKO ističu kao dobri primjeri razvoja održivih i ekoloških prometnih rješenja čija bi se primjena na širem Urbanom području mogla smatrati značajnim razvojnim potencijalom i usmjeriti ravnomjeran razvoj područja. S druge strane, razvojem biciklističke infrastrukture te sama pripadnost Eurovelo ruti, ukoliko se iskoriste za razvoj cikloturizma imaju značajan razvojni potencijal u poboljšanju ne samo osnovne infrastrukture, već i one nužne za privlačenje novih stanovnika i posjetitelja. Osim prometne infrastrukture, značajan potencijal za uvođenje pametnih rješenja nalazi se i u uvođenju senzorike i IoT sustava u upravljanju javnom infrastrukturom</w:t>
      </w:r>
      <w:r>
        <w:rPr>
          <w:rFonts w:ascii="Source Sans Pro" w:eastAsia="Source Sans Pro" w:hAnsi="Source Sans Pro" w:cs="Source Sans Pro"/>
          <w:b/>
        </w:rPr>
        <w:t xml:space="preserve"> </w:t>
      </w:r>
      <w:r>
        <w:rPr>
          <w:rFonts w:ascii="Source Sans Pro" w:eastAsia="Source Sans Pro" w:hAnsi="Source Sans Pro" w:cs="Source Sans Pro"/>
        </w:rPr>
        <w:t>s ciljem poboljšanja učinkovitosti samih sustava te unaprjeđenja kvalitete upravljanja javnom infrastrukturom.</w:t>
      </w:r>
    </w:p>
    <w:p w14:paraId="14385725" w14:textId="77777777" w:rsidR="002F7564" w:rsidRDefault="002F7564">
      <w:pPr>
        <w:jc w:val="both"/>
        <w:rPr>
          <w:rFonts w:ascii="Source Sans Pro" w:eastAsia="Source Sans Pro" w:hAnsi="Source Sans Pro" w:cs="Source Sans Pro"/>
        </w:rPr>
      </w:pPr>
    </w:p>
    <w:p w14:paraId="5073E6BB" w14:textId="77777777" w:rsidR="002F7564" w:rsidRDefault="002F7564">
      <w:pPr>
        <w:jc w:val="both"/>
        <w:rPr>
          <w:rFonts w:ascii="Source Sans Pro" w:eastAsia="Source Sans Pro" w:hAnsi="Source Sans Pro" w:cs="Source Sans Pro"/>
        </w:rPr>
      </w:pPr>
    </w:p>
    <w:p w14:paraId="096767EF" w14:textId="77777777" w:rsidR="002F7564" w:rsidRDefault="002F7564">
      <w:pPr>
        <w:jc w:val="both"/>
        <w:rPr>
          <w:rFonts w:ascii="Source Sans Pro" w:eastAsia="Source Sans Pro" w:hAnsi="Source Sans Pro" w:cs="Source Sans Pro"/>
        </w:rPr>
      </w:pPr>
    </w:p>
    <w:p w14:paraId="5F0AE0B0" w14:textId="77777777" w:rsidR="002F7564" w:rsidRDefault="002F7564">
      <w:pPr>
        <w:jc w:val="both"/>
        <w:rPr>
          <w:rFonts w:ascii="Source Sans Pro" w:eastAsia="Source Sans Pro" w:hAnsi="Source Sans Pro" w:cs="Source Sans Pro"/>
        </w:rPr>
      </w:pPr>
    </w:p>
    <w:p w14:paraId="3F5AA7DD" w14:textId="77777777" w:rsidR="002F7564" w:rsidRDefault="002F7564">
      <w:pPr>
        <w:jc w:val="both"/>
        <w:rPr>
          <w:rFonts w:ascii="Source Sans Pro" w:eastAsia="Source Sans Pro" w:hAnsi="Source Sans Pro" w:cs="Source Sans Pro"/>
        </w:rPr>
      </w:pPr>
    </w:p>
    <w:p w14:paraId="13E6A0A8" w14:textId="77777777" w:rsidR="002F7564" w:rsidRDefault="002F7564">
      <w:pPr>
        <w:jc w:val="both"/>
        <w:rPr>
          <w:rFonts w:ascii="Source Sans Pro" w:eastAsia="Source Sans Pro" w:hAnsi="Source Sans Pro" w:cs="Source Sans Pro"/>
        </w:rPr>
      </w:pPr>
    </w:p>
    <w:p w14:paraId="11ADF891" w14:textId="77777777" w:rsidR="002F7564" w:rsidRDefault="002F7564">
      <w:pPr>
        <w:jc w:val="both"/>
        <w:rPr>
          <w:rFonts w:ascii="Source Sans Pro" w:eastAsia="Source Sans Pro" w:hAnsi="Source Sans Pro" w:cs="Source Sans Pro"/>
        </w:rPr>
      </w:pPr>
    </w:p>
    <w:p w14:paraId="5A259A9B" w14:textId="77777777" w:rsidR="002F7564" w:rsidRDefault="002F7564">
      <w:pPr>
        <w:jc w:val="both"/>
        <w:rPr>
          <w:rFonts w:ascii="Source Sans Pro" w:eastAsia="Source Sans Pro" w:hAnsi="Source Sans Pro" w:cs="Source Sans Pro"/>
        </w:rPr>
      </w:pPr>
    </w:p>
    <w:p w14:paraId="6FA91488" w14:textId="77777777" w:rsidR="002F7564" w:rsidRDefault="002F7564">
      <w:pPr>
        <w:jc w:val="both"/>
        <w:rPr>
          <w:rFonts w:ascii="Source Sans Pro" w:eastAsia="Source Sans Pro" w:hAnsi="Source Sans Pro" w:cs="Source Sans Pro"/>
        </w:rPr>
      </w:pPr>
    </w:p>
    <w:p w14:paraId="448598A5" w14:textId="77777777" w:rsidR="002F7564" w:rsidRDefault="002F7564">
      <w:pPr>
        <w:jc w:val="both"/>
        <w:rPr>
          <w:rFonts w:ascii="Source Sans Pro" w:eastAsia="Source Sans Pro" w:hAnsi="Source Sans Pro" w:cs="Source Sans Pro"/>
        </w:rPr>
      </w:pPr>
    </w:p>
    <w:p w14:paraId="543DD9DE" w14:textId="77777777" w:rsidR="002F7564" w:rsidRDefault="002F7564">
      <w:pPr>
        <w:jc w:val="both"/>
        <w:rPr>
          <w:rFonts w:ascii="Source Sans Pro" w:eastAsia="Source Sans Pro" w:hAnsi="Source Sans Pro" w:cs="Source Sans Pro"/>
        </w:rPr>
      </w:pPr>
    </w:p>
    <w:p w14:paraId="63DBF103" w14:textId="77777777" w:rsidR="002F7564" w:rsidRDefault="002F7564">
      <w:pPr>
        <w:jc w:val="both"/>
        <w:rPr>
          <w:rFonts w:ascii="Source Sans Pro" w:eastAsia="Source Sans Pro" w:hAnsi="Source Sans Pro" w:cs="Source Sans Pro"/>
        </w:rPr>
      </w:pPr>
    </w:p>
    <w:p w14:paraId="07B9F85A" w14:textId="77777777" w:rsidR="002F7564" w:rsidRDefault="002F7564">
      <w:pPr>
        <w:jc w:val="both"/>
        <w:rPr>
          <w:rFonts w:ascii="Source Sans Pro" w:eastAsia="Source Sans Pro" w:hAnsi="Source Sans Pro" w:cs="Source Sans Pro"/>
        </w:rPr>
      </w:pPr>
    </w:p>
    <w:p w14:paraId="04795CA1" w14:textId="77777777" w:rsidR="002F7564" w:rsidRDefault="002F7564">
      <w:pPr>
        <w:jc w:val="both"/>
        <w:rPr>
          <w:rFonts w:ascii="Source Sans Pro" w:eastAsia="Source Sans Pro" w:hAnsi="Source Sans Pro" w:cs="Source Sans Pro"/>
        </w:rPr>
      </w:pPr>
    </w:p>
    <w:p w14:paraId="3EE34E5A" w14:textId="77777777" w:rsidR="002F7564" w:rsidRDefault="002F7564">
      <w:pPr>
        <w:jc w:val="both"/>
        <w:rPr>
          <w:rFonts w:ascii="Source Sans Pro" w:eastAsia="Source Sans Pro" w:hAnsi="Source Sans Pro" w:cs="Source Sans Pro"/>
        </w:rPr>
      </w:pPr>
    </w:p>
    <w:p w14:paraId="31419F93" w14:textId="77777777" w:rsidR="002F7564" w:rsidRDefault="002F7564">
      <w:pPr>
        <w:jc w:val="both"/>
        <w:rPr>
          <w:rFonts w:ascii="Source Sans Pro" w:eastAsia="Source Sans Pro" w:hAnsi="Source Sans Pro" w:cs="Source Sans Pro"/>
        </w:rPr>
      </w:pPr>
    </w:p>
    <w:p w14:paraId="3D938BD1" w14:textId="77777777" w:rsidR="002F7564" w:rsidRDefault="002F7564">
      <w:pPr>
        <w:jc w:val="both"/>
        <w:rPr>
          <w:rFonts w:ascii="Source Sans Pro" w:eastAsia="Source Sans Pro" w:hAnsi="Source Sans Pro" w:cs="Source Sans Pro"/>
        </w:rPr>
      </w:pPr>
    </w:p>
    <w:p w14:paraId="60679A5B" w14:textId="77777777" w:rsidR="002F7564" w:rsidRDefault="002F7564">
      <w:pPr>
        <w:jc w:val="both"/>
        <w:rPr>
          <w:rFonts w:ascii="Source Sans Pro" w:eastAsia="Source Sans Pro" w:hAnsi="Source Sans Pro" w:cs="Source Sans Pro"/>
        </w:rPr>
      </w:pPr>
    </w:p>
    <w:p w14:paraId="01996F34" w14:textId="77777777" w:rsidR="002F7564" w:rsidRDefault="002F7564">
      <w:pPr>
        <w:jc w:val="both"/>
      </w:pPr>
    </w:p>
    <w:p w14:paraId="764BBEB5" w14:textId="77777777" w:rsidR="002F7564" w:rsidRDefault="00000000">
      <w:pPr>
        <w:pStyle w:val="Heading1"/>
        <w:ind w:firstLine="720"/>
        <w:jc w:val="both"/>
      </w:pPr>
      <w:bookmarkStart w:id="12" w:name="_3rdcrjn" w:colFirst="0" w:colLast="0"/>
      <w:bookmarkEnd w:id="12"/>
      <w:r>
        <w:lastRenderedPageBreak/>
        <w:t>6. Opis integriranog pristupa rješavanju utvrđenih razvojnih potreba i potencijala uključujući ispunjavanje kriterija vezano uz stratešku relevantnost projekata</w:t>
      </w:r>
    </w:p>
    <w:p w14:paraId="52E01506" w14:textId="77777777" w:rsidR="002F7564" w:rsidRDefault="00000000">
      <w:pPr>
        <w:pStyle w:val="Heading2"/>
      </w:pPr>
      <w:bookmarkStart w:id="13" w:name="_26in1rg" w:colFirst="0" w:colLast="0"/>
      <w:bookmarkEnd w:id="13"/>
      <w:r>
        <w:t>6.1. Opis integriranih teritorijalnih ulaganja te sektorske i teritorijalne integracije kroz ITU mehanizam</w:t>
      </w:r>
    </w:p>
    <w:p w14:paraId="79936284" w14:textId="77777777" w:rsidR="002F7564" w:rsidRDefault="002F7564">
      <w:pPr>
        <w:jc w:val="both"/>
        <w:rPr>
          <w:rFonts w:ascii="Source Sans Pro" w:eastAsia="Source Sans Pro" w:hAnsi="Source Sans Pro" w:cs="Source Sans Pro"/>
        </w:rPr>
      </w:pPr>
    </w:p>
    <w:p w14:paraId="26374BE7"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Integrirana teritorijalna ulaganja kao poseban </w:t>
      </w:r>
      <w:r>
        <w:rPr>
          <w:rFonts w:ascii="Source Sans Pro" w:eastAsia="Source Sans Pro" w:hAnsi="Source Sans Pro" w:cs="Source Sans Pro"/>
          <w:i/>
        </w:rPr>
        <w:t>place based</w:t>
      </w:r>
      <w:r>
        <w:rPr>
          <w:rFonts w:ascii="Source Sans Pro" w:eastAsia="Source Sans Pro" w:hAnsi="Source Sans Pro" w:cs="Source Sans Pro"/>
        </w:rPr>
        <w:t xml:space="preserve">, odnosno na teritoriju utemeljen modalitet ulaganja vezan je uz projekte koji imaju naglašenu teritorijalnu dimenziju. Provedba integriranih mjera održivog urbanog razvoja usmjerena je prema onim područjima u kojima su utvrđene slabosti, odnosno prema onim intervencijama koje mogu kapitalizirati razvojne potencijale područja. </w:t>
      </w:r>
    </w:p>
    <w:p w14:paraId="3267B0C4" w14:textId="77777777" w:rsidR="002F7564" w:rsidRDefault="002F7564">
      <w:pPr>
        <w:jc w:val="both"/>
        <w:rPr>
          <w:rFonts w:ascii="Source Sans Pro" w:eastAsia="Source Sans Pro" w:hAnsi="Source Sans Pro" w:cs="Source Sans Pro"/>
        </w:rPr>
      </w:pPr>
    </w:p>
    <w:p w14:paraId="4EF50C7E"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Implementacijom ITU mehanizma Urbano područje Koprivnica odgovorit će se na razvojne potrebe, odnosno provedbom mjera financiranih kroz ITU mehanizam nastojati anulirati utvrđene slabosti u više ciljanih sektora - u području društvene i kulturne infrastrukture i usluga, višenamjenske društveno-gospodarske i poduzetničke infrastrukture, zatim u području razvoja kulture i turizma, te području prometa, odnosno prometne integracije područja. Na taj način, sektorskom integracijom odgovorit će se na složene izazove Urbanog područja, a teritorijalnom integracijom, odnosno provedbom sličnih ulaganja u više sastavnica Urbanog područja osigurati širi, sinergijski razvojni učinak na cijelom prostoru. Doprinos ITU mehanizma provedbi SRUP-a istaknut je u sljedećim posebnim ciljevim koji se djelomično planiraju provoditi krot ITU mehanizam:</w:t>
      </w:r>
    </w:p>
    <w:p w14:paraId="29ED2DF1" w14:textId="77777777" w:rsidR="002F7564" w:rsidRDefault="00000000">
      <w:pPr>
        <w:numPr>
          <w:ilvl w:val="0"/>
          <w:numId w:val="9"/>
        </w:numPr>
        <w:jc w:val="both"/>
        <w:rPr>
          <w:rFonts w:ascii="Source Sans Pro" w:eastAsia="Source Sans Pro" w:hAnsi="Source Sans Pro" w:cs="Source Sans Pro"/>
        </w:rPr>
      </w:pPr>
      <w:r>
        <w:rPr>
          <w:rFonts w:ascii="Source Sans Pro" w:eastAsia="Source Sans Pro" w:hAnsi="Source Sans Pro" w:cs="Source Sans Pro"/>
        </w:rPr>
        <w:t>2.1. Uspostaviti održiv sustav prijevoza;</w:t>
      </w:r>
    </w:p>
    <w:p w14:paraId="0B084D2C" w14:textId="77777777" w:rsidR="002F7564" w:rsidRDefault="00000000">
      <w:pPr>
        <w:numPr>
          <w:ilvl w:val="0"/>
          <w:numId w:val="9"/>
        </w:numPr>
        <w:jc w:val="both"/>
        <w:rPr>
          <w:rFonts w:ascii="Source Sans Pro" w:eastAsia="Source Sans Pro" w:hAnsi="Source Sans Pro" w:cs="Source Sans Pro"/>
        </w:rPr>
      </w:pPr>
      <w:r>
        <w:rPr>
          <w:rFonts w:ascii="Source Sans Pro" w:eastAsia="Source Sans Pro" w:hAnsi="Source Sans Pro" w:cs="Source Sans Pro"/>
        </w:rPr>
        <w:t>3.1. Potaknuti nove ideje u razvoju lokalne ekonomije;</w:t>
      </w:r>
    </w:p>
    <w:p w14:paraId="5885438F" w14:textId="77777777" w:rsidR="002F7564" w:rsidRDefault="00000000">
      <w:pPr>
        <w:numPr>
          <w:ilvl w:val="0"/>
          <w:numId w:val="9"/>
        </w:numPr>
        <w:jc w:val="both"/>
        <w:rPr>
          <w:rFonts w:ascii="Source Sans Pro" w:eastAsia="Source Sans Pro" w:hAnsi="Source Sans Pro" w:cs="Source Sans Pro"/>
        </w:rPr>
      </w:pPr>
      <w:r>
        <w:rPr>
          <w:rFonts w:ascii="Source Sans Pro" w:eastAsia="Source Sans Pro" w:hAnsi="Source Sans Pro" w:cs="Source Sans Pro"/>
        </w:rPr>
        <w:t xml:space="preserve">4.1. Osigurati raznoliku kulturnu ponudu i pripadajuću infrastrukturu. </w:t>
      </w:r>
    </w:p>
    <w:p w14:paraId="0B7DB618" w14:textId="77777777" w:rsidR="002F7564" w:rsidRDefault="002F7564">
      <w:pPr>
        <w:jc w:val="both"/>
        <w:rPr>
          <w:rFonts w:ascii="Source Sans Pro" w:eastAsia="Source Sans Pro" w:hAnsi="Source Sans Pro" w:cs="Source Sans Pro"/>
        </w:rPr>
      </w:pPr>
    </w:p>
    <w:p w14:paraId="70BF74D5"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Provedba integriranih teritorijalnih ulaganja koja podrazumijevaju teritorijalnu integraciju područja otvorit će potencijal za daljnje stvaranje pozitivnih učinaka umrežavanja kroz jačanje teritorijalne, gospodarske i socijalne kohezije Urbanog područja. Teritorijalnoj integraciji izravno će doprinijeti ITU intervencije u sljedećim područjima:</w:t>
      </w:r>
    </w:p>
    <w:p w14:paraId="7BF1FF78" w14:textId="77777777" w:rsidR="002F7564" w:rsidRDefault="00000000">
      <w:pPr>
        <w:numPr>
          <w:ilvl w:val="0"/>
          <w:numId w:val="17"/>
        </w:numPr>
        <w:jc w:val="both"/>
        <w:rPr>
          <w:rFonts w:ascii="Source Sans Pro" w:eastAsia="Source Sans Pro" w:hAnsi="Source Sans Pro" w:cs="Source Sans Pro"/>
        </w:rPr>
      </w:pPr>
      <w:r>
        <w:rPr>
          <w:rFonts w:ascii="Source Sans Pro" w:eastAsia="Source Sans Pro" w:hAnsi="Source Sans Pro" w:cs="Source Sans Pro"/>
          <w:b/>
        </w:rPr>
        <w:t>Višenamjenska društveno-gospodarska infrastruktura</w:t>
      </w:r>
      <w:r>
        <w:rPr>
          <w:rFonts w:ascii="Source Sans Pro" w:eastAsia="Source Sans Pro" w:hAnsi="Source Sans Pro" w:cs="Source Sans Pro"/>
        </w:rPr>
        <w:t xml:space="preserve"> - unaprjeđenjem gradske tržnice u Koprivnici kao središnjeg mjesta povezivanja poljoprivrednih proizvođača iz cijelog Urbanog područja s kupcima ostvarit će se doprinos teritorijalnoj integraciji područja. Nova, odnosno rekonstruirana zelena tržnica kao infrastruktura uključivog gospodarskog i društvenog razvoja istovremeno doprinosi teritorijalnoj, gospodarskoj i društvenoj koheziji Urbanog područja Koprivnica.</w:t>
      </w:r>
    </w:p>
    <w:p w14:paraId="0DE2949C" w14:textId="77777777" w:rsidR="002F7564" w:rsidRDefault="00000000">
      <w:pPr>
        <w:numPr>
          <w:ilvl w:val="0"/>
          <w:numId w:val="17"/>
        </w:numPr>
        <w:jc w:val="both"/>
        <w:rPr>
          <w:rFonts w:ascii="Source Sans Pro" w:eastAsia="Source Sans Pro" w:hAnsi="Source Sans Pro" w:cs="Source Sans Pro"/>
        </w:rPr>
      </w:pPr>
      <w:r>
        <w:rPr>
          <w:rFonts w:ascii="Source Sans Pro" w:eastAsia="Source Sans Pro" w:hAnsi="Source Sans Pro" w:cs="Source Sans Pro"/>
          <w:b/>
        </w:rPr>
        <w:t>Kulturna infrastruktura i usluge, revitalizacija kulturne baština i turizam</w:t>
      </w:r>
      <w:r>
        <w:rPr>
          <w:rFonts w:ascii="Source Sans Pro" w:eastAsia="Source Sans Pro" w:hAnsi="Source Sans Pro" w:cs="Source Sans Pro"/>
        </w:rPr>
        <w:t xml:space="preserve"> - ulaganjem u revitalizaciju kulturne baštine i kulturnu infrastrukturu na različitim lokacijama unutar Urbanog područja, odnosno više jedinica lokalne samouprave ostvarit će se teritorijalna integracija područja. Na području UP Koprivnica već se ističu primjeri dobre prakse, od bibliobusa koprivničke knjižnice do Muzeja grada Koprivnice koji upravlja hlebinskom Galerijom naivne umjetnosti te Galerijom Ivana Sabolića u Peterancu, kao optimalni primjeri stručnog kustoskog razvoja kulture i turizma. Integriranom revitalizacijom kulturne </w:t>
      </w:r>
      <w:r>
        <w:rPr>
          <w:rFonts w:ascii="Source Sans Pro" w:eastAsia="Source Sans Pro" w:hAnsi="Source Sans Pro" w:cs="Source Sans Pro"/>
        </w:rPr>
        <w:lastRenderedPageBreak/>
        <w:t>baštine i ulaganjem u kulturnu infrastrukturu, u suradnji sa stručnjacima Muzeja grada Koprivnice, doprinijet će se očuvanju i kvalitetnijoj prezentaciji baštine, stvaranju preduvjeta za snažniju kulturnu produkciju te izgradnji cjelovite kulturne ponude, koja svoju dodatnu snagu nalazi i u jačanju turističke ponude na cijelom Urbanom području. Mapiranjem kulturnih potencijala, ali i već izrađenom bazom projekata spremnih za revitalizaciju, na prostoru UP Koprivnica oformit će se svojevrsni baštinski punktovi, koji će imati integriranu priču kulturnog nasljeđa koprivničkog odnosno podravskog kraja.  Teritorijalna integracija u kontekstu ulaganja u sektoru kulture imati će naglasak na razvoju komplementarnih sadržaja na cijelom Urbanom području, čime će infrastruktura i sadržaji biti dostupniji i izvan središta Urbanog područja. Osim toga, u pogledu razvoja kulturne infrastrukture i usluga preuređenjem kina i dogradnjom knjižnice povećat će se kvaliteta i dostupnost istih prema svim stanovnicima UP, s obzirom da su kino i knjižnica kao društveno-kulturna infrastruktura smješteni u Gradu Koprivnici, ali svojim djelovanjem ostvaruju policentričan utjecaj na cijelo Urbano područje.</w:t>
      </w:r>
    </w:p>
    <w:p w14:paraId="486BDB72" w14:textId="77777777" w:rsidR="002F7564" w:rsidRDefault="00000000">
      <w:pPr>
        <w:numPr>
          <w:ilvl w:val="0"/>
          <w:numId w:val="10"/>
        </w:numPr>
        <w:jc w:val="both"/>
        <w:rPr>
          <w:rFonts w:ascii="Source Sans Pro" w:eastAsia="Source Sans Pro" w:hAnsi="Source Sans Pro" w:cs="Source Sans Pro"/>
        </w:rPr>
      </w:pPr>
      <w:r>
        <w:rPr>
          <w:rFonts w:ascii="Source Sans Pro" w:eastAsia="Source Sans Pro" w:hAnsi="Source Sans Pro" w:cs="Source Sans Pro"/>
          <w:b/>
        </w:rPr>
        <w:t xml:space="preserve">Čisti i pametan gradski promet </w:t>
      </w:r>
      <w:r>
        <w:rPr>
          <w:rFonts w:ascii="Source Sans Pro" w:eastAsia="Source Sans Pro" w:hAnsi="Source Sans Pro" w:cs="Source Sans Pro"/>
        </w:rPr>
        <w:t xml:space="preserve">- ulaganjem u prometnu integraciju područja uvođenjem ekološki prihvatljivog javnog prijevoza i kroz ulaganje u izgradnju biciklističkih staza osigurat će se teritorijalna integracija područja. Implementacija ekološki prihvatljivog javnog prijevoza najznačajniji doprinos ostvarit će u kontekstu osiguravanja visokog stupnja urbane mobilnosti iz okolnih općina prema Gradu Koprivnici kao središtu, dok će se izgradnjom biciklističke infrastrukture na više dionica u Urbanom području doprinijeti prostorno-funkcionalnoj integraciji biciklističkog prometa, povećanju sigurnosti biciklista, ali i svih ostalih sudionika u prometu, te promicanju oblika prijevoza koji su prihvatljivi za okoliš. </w:t>
      </w:r>
    </w:p>
    <w:p w14:paraId="6CCE75C9" w14:textId="77777777" w:rsidR="002F7564" w:rsidRDefault="00000000">
      <w:pPr>
        <w:numPr>
          <w:ilvl w:val="0"/>
          <w:numId w:val="10"/>
        </w:numPr>
        <w:jc w:val="both"/>
        <w:rPr>
          <w:rFonts w:ascii="Source Sans Pro" w:eastAsia="Source Sans Pro" w:hAnsi="Source Sans Pro" w:cs="Source Sans Pro"/>
          <w:b/>
        </w:rPr>
      </w:pPr>
      <w:r>
        <w:rPr>
          <w:rFonts w:ascii="Source Sans Pro" w:eastAsia="Source Sans Pro" w:hAnsi="Source Sans Pro" w:cs="Source Sans Pro"/>
          <w:b/>
        </w:rPr>
        <w:t xml:space="preserve">Razvoj poduzetništva u urbanom području - </w:t>
      </w:r>
      <w:r>
        <w:rPr>
          <w:rFonts w:ascii="Source Sans Pro" w:eastAsia="Source Sans Pro" w:hAnsi="Source Sans Pro" w:cs="Source Sans Pro"/>
        </w:rPr>
        <w:t>opremanjem i aktivacijom poduzetničkih zona na obodu Grada Koprivnice, odnosno izvan središta Urbanog područja doprinijet će se širenju mreže poduzetničke infrastrukture koja je sada koncentrirana u Koprivnici. Grad Koprivnica ulaganjem u jačanje kapaciteta poduzetničkih potpornih institucija kroz uvođenje specijalizirane sektorske podrške za određene sektore ostat će gospodarsko središte, ali će se djelomična decentralizacija gospodarske aktivnosti prema općinama ostvariti kroz ulaganja u poduzetničke zone - izgradnju i opremanje komunalnom i prometnom infrastrukturom, čime će se otvoriti pristup neiskorištenom zemljištu, doprinijeti jačanju gospodarske aktivnosti u općinama, a time, agregatno i gospodarskom razvoju Urbanog područja u cjelini.</w:t>
      </w:r>
    </w:p>
    <w:p w14:paraId="478983E6" w14:textId="77777777" w:rsidR="002F7564" w:rsidRDefault="002F7564">
      <w:pPr>
        <w:jc w:val="both"/>
        <w:rPr>
          <w:rFonts w:ascii="Source Sans Pro" w:eastAsia="Source Sans Pro" w:hAnsi="Source Sans Pro" w:cs="Source Sans Pro"/>
        </w:rPr>
      </w:pPr>
    </w:p>
    <w:p w14:paraId="0195ED58"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Osim navedenih ITU intervencija koje izravno doprinose teritorijalnoj integraciji područja provedbom istog ili komplementarnog tipa projekata na različitim lokacijama, ostali projekti koji se planiraju financirati kroz ITU mehanizam (ne)izravno doprinose teritorijalnoj integraciji područja ostvarujući širi doseg od njihove lokacije provedbe, odnosno imaju policentrični utjecaj na razvoj cijelog Urbanog područja. U kontekstu sektorske integracije ističe se planirano ulaganje u gradsku tržnicu u Koprivnici kao zelenog punkta u središtu grada, a koje podrazumijeva ulaganje u višenamjensku infrastrukturu istovremeno s ulaganjem u održivu multimodalnu urbanu mobilnost kroz izgradnju intermodalnog terminala. </w:t>
      </w:r>
    </w:p>
    <w:p w14:paraId="6FBEF3D3" w14:textId="77777777" w:rsidR="002F7564" w:rsidRDefault="002F7564">
      <w:pPr>
        <w:jc w:val="both"/>
        <w:rPr>
          <w:rFonts w:ascii="Source Sans Pro" w:eastAsia="Source Sans Pro" w:hAnsi="Source Sans Pro" w:cs="Source Sans Pro"/>
        </w:rPr>
      </w:pPr>
    </w:p>
    <w:p w14:paraId="0B9CE1F7" w14:textId="77777777" w:rsidR="002F7564" w:rsidRDefault="00000000">
      <w:pPr>
        <w:pStyle w:val="Heading2"/>
      </w:pPr>
      <w:bookmarkStart w:id="14" w:name="_lnxbz9" w:colFirst="0" w:colLast="0"/>
      <w:bookmarkEnd w:id="14"/>
      <w:r>
        <w:lastRenderedPageBreak/>
        <w:t>6.2. Opis strateške relevantnosti kroz ITU mehanizam</w:t>
      </w:r>
    </w:p>
    <w:p w14:paraId="1C956692"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Strateška relevantnost projekata koji se planiraju financirati kroz ITU mehanizam ključan je faktor u prioritizaciji ITU intervencija, a doprinosi joj prvenstveno kriterij značaja za sve sastavnice Urbanog područja, tematski, sadržajno ili teritorijalno, odnosno:</w:t>
      </w:r>
    </w:p>
    <w:p w14:paraId="2A8CBE77" w14:textId="77777777" w:rsidR="002F7564" w:rsidRDefault="00000000">
      <w:pPr>
        <w:numPr>
          <w:ilvl w:val="0"/>
          <w:numId w:val="14"/>
        </w:numPr>
        <w:jc w:val="both"/>
        <w:rPr>
          <w:rFonts w:ascii="Source Sans Pro" w:eastAsia="Source Sans Pro" w:hAnsi="Source Sans Pro" w:cs="Source Sans Pro"/>
        </w:rPr>
      </w:pPr>
      <w:r>
        <w:rPr>
          <w:rFonts w:ascii="Source Sans Pro" w:eastAsia="Source Sans Pro" w:hAnsi="Source Sans Pro" w:cs="Source Sans Pro"/>
        </w:rPr>
        <w:t>sudjelovanje više jedinica lokalne samouprave kao nositelja projekta ili projektnih partnera;</w:t>
      </w:r>
    </w:p>
    <w:p w14:paraId="7473A362" w14:textId="77777777" w:rsidR="002F7564" w:rsidRDefault="00000000">
      <w:pPr>
        <w:numPr>
          <w:ilvl w:val="0"/>
          <w:numId w:val="14"/>
        </w:numPr>
        <w:jc w:val="both"/>
        <w:rPr>
          <w:rFonts w:ascii="Source Sans Pro" w:eastAsia="Source Sans Pro" w:hAnsi="Source Sans Pro" w:cs="Source Sans Pro"/>
        </w:rPr>
      </w:pPr>
      <w:r>
        <w:rPr>
          <w:rFonts w:ascii="Source Sans Pro" w:eastAsia="Source Sans Pro" w:hAnsi="Source Sans Pro" w:cs="Source Sans Pro"/>
        </w:rPr>
        <w:t xml:space="preserve">policentrični utjecaj projekata grada središta ili neke druge JLS na razvoj šireg područja. </w:t>
      </w:r>
    </w:p>
    <w:p w14:paraId="134FE3BC" w14:textId="77777777" w:rsidR="002F7564" w:rsidRDefault="002F7564">
      <w:pPr>
        <w:jc w:val="both"/>
        <w:rPr>
          <w:rFonts w:ascii="Source Sans Pro" w:eastAsia="Source Sans Pro" w:hAnsi="Source Sans Pro" w:cs="Source Sans Pro"/>
        </w:rPr>
      </w:pPr>
    </w:p>
    <w:p w14:paraId="7AE063F5"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Osim toga, strateškoj relevantnosti kroz ITU mehanizam doprinosi usklađenost projekata s Integriranim teritorijalnim programom odnosno pozitivan doprinos ostvarenju pokazatelja ITP-a, te značaj istih za rješavanje razvojnih potreba Urbanog područja utvrđenih SRUP-om, kao i određivanje onih projekata koji se mogu svrstati u adekvatno i propisano područje intervencija obuhvaćenih relevatnim ciljevima ITP-a. Na taj način je osigurana vertikalna povezanost projekata s programskim dokumentima višeg reda (ITP), odnosno jednostavnije povezivanje doprinosa kojeg su ITU sredstva ostvarila na navedenom području. S ciljem dodatnog isticanja navedene poveznice, svi projekti koji su financirani ITU sredstvima adresiraju određene indikatore navedene u ITP-u. </w:t>
      </w:r>
    </w:p>
    <w:p w14:paraId="0D67A4D8"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Definiranju projekata od strateške relevantnosti i značaja za sve sastavnice Urbanog područja prethodio je proces prikupljanja projekata, odnosno izrade baze projekata od strane svih sastavnica Urbanog područja i PORA-e Regionalne razvojne agencije Koprivničko-križevačke županije, kao regionalnog koordinatora za strateško planiranje. S obzirom na recentno proveden proces izrade kratkoročnih strateških akata jedinica lokalne samouprave - provedbenih programa, gotovo sve JLS u sastavu Urbanog područja imaju bazu projekata ili projektnih ideja. U kontekstu razvojnih projekata općina, među njima je identificiran veliki broj projekata čiji je utjecaj usko ograničen na područje samo jedne općine, ali je u područjima prometne integracije područja, valorizacije kulturne baštine i unaprjeđenja višenamjenske društvene infrastrukture prepoznat najveći broj projekata koji imaju policentrični utjecaj na razvoj šireg područja neovisno na području koje JLS se provodili. Tako je strateška relevantnost osigurana za sljedeće projekte koji se planiraju financirati kroz ITU mehanizam: </w:t>
      </w:r>
    </w:p>
    <w:p w14:paraId="5C2BA93D" w14:textId="77777777" w:rsidR="002F7564" w:rsidRDefault="002F7564">
      <w:pPr>
        <w:jc w:val="both"/>
        <w:rPr>
          <w:rFonts w:ascii="Source Sans Pro" w:eastAsia="Source Sans Pro" w:hAnsi="Source Sans Pro" w:cs="Source Sans Pro"/>
        </w:rPr>
      </w:pPr>
    </w:p>
    <w:p w14:paraId="120880E6" w14:textId="77777777" w:rsidR="002F7564" w:rsidRDefault="00000000">
      <w:pPr>
        <w:numPr>
          <w:ilvl w:val="0"/>
          <w:numId w:val="8"/>
        </w:numPr>
        <w:jc w:val="both"/>
        <w:rPr>
          <w:rFonts w:ascii="Source Sans Pro" w:eastAsia="Source Sans Pro" w:hAnsi="Source Sans Pro" w:cs="Source Sans Pro"/>
        </w:rPr>
      </w:pPr>
      <w:r>
        <w:rPr>
          <w:rFonts w:ascii="Source Sans Pro" w:eastAsia="Source Sans Pro" w:hAnsi="Source Sans Pro" w:cs="Source Sans Pro"/>
        </w:rPr>
        <w:t>Zelena tržnica s intermodalnim terminalom u Gradu Koprivnici;</w:t>
      </w:r>
    </w:p>
    <w:p w14:paraId="6B45B512" w14:textId="77777777" w:rsidR="002F7564" w:rsidRDefault="00000000">
      <w:pPr>
        <w:numPr>
          <w:ilvl w:val="0"/>
          <w:numId w:val="8"/>
        </w:numPr>
        <w:jc w:val="both"/>
        <w:rPr>
          <w:rFonts w:ascii="Source Sans Pro" w:eastAsia="Source Sans Pro" w:hAnsi="Source Sans Pro" w:cs="Source Sans Pro"/>
        </w:rPr>
      </w:pPr>
      <w:r>
        <w:rPr>
          <w:rFonts w:ascii="Source Sans Pro" w:eastAsia="Source Sans Pro" w:hAnsi="Source Sans Pro" w:cs="Source Sans Pro"/>
        </w:rPr>
        <w:t>Uvođenje ekološki prihvatljivog javnog prijevoza;</w:t>
      </w:r>
    </w:p>
    <w:p w14:paraId="6C40523F" w14:textId="77777777" w:rsidR="002F7564" w:rsidRDefault="00000000">
      <w:pPr>
        <w:numPr>
          <w:ilvl w:val="0"/>
          <w:numId w:val="8"/>
        </w:numPr>
        <w:jc w:val="both"/>
        <w:rPr>
          <w:rFonts w:ascii="Source Sans Pro" w:eastAsia="Source Sans Pro" w:hAnsi="Source Sans Pro" w:cs="Source Sans Pro"/>
        </w:rPr>
      </w:pPr>
      <w:r>
        <w:rPr>
          <w:rFonts w:ascii="Source Sans Pro" w:eastAsia="Source Sans Pro" w:hAnsi="Source Sans Pro" w:cs="Source Sans Pro"/>
        </w:rPr>
        <w:t>Unaprjeđenje kulturne infrastrukture i usluga - kina i knjižnice u Gradu Koprivnici</w:t>
      </w:r>
    </w:p>
    <w:p w14:paraId="7AA02B80" w14:textId="77777777" w:rsidR="002F7564" w:rsidRDefault="00000000">
      <w:pPr>
        <w:numPr>
          <w:ilvl w:val="0"/>
          <w:numId w:val="8"/>
        </w:numPr>
        <w:jc w:val="both"/>
        <w:rPr>
          <w:rFonts w:ascii="Source Sans Pro" w:eastAsia="Source Sans Pro" w:hAnsi="Source Sans Pro" w:cs="Source Sans Pro"/>
        </w:rPr>
      </w:pPr>
      <w:r>
        <w:rPr>
          <w:rFonts w:ascii="Source Sans Pro" w:eastAsia="Source Sans Pro" w:hAnsi="Source Sans Pro" w:cs="Source Sans Pro"/>
        </w:rPr>
        <w:t>Unaprjeđenje biciklističke infrastrukture u Urbanom području Koprivnica (16 projekata);</w:t>
      </w:r>
    </w:p>
    <w:p w14:paraId="6DB1CE00" w14:textId="77777777" w:rsidR="002F7564" w:rsidRDefault="00000000">
      <w:pPr>
        <w:numPr>
          <w:ilvl w:val="0"/>
          <w:numId w:val="8"/>
        </w:numPr>
        <w:jc w:val="both"/>
        <w:rPr>
          <w:rFonts w:ascii="Source Sans Pro" w:eastAsia="Source Sans Pro" w:hAnsi="Source Sans Pro" w:cs="Source Sans Pro"/>
        </w:rPr>
      </w:pPr>
      <w:r>
        <w:rPr>
          <w:rFonts w:ascii="Source Sans Pro" w:eastAsia="Source Sans Pro" w:hAnsi="Source Sans Pro" w:cs="Source Sans Pro"/>
        </w:rPr>
        <w:t>Podravski baštinski punktovi (10 projekata);</w:t>
      </w:r>
    </w:p>
    <w:p w14:paraId="5938C39E" w14:textId="77777777" w:rsidR="002F7564" w:rsidRDefault="00000000">
      <w:pPr>
        <w:numPr>
          <w:ilvl w:val="0"/>
          <w:numId w:val="8"/>
        </w:numPr>
        <w:jc w:val="both"/>
        <w:rPr>
          <w:rFonts w:ascii="Source Sans Pro" w:eastAsia="Source Sans Pro" w:hAnsi="Source Sans Pro" w:cs="Source Sans Pro"/>
        </w:rPr>
      </w:pPr>
      <w:r>
        <w:rPr>
          <w:rFonts w:ascii="Source Sans Pro" w:eastAsia="Source Sans Pro" w:hAnsi="Source Sans Pro" w:cs="Source Sans Pro"/>
        </w:rPr>
        <w:t>Izgradnja poduzetničkih zona (2 projekta);</w:t>
      </w:r>
    </w:p>
    <w:p w14:paraId="71B57AB5" w14:textId="77777777" w:rsidR="002F7564" w:rsidRDefault="00000000">
      <w:pPr>
        <w:numPr>
          <w:ilvl w:val="0"/>
          <w:numId w:val="8"/>
        </w:numPr>
        <w:jc w:val="both"/>
        <w:rPr>
          <w:rFonts w:ascii="Source Sans Pro" w:eastAsia="Source Sans Pro" w:hAnsi="Source Sans Pro" w:cs="Source Sans Pro"/>
        </w:rPr>
      </w:pPr>
      <w:r>
        <w:rPr>
          <w:rFonts w:ascii="Source Sans Pro" w:eastAsia="Source Sans Pro" w:hAnsi="Source Sans Pro" w:cs="Source Sans Pro"/>
        </w:rPr>
        <w:t>Centar za digitalnu transformaciju u poduzetništvu i proizvodne inovacije.</w:t>
      </w:r>
    </w:p>
    <w:p w14:paraId="5A316AB0" w14:textId="77777777" w:rsidR="002F7564" w:rsidRDefault="002F7564">
      <w:pPr>
        <w:jc w:val="both"/>
        <w:rPr>
          <w:rFonts w:ascii="Source Sans Pro" w:eastAsia="Source Sans Pro" w:hAnsi="Source Sans Pro" w:cs="Source Sans Pro"/>
        </w:rPr>
      </w:pPr>
    </w:p>
    <w:p w14:paraId="34D6C25F"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Projekt </w:t>
      </w:r>
      <w:r>
        <w:rPr>
          <w:rFonts w:ascii="Source Sans Pro" w:eastAsia="Source Sans Pro" w:hAnsi="Source Sans Pro" w:cs="Source Sans Pro"/>
          <w:b/>
          <w:color w:val="096EB3"/>
        </w:rPr>
        <w:t xml:space="preserve">Zelena tržnica s intermodalnim terminalom u Gradu Koprivnici </w:t>
      </w:r>
      <w:r>
        <w:rPr>
          <w:rFonts w:ascii="Source Sans Pro" w:eastAsia="Source Sans Pro" w:hAnsi="Source Sans Pro" w:cs="Source Sans Pro"/>
        </w:rPr>
        <w:t>kao ulaganje u višenamjensku društvenu-gospodarsku infrastrukturu obuhvatit će rekonstrukciju prostora tržnice uključujući izgradnju intermodalnog čvorišta s početnim stajalištem koprivničkog javnog prijevoza BusKO i središnjom stanicom sustava javnih bicikala BicKO. Sveobuhvatni projekt utjecat će na transformaciju centra Grada Koprivnice u zeleno središte grada, obuhvaćajući sljedeće povezane komponente:</w:t>
      </w:r>
    </w:p>
    <w:p w14:paraId="2DEB8796" w14:textId="77777777" w:rsidR="002F7564" w:rsidRDefault="00000000">
      <w:pPr>
        <w:numPr>
          <w:ilvl w:val="0"/>
          <w:numId w:val="12"/>
        </w:numPr>
        <w:jc w:val="both"/>
        <w:rPr>
          <w:rFonts w:ascii="Source Sans Pro" w:eastAsia="Source Sans Pro" w:hAnsi="Source Sans Pro" w:cs="Source Sans Pro"/>
        </w:rPr>
      </w:pPr>
      <w:r>
        <w:rPr>
          <w:rFonts w:ascii="Source Sans Pro" w:eastAsia="Source Sans Pro" w:hAnsi="Source Sans Pro" w:cs="Source Sans Pro"/>
        </w:rPr>
        <w:t>rekonstrukciju i revitalizaciju poslovnih prostora tržnice koji koriste zakupci;</w:t>
      </w:r>
    </w:p>
    <w:p w14:paraId="3FBD4D80" w14:textId="77777777" w:rsidR="002F7564" w:rsidRDefault="00000000">
      <w:pPr>
        <w:numPr>
          <w:ilvl w:val="0"/>
          <w:numId w:val="12"/>
        </w:numPr>
        <w:jc w:val="both"/>
        <w:rPr>
          <w:rFonts w:ascii="Source Sans Pro" w:eastAsia="Source Sans Pro" w:hAnsi="Source Sans Pro" w:cs="Source Sans Pro"/>
        </w:rPr>
      </w:pPr>
      <w:r>
        <w:rPr>
          <w:rFonts w:ascii="Source Sans Pro" w:eastAsia="Source Sans Pro" w:hAnsi="Source Sans Pro" w:cs="Source Sans Pro"/>
        </w:rPr>
        <w:lastRenderedPageBreak/>
        <w:t>unaprjeđenje infrastrukture za potrebe upravnih službi - gradskog komunalnog poduzeća i gradske uprave;</w:t>
      </w:r>
    </w:p>
    <w:p w14:paraId="5C52F054" w14:textId="77777777" w:rsidR="002F7564" w:rsidRDefault="00000000">
      <w:pPr>
        <w:numPr>
          <w:ilvl w:val="0"/>
          <w:numId w:val="12"/>
        </w:numPr>
        <w:jc w:val="both"/>
        <w:rPr>
          <w:rFonts w:ascii="Source Sans Pro" w:eastAsia="Source Sans Pro" w:hAnsi="Source Sans Pro" w:cs="Source Sans Pro"/>
        </w:rPr>
      </w:pPr>
      <w:r>
        <w:rPr>
          <w:rFonts w:ascii="Source Sans Pro" w:eastAsia="Source Sans Pro" w:hAnsi="Source Sans Pro" w:cs="Source Sans Pro"/>
        </w:rPr>
        <w:t xml:space="preserve">uređenje prostora za organizacije civilnog društva po uzoru na </w:t>
      </w:r>
      <w:r>
        <w:rPr>
          <w:rFonts w:ascii="Source Sans Pro" w:eastAsia="Source Sans Pro" w:hAnsi="Source Sans Pro" w:cs="Source Sans Pro"/>
          <w:i/>
        </w:rPr>
        <w:t xml:space="preserve">coworking </w:t>
      </w:r>
      <w:r>
        <w:rPr>
          <w:rFonts w:ascii="Source Sans Pro" w:eastAsia="Source Sans Pro" w:hAnsi="Source Sans Pro" w:cs="Source Sans Pro"/>
        </w:rPr>
        <w:t>prostore kao mjesta umrežavanja različitih dionika civilnog društva;</w:t>
      </w:r>
    </w:p>
    <w:p w14:paraId="74DAB5A2" w14:textId="77777777" w:rsidR="002F7564" w:rsidRDefault="00000000">
      <w:pPr>
        <w:numPr>
          <w:ilvl w:val="0"/>
          <w:numId w:val="12"/>
        </w:numPr>
        <w:jc w:val="both"/>
        <w:rPr>
          <w:rFonts w:ascii="Source Sans Pro" w:eastAsia="Source Sans Pro" w:hAnsi="Source Sans Pro" w:cs="Source Sans Pro"/>
        </w:rPr>
      </w:pPr>
      <w:r>
        <w:rPr>
          <w:rFonts w:ascii="Source Sans Pro" w:eastAsia="Source Sans Pro" w:hAnsi="Source Sans Pro" w:cs="Source Sans Pro"/>
        </w:rPr>
        <w:t>rekonstrukciju parkirališta u zoni tržnice i prenamjenu u intermodalni terminal s javnim parkirališnim prostorom, početnim stajalištem autobusnog javnog prijevoza BusKO (čije linije obuhvaćaju cijelo Urbano područje) i središnjom stanicom sustava javnih bicikala BicKO.</w:t>
      </w:r>
    </w:p>
    <w:p w14:paraId="0576F001"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Revitalizacijom postojeće zone tržnice s pripadajućim parkiralištem osigurat će se polivalentan prostor u središtu Grada Koprivnice i ostvariti niz izravnih i neizravnih učinaka na razvoj malih poljoprivrednih gospodarstava s područja cijelog UP, revitalizaciju gradske jezgre, rješavanje pitanja javnog parkirališnog prostora u užem centru Grada zajedno s unaprjeđenjem sustava javnog prijevoza. Cjelokupno ulaganje planirano je prema principima Novog europskog Bauhausa, obuhvaćajući prvenstveno implementaciju mjera energetske učinkovitosti i uporabe obnovljivih izvora energije. Iako je ulaganje u fizičku infrastrukturu planirano u Gradu Koprivnici, realizacija projekta ima policentrični utjecaj na razvoj cijelog Urbanog područja, prvenstveno zbog povezivanja malih poljoprivrednih proizvođača s područja cijelog UP Koprivnica s potencijalnim kupcima te stvaranja infrastrukturnih preduvjeta za uvođenje ekološki prihvatljivog javnog prijevoza na razini UP. Projekt odgovara specifičnim ciljevima </w:t>
      </w:r>
      <w:r>
        <w:rPr>
          <w:rFonts w:ascii="Source Sans Pro" w:eastAsia="Source Sans Pro" w:hAnsi="Source Sans Pro" w:cs="Source Sans Pro"/>
          <w:b/>
          <w:color w:val="096EB3"/>
        </w:rPr>
        <w:t>RSO5.1.</w:t>
      </w:r>
      <w:r>
        <w:rPr>
          <w:rFonts w:ascii="Source Sans Pro" w:eastAsia="Source Sans Pro" w:hAnsi="Source Sans Pro" w:cs="Source Sans Pro"/>
        </w:rPr>
        <w:t xml:space="preserve"> Poticanje integriranog i uključivog društvenog i gospodarskog razvoja, razvoja u području okoliša, kulture, prirodne baštine, održivog turizma i sigurnosti u urbanim područjima i</w:t>
      </w:r>
      <w:r>
        <w:rPr>
          <w:rFonts w:ascii="Source Sans Pro" w:eastAsia="Source Sans Pro" w:hAnsi="Source Sans Pro" w:cs="Source Sans Pro"/>
          <w:b/>
          <w:color w:val="096EB3"/>
        </w:rPr>
        <w:t xml:space="preserve"> RSO2.8.</w:t>
      </w:r>
      <w:r>
        <w:rPr>
          <w:rFonts w:ascii="Source Sans Pro" w:eastAsia="Source Sans Pro" w:hAnsi="Source Sans Pro" w:cs="Source Sans Pro"/>
        </w:rPr>
        <w:t xml:space="preserve"> Promicanje održive multimodalne gradske mobilnosti kao dijela prelaska na gospodarstvo s nultom neto stopom emisija ugljika Integriranog teritorijalnog programa, te posebnim ciljevima 2.1. i 3.1. SRUP-a, što osigurava stratešku relevantnost projekta za financiranje kroz ITU mehanizam.</w:t>
      </w:r>
    </w:p>
    <w:p w14:paraId="3EE21C6C" w14:textId="77777777" w:rsidR="002F7564" w:rsidRDefault="002F7564">
      <w:pPr>
        <w:jc w:val="both"/>
        <w:rPr>
          <w:rFonts w:ascii="Source Sans Pro" w:eastAsia="Source Sans Pro" w:hAnsi="Source Sans Pro" w:cs="Source Sans Pro"/>
        </w:rPr>
      </w:pPr>
    </w:p>
    <w:p w14:paraId="03692EB5"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b/>
          <w:color w:val="096EB3"/>
        </w:rPr>
        <w:t xml:space="preserve">Uvođenje ekološki prihvatljivog javnog prijevoza </w:t>
      </w:r>
      <w:r>
        <w:rPr>
          <w:rFonts w:ascii="Source Sans Pro" w:eastAsia="Source Sans Pro" w:hAnsi="Source Sans Pro" w:cs="Source Sans Pro"/>
        </w:rPr>
        <w:t xml:space="preserve">obuhvaća implementaciju nove usluge autobusnog prijevoza BusKO, opremanje i uređenje autobusnih stajališta i prateću digitalnu i kontrolnu infrastrukturu, te unaprjeđenje sustava dijeljenih bicikla BicKO. Uspostavljen integrirani, ekološki prihvatljiv i funkcionalan javni prijevoz koji u kontekstu javnog autobusnog prijevoza obuhvaća više sastavnica Urbanog područja zadovoljava kriterije strateške relevantnosti u pogledu policentričnog utjecaja na razvoj šireg područja. Dodatno, projekt je usklađen sa specifičnim ciljem  </w:t>
      </w:r>
      <w:r>
        <w:rPr>
          <w:rFonts w:ascii="Source Sans Pro" w:eastAsia="Source Sans Pro" w:hAnsi="Source Sans Pro" w:cs="Source Sans Pro"/>
          <w:b/>
          <w:color w:val="096EB3"/>
        </w:rPr>
        <w:t xml:space="preserve">RSO2.8. </w:t>
      </w:r>
      <w:r>
        <w:rPr>
          <w:rFonts w:ascii="Source Sans Pro" w:eastAsia="Source Sans Pro" w:hAnsi="Source Sans Pro" w:cs="Source Sans Pro"/>
        </w:rPr>
        <w:t>Promicanje održive multimodalne gradske mobilnosti kao dijela prelaska na gospodarstvo s nultom neto stopom emisija ugljika</w:t>
      </w:r>
      <w:r>
        <w:rPr>
          <w:rFonts w:ascii="Source Sans Pro" w:eastAsia="Source Sans Pro" w:hAnsi="Source Sans Pro" w:cs="Source Sans Pro"/>
          <w:i/>
        </w:rPr>
        <w:t xml:space="preserve"> </w:t>
      </w:r>
      <w:r>
        <w:rPr>
          <w:rFonts w:ascii="Source Sans Pro" w:eastAsia="Source Sans Pro" w:hAnsi="Source Sans Pro" w:cs="Source Sans Pro"/>
        </w:rPr>
        <w:t xml:space="preserve">ITP-a i posebnim ciljem </w:t>
      </w:r>
      <w:r>
        <w:rPr>
          <w:rFonts w:ascii="Source Sans Pro" w:eastAsia="Source Sans Pro" w:hAnsi="Source Sans Pro" w:cs="Source Sans Pro"/>
          <w:i/>
        </w:rPr>
        <w:t>2.1. Uspostaviti održiv sustav prijevoza</w:t>
      </w:r>
      <w:r>
        <w:rPr>
          <w:rFonts w:ascii="Source Sans Pro" w:eastAsia="Source Sans Pro" w:hAnsi="Source Sans Pro" w:cs="Source Sans Pro"/>
        </w:rPr>
        <w:t xml:space="preserve"> Strategije razvoja Urbanog područja Koprivnica te odgovara na identificirane razvojne potrebe intenzivne prometne dinamike i dnevnih migracija između Grada Koprivnice i ostalih sastavnica Urbanog područja. </w:t>
      </w:r>
    </w:p>
    <w:p w14:paraId="75319690" w14:textId="77777777" w:rsidR="002F7564" w:rsidRDefault="002F7564">
      <w:pPr>
        <w:jc w:val="both"/>
        <w:rPr>
          <w:rFonts w:ascii="Source Sans Pro" w:eastAsia="Source Sans Pro" w:hAnsi="Source Sans Pro" w:cs="Source Sans Pro"/>
        </w:rPr>
      </w:pPr>
    </w:p>
    <w:p w14:paraId="0A6A1717"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Projekt</w:t>
      </w:r>
      <w:r>
        <w:rPr>
          <w:rFonts w:ascii="Source Sans Pro" w:eastAsia="Source Sans Pro" w:hAnsi="Source Sans Pro" w:cs="Source Sans Pro"/>
          <w:b/>
          <w:color w:val="096EB3"/>
        </w:rPr>
        <w:t xml:space="preserve"> unaprjeđenja kulturne infrastrukture i usluge - kina i knjižnice u Gradu Koprivnici </w:t>
      </w:r>
      <w:r>
        <w:rPr>
          <w:rFonts w:ascii="Source Sans Pro" w:eastAsia="Source Sans Pro" w:hAnsi="Source Sans Pro" w:cs="Source Sans Pro"/>
        </w:rPr>
        <w:t xml:space="preserve">ključan je razvojni iskorak za podizanje kvalitete kulturnih sadržaja u cijelom Urbanom području Koprivnica. Rekonstrukcijom kina i dogradnjom prostora Gradske knjižnice Koprivnica osigurat će su suvremena društvena i kulturna infrastruktura za potrebe svih stanovnika UP-a, s obzirom da su Kino Velebit i Gradska knjižnica Koprivnica jedine takve kulturne ustanove na području obuhvata, što potkrepljuje policentrični utjecaj projekta na sve sastavnice Urbanog područja Koprivnica. Značaj projekta za uključiv društveni razvoj područja očituje se u prilagodbi infrastrukture u </w:t>
      </w:r>
      <w:r>
        <w:rPr>
          <w:rFonts w:ascii="Source Sans Pro" w:eastAsia="Source Sans Pro" w:hAnsi="Source Sans Pro" w:cs="Source Sans Pro"/>
        </w:rPr>
        <w:lastRenderedPageBreak/>
        <w:t xml:space="preserve">pogledu osiguravanja pristupačnosti za osobe s invaliditetom i otklanjanje arhitektonskih barijera zbog kojih u postojećem objektu osobe s invaliditetom ne mogu koristiti sadržaje. Projekt je u skladu s specifičnim ciljem </w:t>
      </w:r>
      <w:r>
        <w:rPr>
          <w:rFonts w:ascii="Source Sans Pro" w:eastAsia="Source Sans Pro" w:hAnsi="Source Sans Pro" w:cs="Source Sans Pro"/>
          <w:b/>
          <w:color w:val="096EB3"/>
        </w:rPr>
        <w:t>RSO5.1.</w:t>
      </w:r>
      <w:r>
        <w:rPr>
          <w:rFonts w:ascii="Source Sans Pro" w:eastAsia="Source Sans Pro" w:hAnsi="Source Sans Pro" w:cs="Source Sans Pro"/>
        </w:rPr>
        <w:t xml:space="preserve"> Poticanje integriranog i uključivog društvenog i gospodarskog razvoja, razvoja u području okoliša, kulture, prirodne baštine, održivog turizma i sigurnosti u urbanim područjima ITP-a i posebnim ciljem 4.1. SRUP-a. </w:t>
      </w:r>
    </w:p>
    <w:p w14:paraId="23047BBD" w14:textId="77777777" w:rsidR="002F7564" w:rsidRDefault="002F7564">
      <w:pPr>
        <w:jc w:val="both"/>
        <w:rPr>
          <w:rFonts w:ascii="Source Sans Pro" w:eastAsia="Source Sans Pro" w:hAnsi="Source Sans Pro" w:cs="Source Sans Pro"/>
        </w:rPr>
      </w:pPr>
    </w:p>
    <w:p w14:paraId="7E0BC5D7"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b/>
          <w:color w:val="096EB3"/>
        </w:rPr>
        <w:t>Unaprjeđenje biciklističke infrastrukture</w:t>
      </w:r>
      <w:r>
        <w:rPr>
          <w:rFonts w:ascii="Source Sans Pro" w:eastAsia="Source Sans Pro" w:hAnsi="Source Sans Pro" w:cs="Source Sans Pro"/>
        </w:rPr>
        <w:t xml:space="preserve"> podrazumijeva izgradnju, prilagodbu i modernizaciju biciklističke i pješačko-biciklističke infrastrukture na više dionica u Urbanom području. Izgradnja biciklističke infrastrukture doprinijet će boljoj povezanosti alternativnim oblicima prijevoza na linijama koje služe za dnevne migracije, a time i smanjenju negativnog utjecaja prometa na okoliša kroz smanjenje emisije CO₂, te povećanju sigurnosti svih sudionika u prometu.  Prostorno-funkcionalna integracija biciklističko-pješačkog prometa na više dionica u Urbanom području Koprivnica čimbenik je strateške relevantnosti projekta koji također odgovara specifičnom cilju </w:t>
      </w:r>
      <w:r>
        <w:rPr>
          <w:rFonts w:ascii="Source Sans Pro" w:eastAsia="Source Sans Pro" w:hAnsi="Source Sans Pro" w:cs="Source Sans Pro"/>
          <w:b/>
          <w:color w:val="096EB3"/>
        </w:rPr>
        <w:t>RSO2.8.</w:t>
      </w:r>
      <w:r>
        <w:rPr>
          <w:rFonts w:ascii="Source Sans Pro" w:eastAsia="Source Sans Pro" w:hAnsi="Source Sans Pro" w:cs="Source Sans Pro"/>
        </w:rPr>
        <w:t xml:space="preserve"> Promicanje održive multimodalne gradske mobilnosti kao dijela prelaska na gospodarstvo s nultom neto stopom emisija ugljika ITP-a i posebnom cilju 2.1. </w:t>
      </w:r>
      <w:r>
        <w:rPr>
          <w:rFonts w:ascii="Source Sans Pro" w:eastAsia="Source Sans Pro" w:hAnsi="Source Sans Pro" w:cs="Source Sans Pro"/>
          <w:i/>
        </w:rPr>
        <w:t>Uspostaviti održiv sustav prijevoza</w:t>
      </w:r>
      <w:r>
        <w:rPr>
          <w:rFonts w:ascii="Source Sans Pro" w:eastAsia="Source Sans Pro" w:hAnsi="Source Sans Pro" w:cs="Source Sans Pro"/>
        </w:rPr>
        <w:t xml:space="preserve">, SRUP-a. </w:t>
      </w:r>
    </w:p>
    <w:p w14:paraId="24B1D48D" w14:textId="77777777" w:rsidR="002F7564" w:rsidRDefault="002F7564">
      <w:pPr>
        <w:jc w:val="both"/>
        <w:rPr>
          <w:rFonts w:ascii="Source Sans Pro" w:eastAsia="Source Sans Pro" w:hAnsi="Source Sans Pro" w:cs="Source Sans Pro"/>
        </w:rPr>
      </w:pPr>
    </w:p>
    <w:p w14:paraId="5533DA0C" w14:textId="77777777" w:rsidR="002F7564" w:rsidRDefault="00000000">
      <w:pPr>
        <w:jc w:val="both"/>
        <w:rPr>
          <w:rFonts w:ascii="Source Sans Pro" w:eastAsia="Source Sans Pro" w:hAnsi="Source Sans Pro" w:cs="Source Sans Pro"/>
          <w:i/>
        </w:rPr>
      </w:pPr>
      <w:r>
        <w:rPr>
          <w:rFonts w:ascii="Source Sans Pro" w:eastAsia="Source Sans Pro" w:hAnsi="Source Sans Pro" w:cs="Source Sans Pro"/>
        </w:rPr>
        <w:t>Projekt</w:t>
      </w:r>
      <w:r>
        <w:rPr>
          <w:rFonts w:ascii="Source Sans Pro" w:eastAsia="Source Sans Pro" w:hAnsi="Source Sans Pro" w:cs="Source Sans Pro"/>
          <w:b/>
          <w:color w:val="096EB3"/>
        </w:rPr>
        <w:t xml:space="preserve"> Podravski baštinski punktovi</w:t>
      </w:r>
      <w:r>
        <w:rPr>
          <w:rFonts w:ascii="Source Sans Pro" w:eastAsia="Source Sans Pro" w:hAnsi="Source Sans Pro" w:cs="Source Sans Pro"/>
          <w:b/>
          <w:color w:val="096EB3"/>
          <w:vertAlign w:val="superscript"/>
        </w:rPr>
        <w:footnoteReference w:id="3"/>
      </w:r>
      <w:r>
        <w:rPr>
          <w:rFonts w:ascii="Source Sans Pro" w:eastAsia="Source Sans Pro" w:hAnsi="Source Sans Pro" w:cs="Source Sans Pro"/>
          <w:b/>
          <w:color w:val="096EB3"/>
        </w:rPr>
        <w:t xml:space="preserve"> </w:t>
      </w:r>
      <w:r>
        <w:rPr>
          <w:rFonts w:ascii="Source Sans Pro" w:eastAsia="Source Sans Pro" w:hAnsi="Source Sans Pro" w:cs="Source Sans Pro"/>
        </w:rPr>
        <w:t xml:space="preserve">podrazumijeva obnovu i revitalizaciju kulturne baštine i ostale kulturne infrastrukture u Urbanom području Koprivnica, gdje je središnja investicija projekt “Muzejska četvrt” koji podrazumijeva uspostavu Muzeja Podravine u Gradu Koprivnici. Osim toga, u ostalim sastavnicama Urbanog područja biti će uključeni manji segmenti kulturno-povijesne baštine karakteristični za svaku od jedinica lokalne samouprave, a koji čine zajednički proizvod kulturne ponude Urbanog područja Koprivnica. Uz provedbu navedenih aktivnosti usmjerenih ka obnovi fizičke infrastrukture i valorizaciji kulturne baštine, projekt će </w:t>
      </w:r>
      <w:r>
        <w:rPr>
          <w:rFonts w:ascii="Source Sans Pro" w:eastAsia="Source Sans Pro" w:hAnsi="Source Sans Pro" w:cs="Source Sans Pro"/>
          <w:i/>
        </w:rPr>
        <w:t>soft</w:t>
      </w:r>
      <w:r>
        <w:rPr>
          <w:rFonts w:ascii="Source Sans Pro" w:eastAsia="Source Sans Pro" w:hAnsi="Source Sans Pro" w:cs="Source Sans Pro"/>
        </w:rPr>
        <w:t xml:space="preserve"> sadržajima biti povezan zajedničkim promotivnim aktivnostima i daljnjem planiranju upravljanja baštinom na području UP Koprivnica. Strateška relevantnost projekta osigurana je provedbom projekta u više jedinica lokalne samouprave, a dodatno joj doprinosi usklađenost s Integriranim teriorijalnim programom, specifičnim ciljem</w:t>
      </w:r>
      <w:r>
        <w:rPr>
          <w:rFonts w:ascii="Source Sans Pro" w:eastAsia="Source Sans Pro" w:hAnsi="Source Sans Pro" w:cs="Source Sans Pro"/>
          <w:b/>
          <w:color w:val="096EB3"/>
        </w:rPr>
        <w:t xml:space="preserve"> RSO5.1.</w:t>
      </w:r>
      <w:r>
        <w:rPr>
          <w:rFonts w:ascii="Source Sans Pro" w:eastAsia="Source Sans Pro" w:hAnsi="Source Sans Pro" w:cs="Source Sans Pro"/>
        </w:rPr>
        <w:t xml:space="preserve"> Poticanje integriranog i uključivog društvenog i gospodarskog razvoja, razvoja u području okoliša, kulture, prirodne baštine, održivog turizma i sigurnosti u urbanim područjima, te posebnim ciljem 4.1. SRUP-a, </w:t>
      </w:r>
      <w:r>
        <w:rPr>
          <w:rFonts w:ascii="Source Sans Pro" w:eastAsia="Source Sans Pro" w:hAnsi="Source Sans Pro" w:cs="Source Sans Pro"/>
          <w:i/>
        </w:rPr>
        <w:t xml:space="preserve">Osigurati raznoliku kulturnu ponudu i pripadajuću infrastrukturu. </w:t>
      </w:r>
    </w:p>
    <w:p w14:paraId="4140DA5F" w14:textId="77777777" w:rsidR="002F7564" w:rsidRDefault="002F7564">
      <w:pPr>
        <w:jc w:val="both"/>
        <w:rPr>
          <w:rFonts w:ascii="Source Sans Pro" w:eastAsia="Source Sans Pro" w:hAnsi="Source Sans Pro" w:cs="Source Sans Pro"/>
        </w:rPr>
      </w:pPr>
    </w:p>
    <w:p w14:paraId="70064A72"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b/>
          <w:color w:val="096EB3"/>
        </w:rPr>
        <w:t>Izgradnja i opremanje poduzetničkih zona</w:t>
      </w:r>
      <w:r>
        <w:rPr>
          <w:rFonts w:ascii="Source Sans Pro" w:eastAsia="Source Sans Pro" w:hAnsi="Source Sans Pro" w:cs="Source Sans Pro"/>
        </w:rPr>
        <w:t xml:space="preserve"> ključno je prvenstveno u pogledu rješavanja razvojnih potreba slabije gospodarske aktivnosti izvan središta Urbanog područja, uslijed neadekvatne poduzetničke infrastrukture. Osiguravanjem komunalne i prometne infrastrukture u zonama koje nisu opremljene omogućit će se pristup neiskorištenom zemljištu, a time i povećanje stupnja aktivacije poduzetničkih zona. Izravan doprinos stvaranju povoljnog okruženja za osnivanje i razvoj poduzeća na području UP Koprivnica ulaganjem u povećanje kvalitete poduzetničke infrastrukture zadovoljava kriterije strateške relevantnosti s obzirom da obuhvaća više jedinica lokalne samouprave, a relevantnost projekta potkrjepljuje usklađenost sa specifičnim ciljem </w:t>
      </w:r>
      <w:r>
        <w:rPr>
          <w:rFonts w:ascii="Source Sans Pro" w:eastAsia="Source Sans Pro" w:hAnsi="Source Sans Pro" w:cs="Source Sans Pro"/>
          <w:b/>
          <w:color w:val="096EB3"/>
        </w:rPr>
        <w:t>RSO1.3.</w:t>
      </w:r>
      <w:r>
        <w:rPr>
          <w:rFonts w:ascii="Source Sans Pro" w:eastAsia="Source Sans Pro" w:hAnsi="Source Sans Pro" w:cs="Source Sans Pro"/>
        </w:rPr>
        <w:t xml:space="preserve"> </w:t>
      </w:r>
      <w:r>
        <w:rPr>
          <w:rFonts w:ascii="Source Sans Pro" w:eastAsia="Source Sans Pro" w:hAnsi="Source Sans Pro" w:cs="Source Sans Pro"/>
        </w:rPr>
        <w:lastRenderedPageBreak/>
        <w:t>Jačanje održivog rasta i konkurentnosti MSP-ova i otvaranje radnih mjesta u njima, među ostalim i kroz produktivna ulaganja</w:t>
      </w:r>
      <w:r>
        <w:rPr>
          <w:rFonts w:ascii="Source Sans Pro" w:eastAsia="Source Sans Pro" w:hAnsi="Source Sans Pro" w:cs="Source Sans Pro"/>
          <w:i/>
        </w:rPr>
        <w:t xml:space="preserve"> </w:t>
      </w:r>
      <w:r>
        <w:rPr>
          <w:rFonts w:ascii="Source Sans Pro" w:eastAsia="Source Sans Pro" w:hAnsi="Source Sans Pro" w:cs="Source Sans Pro"/>
        </w:rPr>
        <w:t xml:space="preserve">ITP-a, te posebnim ciljem 3.1. SRUP-a, </w:t>
      </w:r>
      <w:r>
        <w:rPr>
          <w:rFonts w:ascii="Source Sans Pro" w:eastAsia="Source Sans Pro" w:hAnsi="Source Sans Pro" w:cs="Source Sans Pro"/>
          <w:i/>
        </w:rPr>
        <w:t>Potaknuti nove ideje u razvoju lokalne ekonomije.</w:t>
      </w:r>
      <w:r>
        <w:rPr>
          <w:rFonts w:ascii="Source Sans Pro" w:eastAsia="Source Sans Pro" w:hAnsi="Source Sans Pro" w:cs="Source Sans Pro"/>
        </w:rPr>
        <w:t xml:space="preserve"> </w:t>
      </w:r>
    </w:p>
    <w:p w14:paraId="3C62F2BF" w14:textId="77777777" w:rsidR="002F7564" w:rsidRDefault="002F7564">
      <w:pPr>
        <w:jc w:val="both"/>
        <w:rPr>
          <w:rFonts w:ascii="Source Sans Pro" w:eastAsia="Source Sans Pro" w:hAnsi="Source Sans Pro" w:cs="Source Sans Pro"/>
        </w:rPr>
      </w:pPr>
    </w:p>
    <w:p w14:paraId="3B0762A0"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Svrha</w:t>
      </w:r>
      <w:r>
        <w:rPr>
          <w:rFonts w:ascii="Source Sans Pro" w:eastAsia="Source Sans Pro" w:hAnsi="Source Sans Pro" w:cs="Source Sans Pro"/>
          <w:b/>
          <w:color w:val="096EB3"/>
        </w:rPr>
        <w:t xml:space="preserve"> Centra za digitalnu transformaciju u poduzetništvu </w:t>
      </w:r>
      <w:r>
        <w:rPr>
          <w:rFonts w:ascii="Source Sans Pro" w:eastAsia="Source Sans Pro" w:hAnsi="Source Sans Pro" w:cs="Source Sans Pro"/>
        </w:rPr>
        <w:t xml:space="preserve">je uspostava novog vida poduzetničke potporne infrastrukture namijenjene poduzetnicima u sektoru proizvodnih djelatnosti, kako bi se doprinijelo stvaranju povoljne poduzetničke klime u Urbanom području za nova ulaganja, inovacije i implementaciju novih tehnologija. Iako je provedba projekta planirana u Gradu Koprivnici, isti ima utjecaj na cijelo Urbano područje što osigurava stratešku relevantnost projekta. Aktivnosti projekta usklađene su sa specifičnim ciljem </w:t>
      </w:r>
      <w:r>
        <w:rPr>
          <w:rFonts w:ascii="Source Sans Pro" w:eastAsia="Source Sans Pro" w:hAnsi="Source Sans Pro" w:cs="Source Sans Pro"/>
          <w:b/>
          <w:color w:val="096EB3"/>
        </w:rPr>
        <w:t xml:space="preserve">RSO1.3. </w:t>
      </w:r>
      <w:r>
        <w:rPr>
          <w:rFonts w:ascii="Source Sans Pro" w:eastAsia="Source Sans Pro" w:hAnsi="Source Sans Pro" w:cs="Source Sans Pro"/>
        </w:rPr>
        <w:t xml:space="preserve">Jačanje održivog rasta i konkurentnosti MSP-ova i otvaranje radnih mjesta u njima, među ostalim i kroz produktivna ulaganja ITP-a, te ostvaruju doprinos posebnom cilju 3.1. SRUP-a, </w:t>
      </w:r>
      <w:r>
        <w:rPr>
          <w:rFonts w:ascii="Source Sans Pro" w:eastAsia="Source Sans Pro" w:hAnsi="Source Sans Pro" w:cs="Source Sans Pro"/>
          <w:i/>
        </w:rPr>
        <w:t>Potaknuti nove ideje u razvoju lokalne ekonomije.</w:t>
      </w:r>
      <w:r>
        <w:rPr>
          <w:rFonts w:ascii="Source Sans Pro" w:eastAsia="Source Sans Pro" w:hAnsi="Source Sans Pro" w:cs="Source Sans Pro"/>
        </w:rPr>
        <w:t xml:space="preserve"> </w:t>
      </w:r>
    </w:p>
    <w:p w14:paraId="255F7AC7" w14:textId="77777777" w:rsidR="002F7564" w:rsidRDefault="002F7564">
      <w:pPr>
        <w:jc w:val="both"/>
        <w:rPr>
          <w:rFonts w:ascii="Source Sans Pro" w:eastAsia="Source Sans Pro" w:hAnsi="Source Sans Pro" w:cs="Source Sans Pro"/>
        </w:rPr>
      </w:pPr>
    </w:p>
    <w:p w14:paraId="5AF5F849"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Završno, analizom postojeće baze projekata svih sastavnica Urbanog područja temeljem osnovnog kriterija značaja projekata za sve sastavnice Urbanog područja i dodatnog kriterija usklađenosti s relevantni strateškim okvirom, utvrđeno je kako 32 projekta</w:t>
      </w:r>
      <w:r>
        <w:rPr>
          <w:rFonts w:ascii="Source Sans Pro" w:eastAsia="Source Sans Pro" w:hAnsi="Source Sans Pro" w:cs="Source Sans Pro"/>
          <w:vertAlign w:val="superscript"/>
        </w:rPr>
        <w:footnoteReference w:id="4"/>
      </w:r>
      <w:r>
        <w:rPr>
          <w:rFonts w:ascii="Source Sans Pro" w:eastAsia="Source Sans Pro" w:hAnsi="Source Sans Pro" w:cs="Source Sans Pro"/>
        </w:rPr>
        <w:t xml:space="preserve"> odgovaraju područjima ulaganja za integrirana teritorijalna ulaganja u</w:t>
      </w:r>
      <w:r>
        <w:rPr>
          <w:rFonts w:ascii="Source Sans Pro" w:eastAsia="Source Sans Pro" w:hAnsi="Source Sans Pro" w:cs="Source Sans Pro"/>
          <w:highlight w:val="yellow"/>
        </w:rPr>
        <w:t xml:space="preserve"> nacrtu Integriranog teritorijalnog programa</w:t>
      </w:r>
      <w:r>
        <w:rPr>
          <w:rFonts w:ascii="Source Sans Pro" w:eastAsia="Source Sans Pro" w:hAnsi="Source Sans Pro" w:cs="Source Sans Pro"/>
        </w:rPr>
        <w:t xml:space="preserve">, i to najviše u području višenamjenske društveno-gospodarske i društveno-kulturne infrastrukture, prometa i javnog prijevoza, valorizacije kulturne baštine te potpore poduzetništvu. </w:t>
      </w:r>
    </w:p>
    <w:p w14:paraId="2942FA1D" w14:textId="77777777" w:rsidR="002F7564" w:rsidRDefault="002F7564">
      <w:pPr>
        <w:jc w:val="both"/>
        <w:rPr>
          <w:rFonts w:ascii="Source Sans Pro" w:eastAsia="Source Sans Pro" w:hAnsi="Source Sans Pro" w:cs="Source Sans Pro"/>
        </w:rPr>
      </w:pPr>
    </w:p>
    <w:p w14:paraId="0981EC1A" w14:textId="77777777" w:rsidR="002F7564" w:rsidRDefault="00000000">
      <w:pPr>
        <w:pStyle w:val="Heading2"/>
      </w:pPr>
      <w:bookmarkStart w:id="15" w:name="_35nkun2" w:colFirst="0" w:colLast="0"/>
      <w:bookmarkEnd w:id="15"/>
      <w:r>
        <w:t>6.3. Opis sustava provedbe ITU mehanizma</w:t>
      </w:r>
    </w:p>
    <w:p w14:paraId="584B5272" w14:textId="77777777" w:rsidR="002F7564" w:rsidRDefault="002F7564">
      <w:pPr>
        <w:jc w:val="both"/>
        <w:rPr>
          <w:rFonts w:ascii="Source Sans Pro" w:eastAsia="Source Sans Pro" w:hAnsi="Source Sans Pro" w:cs="Source Sans Pro"/>
        </w:rPr>
      </w:pPr>
    </w:p>
    <w:p w14:paraId="5CA6D7AC"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Sustav provedbe ITU mehanizma podrazumijeva koordinaciju Ministarstva regionalnog razvoja i fondova Europske unije i administrativne strukture u gradovima središtima koji imaju ulogu ITU posredničkih tijela i dio su sustava upravljanja i kontrole. </w:t>
      </w:r>
    </w:p>
    <w:p w14:paraId="07ACCFC8"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Grad Koprivnica, s ciljem uspostave institucionalnog okvira za provedbu ITU mehanizma predvidio je ustrojavanje organizacijske jedinice koja će obavljati zadatke delegirane od strane Ministarstva. Sukladno Pravilniku o unutarnjem redu upravnih tijela Grada Koprivnice (Glasnik Grada Koprivnice broj 4/20, 6/20, 7/20 i 5/21) u sistematizaciji radnih mjesta u okviru Službe ureda Gradonačelnika ustrojava se novi odsjek s tri radna mjesta. Odsjek za ITU, sukladno izmjenama sistematizacije sastoji se od tri izvršitelja - voditelja odsjeka (1) i viših stručnih suradnika (2).</w:t>
      </w:r>
    </w:p>
    <w:p w14:paraId="0BABED86" w14:textId="77777777" w:rsidR="002F7564" w:rsidRDefault="002F7564">
      <w:pPr>
        <w:jc w:val="both"/>
        <w:rPr>
          <w:rFonts w:ascii="Source Sans Pro" w:eastAsia="Source Sans Pro" w:hAnsi="Source Sans Pro" w:cs="Source Sans Pro"/>
        </w:rPr>
      </w:pPr>
    </w:p>
    <w:p w14:paraId="5DC3D431" w14:textId="77777777" w:rsidR="002F7564" w:rsidRDefault="002F7564">
      <w:pPr>
        <w:jc w:val="both"/>
        <w:rPr>
          <w:rFonts w:ascii="Source Sans Pro" w:eastAsia="Source Sans Pro" w:hAnsi="Source Sans Pro" w:cs="Source Sans Pro"/>
        </w:rPr>
      </w:pPr>
    </w:p>
    <w:p w14:paraId="3CB04394" w14:textId="77777777" w:rsidR="002F7564" w:rsidRDefault="002F7564">
      <w:pPr>
        <w:jc w:val="both"/>
        <w:rPr>
          <w:rFonts w:ascii="Source Sans Pro" w:eastAsia="Source Sans Pro" w:hAnsi="Source Sans Pro" w:cs="Source Sans Pro"/>
        </w:rPr>
      </w:pPr>
    </w:p>
    <w:p w14:paraId="511D4E32" w14:textId="77777777" w:rsidR="002F7564" w:rsidRDefault="002F7564">
      <w:pPr>
        <w:jc w:val="both"/>
        <w:rPr>
          <w:rFonts w:ascii="Source Sans Pro" w:eastAsia="Source Sans Pro" w:hAnsi="Source Sans Pro" w:cs="Source Sans Pro"/>
        </w:rPr>
      </w:pPr>
    </w:p>
    <w:p w14:paraId="6C4DAE4D" w14:textId="77777777" w:rsidR="002F7564" w:rsidRDefault="002F7564">
      <w:pPr>
        <w:jc w:val="both"/>
        <w:rPr>
          <w:rFonts w:ascii="Source Sans Pro" w:eastAsia="Source Sans Pro" w:hAnsi="Source Sans Pro" w:cs="Source Sans Pro"/>
        </w:rPr>
      </w:pPr>
    </w:p>
    <w:p w14:paraId="1809905F" w14:textId="77777777" w:rsidR="00226205" w:rsidRDefault="00226205">
      <w:pPr>
        <w:jc w:val="both"/>
        <w:rPr>
          <w:rFonts w:ascii="Source Sans Pro" w:eastAsia="Source Sans Pro" w:hAnsi="Source Sans Pro" w:cs="Source Sans Pro"/>
          <w:sz w:val="20"/>
          <w:szCs w:val="20"/>
        </w:rPr>
      </w:pPr>
      <w:r>
        <w:rPr>
          <w:rFonts w:ascii="Source Sans Pro" w:eastAsia="Source Sans Pro" w:hAnsi="Source Sans Pro" w:cs="Source Sans Pro"/>
          <w:sz w:val="20"/>
          <w:szCs w:val="20"/>
        </w:rPr>
        <w:br w:type="page"/>
      </w:r>
    </w:p>
    <w:p w14:paraId="7B24AD84" w14:textId="668BB0C6" w:rsidR="002F7564" w:rsidRDefault="00000000">
      <w:pPr>
        <w:jc w:val="both"/>
        <w:rPr>
          <w:rFonts w:ascii="Source Sans Pro" w:eastAsia="Source Sans Pro" w:hAnsi="Source Sans Pro" w:cs="Source Sans Pro"/>
          <w:sz w:val="20"/>
          <w:szCs w:val="20"/>
        </w:rPr>
      </w:pPr>
      <w:r>
        <w:rPr>
          <w:rFonts w:ascii="Source Sans Pro" w:eastAsia="Source Sans Pro" w:hAnsi="Source Sans Pro" w:cs="Source Sans Pro"/>
          <w:sz w:val="20"/>
          <w:szCs w:val="20"/>
        </w:rPr>
        <w:lastRenderedPageBreak/>
        <w:t>Slika 3 Prikaz strukture Odsjeka za ITU</w:t>
      </w:r>
    </w:p>
    <w:p w14:paraId="4921905F" w14:textId="77777777" w:rsidR="002F7564" w:rsidRDefault="00000000">
      <w:pPr>
        <w:jc w:val="center"/>
        <w:rPr>
          <w:rFonts w:ascii="Source Sans Pro" w:eastAsia="Source Sans Pro" w:hAnsi="Source Sans Pro" w:cs="Source Sans Pro"/>
          <w:i/>
        </w:rPr>
      </w:pPr>
      <w:r>
        <w:rPr>
          <w:rFonts w:ascii="Source Sans Pro" w:eastAsia="Source Sans Pro" w:hAnsi="Source Sans Pro" w:cs="Source Sans Pro"/>
          <w:noProof/>
        </w:rPr>
        <w:drawing>
          <wp:inline distT="114300" distB="114300" distL="114300" distR="114300" wp14:anchorId="0EB219EB" wp14:editId="6198FA9A">
            <wp:extent cx="2838450" cy="2433238"/>
            <wp:effectExtent l="0" t="0" r="0" b="0"/>
            <wp:docPr id="7"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1"/>
                    <a:srcRect l="21619" t="13593" r="28902" b="11065"/>
                    <a:stretch>
                      <a:fillRect/>
                    </a:stretch>
                  </pic:blipFill>
                  <pic:spPr>
                    <a:xfrm>
                      <a:off x="0" y="0"/>
                      <a:ext cx="2838450" cy="2433238"/>
                    </a:xfrm>
                    <a:prstGeom prst="rect">
                      <a:avLst/>
                    </a:prstGeom>
                    <a:ln/>
                  </pic:spPr>
                </pic:pic>
              </a:graphicData>
            </a:graphic>
          </wp:inline>
        </w:drawing>
      </w:r>
    </w:p>
    <w:p w14:paraId="27AC6A40"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i/>
          <w:sz w:val="20"/>
          <w:szCs w:val="20"/>
        </w:rPr>
        <w:t>Grad Koprivnica, Pravilnik o unutarnjem redu upravnih tijela Grada Koprivnice, izrada autora</w:t>
      </w:r>
    </w:p>
    <w:p w14:paraId="1C74D5A5" w14:textId="77777777" w:rsidR="002F7564" w:rsidRDefault="002F7564">
      <w:pPr>
        <w:jc w:val="both"/>
        <w:rPr>
          <w:rFonts w:ascii="Source Sans Pro" w:eastAsia="Source Sans Pro" w:hAnsi="Source Sans Pro" w:cs="Source Sans Pro"/>
        </w:rPr>
      </w:pPr>
    </w:p>
    <w:p w14:paraId="4934DDDA"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Prikaz standardnih mjerila za klasifikaciju radnih mjesta te opis poslova radnih mjesta u okviru Odsjeka za ITU dan je u nastavku teksta.</w:t>
      </w:r>
    </w:p>
    <w:p w14:paraId="0C2FD5E8" w14:textId="77777777" w:rsidR="002F7564" w:rsidRDefault="002F7564">
      <w:pPr>
        <w:jc w:val="both"/>
        <w:rPr>
          <w:rFonts w:ascii="Source Sans Pro" w:eastAsia="Source Sans Pro" w:hAnsi="Source Sans Pro" w:cs="Source Sans Pro"/>
        </w:rPr>
      </w:pPr>
    </w:p>
    <w:p w14:paraId="222DD35D" w14:textId="77777777" w:rsidR="002F7564" w:rsidRDefault="00000000">
      <w:pPr>
        <w:jc w:val="both"/>
        <w:rPr>
          <w:rFonts w:ascii="Source Sans Pro" w:eastAsia="Source Sans Pro" w:hAnsi="Source Sans Pro" w:cs="Source Sans Pro"/>
          <w:b/>
        </w:rPr>
      </w:pPr>
      <w:r>
        <w:rPr>
          <w:rFonts w:ascii="Source Sans Pro" w:eastAsia="Source Sans Pro" w:hAnsi="Source Sans Pro" w:cs="Source Sans Pro"/>
          <w:b/>
        </w:rPr>
        <w:t>Voditelj odsjeka za ITU mehanizam</w:t>
      </w:r>
    </w:p>
    <w:p w14:paraId="53126576" w14:textId="77777777" w:rsidR="002F7564" w:rsidRDefault="00000000">
      <w:pPr>
        <w:jc w:val="both"/>
        <w:rPr>
          <w:rFonts w:ascii="Source Sans Pro" w:eastAsia="Source Sans Pro" w:hAnsi="Source Sans Pro" w:cs="Source Sans Pro"/>
          <w:i/>
        </w:rPr>
      </w:pPr>
      <w:r>
        <w:rPr>
          <w:rFonts w:ascii="Source Sans Pro" w:eastAsia="Source Sans Pro" w:hAnsi="Source Sans Pro" w:cs="Source Sans Pro"/>
          <w:i/>
        </w:rPr>
        <w:t xml:space="preserve">(magistar struke ili stručni specijalist društvene ili humanističke struke; </w:t>
      </w:r>
      <w:r>
        <w:rPr>
          <w:rFonts w:ascii="Source Sans Pro" w:eastAsia="Source Sans Pro" w:hAnsi="Source Sans Pro" w:cs="Source Sans Pro"/>
          <w:i/>
          <w:sz w:val="14"/>
          <w:szCs w:val="14"/>
        </w:rPr>
        <w:t xml:space="preserve"> </w:t>
      </w:r>
      <w:r>
        <w:rPr>
          <w:rFonts w:ascii="Source Sans Pro" w:eastAsia="Source Sans Pro" w:hAnsi="Source Sans Pro" w:cs="Source Sans Pro"/>
          <w:i/>
        </w:rPr>
        <w:t>najmanje 5 godina radnog iskustva na odgovarajućim poslovima)</w:t>
      </w:r>
    </w:p>
    <w:p w14:paraId="03CB2F12" w14:textId="77777777" w:rsidR="002F7564" w:rsidRDefault="002F7564">
      <w:pPr>
        <w:jc w:val="both"/>
        <w:rPr>
          <w:rFonts w:ascii="Source Sans Pro" w:eastAsia="Source Sans Pro" w:hAnsi="Source Sans Pro" w:cs="Source Sans Pro"/>
          <w:i/>
        </w:rPr>
      </w:pPr>
    </w:p>
    <w:p w14:paraId="24D978CB" w14:textId="77777777" w:rsidR="002F7564" w:rsidRDefault="00000000">
      <w:pPr>
        <w:numPr>
          <w:ilvl w:val="0"/>
          <w:numId w:val="3"/>
        </w:numPr>
        <w:jc w:val="both"/>
        <w:rPr>
          <w:rFonts w:ascii="Source Sans Pro" w:eastAsia="Source Sans Pro" w:hAnsi="Source Sans Pro" w:cs="Source Sans Pro"/>
        </w:rPr>
      </w:pPr>
      <w:r>
        <w:rPr>
          <w:rFonts w:ascii="Source Sans Pro" w:eastAsia="Source Sans Pro" w:hAnsi="Source Sans Pro" w:cs="Source Sans Pro"/>
        </w:rPr>
        <w:t>Upravlja radom odsjeka, odgovora za zakonito i pravodobno obavljanje poslova i zadaća iz nadležnosti Odsjeka te poduzima mjere za unapređivanje rada Odsjeka kroz primjenu kadrovskih, organizacijskih i softverskih rješenja - približan postotak vremena koji je potreban za obavljanje navedenih poslova 10%</w:t>
      </w:r>
    </w:p>
    <w:p w14:paraId="45FBC083" w14:textId="77777777" w:rsidR="002F7564" w:rsidRDefault="00000000">
      <w:pPr>
        <w:numPr>
          <w:ilvl w:val="0"/>
          <w:numId w:val="3"/>
        </w:numPr>
        <w:jc w:val="both"/>
        <w:rPr>
          <w:rFonts w:ascii="Source Sans Pro" w:eastAsia="Source Sans Pro" w:hAnsi="Source Sans Pro" w:cs="Source Sans Pro"/>
        </w:rPr>
      </w:pPr>
      <w:r>
        <w:rPr>
          <w:rFonts w:ascii="Source Sans Pro" w:eastAsia="Source Sans Pro" w:hAnsi="Source Sans Pro" w:cs="Source Sans Pro"/>
        </w:rPr>
        <w:t>poslove na uspostavi i planiranju Urbanog područja Koprivnica, komunikaciji s jedinicama lokalne samouprave koje ulaze u sastav manjeg urbanog područja Koprivnica i tijelima Grada Koprivnice, te praćenja aktivnosti za provedbu mehanizma integriranih teritorijalnih ulaganja- približan postotak vremena koji je potreban za obavljanje navedenih poslova 50%</w:t>
      </w:r>
    </w:p>
    <w:p w14:paraId="66154757" w14:textId="77777777" w:rsidR="002F7564" w:rsidRDefault="00000000">
      <w:pPr>
        <w:numPr>
          <w:ilvl w:val="0"/>
          <w:numId w:val="3"/>
        </w:numPr>
        <w:jc w:val="both"/>
        <w:rPr>
          <w:rFonts w:ascii="Source Sans Pro" w:eastAsia="Source Sans Pro" w:hAnsi="Source Sans Pro" w:cs="Source Sans Pro"/>
        </w:rPr>
      </w:pPr>
      <w:r>
        <w:rPr>
          <w:rFonts w:ascii="Source Sans Pro" w:eastAsia="Source Sans Pro" w:hAnsi="Source Sans Pro" w:cs="Source Sans Pro"/>
        </w:rPr>
        <w:t xml:space="preserve">ostvaruje koordinaciju sa tijelima u sustavu upravljanja i kontrole EU fondova u Republici Hrvatskoj - približan postotak vremena koji je potreban za obavljanje navedenih poslova 5% </w:t>
      </w:r>
    </w:p>
    <w:p w14:paraId="595EC812" w14:textId="77777777" w:rsidR="002F7564" w:rsidRDefault="00000000">
      <w:pPr>
        <w:numPr>
          <w:ilvl w:val="0"/>
          <w:numId w:val="3"/>
        </w:numPr>
        <w:jc w:val="both"/>
        <w:rPr>
          <w:rFonts w:ascii="Source Sans Pro" w:eastAsia="Source Sans Pro" w:hAnsi="Source Sans Pro" w:cs="Source Sans Pro"/>
        </w:rPr>
      </w:pPr>
      <w:r>
        <w:rPr>
          <w:rFonts w:ascii="Source Sans Pro" w:eastAsia="Source Sans Pro" w:hAnsi="Source Sans Pro" w:cs="Source Sans Pro"/>
        </w:rPr>
        <w:t>izrađuje izvješća o provedbi mehanizma integriranih teritorijalnih ulaganja (ITU mehanizma), financijske planove,  programske dodatke Sporazumu o provedbi ITU mehanizma, uspostavlja, organizira i unapređuje aktivnosti u provedbi procedura,  izrađuje izvješća i druge informacije iz djelokruga rada Odsjeka te sudjeluje u izradi i nadzire izradu općih i drugih akata iz djelokruga rada Direkcije – približan postotak vremena koji je potreban za obavljanje navedenih poslova 15%</w:t>
      </w:r>
    </w:p>
    <w:p w14:paraId="242E30DC" w14:textId="77777777" w:rsidR="002F7564" w:rsidRDefault="00000000">
      <w:pPr>
        <w:numPr>
          <w:ilvl w:val="0"/>
          <w:numId w:val="3"/>
        </w:numPr>
        <w:jc w:val="both"/>
        <w:rPr>
          <w:rFonts w:ascii="Source Sans Pro" w:eastAsia="Source Sans Pro" w:hAnsi="Source Sans Pro" w:cs="Source Sans Pro"/>
        </w:rPr>
      </w:pPr>
      <w:r>
        <w:rPr>
          <w:rFonts w:ascii="Source Sans Pro" w:eastAsia="Source Sans Pro" w:hAnsi="Source Sans Pro" w:cs="Source Sans Pro"/>
        </w:rPr>
        <w:t>trajno prati pozitivne propise i praksu iz područja rada Direkcije, daje potrebna tumačenja, objašnjenja, savjete i preporuke djelatnicima Direkcije te ostvaruje i osigurava kontakte sa stručnim službama koje se bave istim ili srodnim područjem - približan postotak vremena koji je potreban za obavljanje navedenih poslova 10%</w:t>
      </w:r>
    </w:p>
    <w:p w14:paraId="1B1524FE" w14:textId="77777777" w:rsidR="002F7564" w:rsidRDefault="00000000">
      <w:pPr>
        <w:numPr>
          <w:ilvl w:val="0"/>
          <w:numId w:val="3"/>
        </w:numPr>
        <w:jc w:val="both"/>
        <w:rPr>
          <w:rFonts w:ascii="Source Sans Pro" w:eastAsia="Source Sans Pro" w:hAnsi="Source Sans Pro" w:cs="Source Sans Pro"/>
        </w:rPr>
      </w:pPr>
      <w:r>
        <w:rPr>
          <w:rFonts w:ascii="Source Sans Pro" w:eastAsia="Source Sans Pro" w:hAnsi="Source Sans Pro" w:cs="Source Sans Pro"/>
        </w:rPr>
        <w:t>obavlja i druge poslove po nalogu pročelnika - približan postotak vremena koji je potreban za obavljanje navedenih poslova 10%</w:t>
      </w:r>
    </w:p>
    <w:p w14:paraId="1538D92D" w14:textId="77777777" w:rsidR="002F7564" w:rsidRDefault="00000000">
      <w:pPr>
        <w:spacing w:before="240" w:after="240"/>
        <w:rPr>
          <w:rFonts w:ascii="Source Sans Pro" w:eastAsia="Source Sans Pro" w:hAnsi="Source Sans Pro" w:cs="Source Sans Pro"/>
          <w:i/>
        </w:rPr>
      </w:pPr>
      <w:r>
        <w:rPr>
          <w:rFonts w:ascii="Source Sans Pro" w:eastAsia="Source Sans Pro" w:hAnsi="Source Sans Pro" w:cs="Source Sans Pro"/>
          <w:b/>
        </w:rPr>
        <w:lastRenderedPageBreak/>
        <w:t>Viši stručni suradnik za ITU mehanizam</w:t>
      </w:r>
      <w:r>
        <w:rPr>
          <w:rFonts w:ascii="Source Sans Pro" w:eastAsia="Source Sans Pro" w:hAnsi="Source Sans Pro" w:cs="Source Sans Pro"/>
          <w:b/>
        </w:rPr>
        <w:br/>
      </w:r>
      <w:r>
        <w:rPr>
          <w:rFonts w:ascii="Source Sans Pro" w:eastAsia="Source Sans Pro" w:hAnsi="Source Sans Pro" w:cs="Source Sans Pro"/>
          <w:i/>
        </w:rPr>
        <w:t>(magistar struke ili stručni specijalist društvene ili humanističke struke; najmanje 1 godina radnog iskustva na odgovarajućim poslovima)</w:t>
      </w:r>
    </w:p>
    <w:p w14:paraId="40F04FF7" w14:textId="77777777" w:rsidR="002F7564" w:rsidRDefault="00000000">
      <w:pPr>
        <w:numPr>
          <w:ilvl w:val="0"/>
          <w:numId w:val="2"/>
        </w:numPr>
        <w:spacing w:before="240"/>
        <w:jc w:val="both"/>
        <w:rPr>
          <w:rFonts w:ascii="Source Sans Pro" w:eastAsia="Source Sans Pro" w:hAnsi="Source Sans Pro" w:cs="Source Sans Pro"/>
        </w:rPr>
      </w:pPr>
      <w:r>
        <w:rPr>
          <w:rFonts w:ascii="Source Sans Pro" w:eastAsia="Source Sans Pro" w:hAnsi="Source Sans Pro" w:cs="Source Sans Pro"/>
        </w:rPr>
        <w:t>prati pozitivne propise iz djelokruga rada Odsjeka,  predlaže mjere za unapređivanje rada Odsjeka s aspekta primjene pozitivnih propisa,  izrađuje i nomotehnički obrađuje prijedloge općih akata iz djelokruga rada Odsjeka (priručnik o internim procedurama u suradnji s upravljačkim tijelima i ostale akte o internim procedurama), pojedinačnih akata (ugovora, sporazuma i dr.) te sudjeluje u izradi i koncipiranju izlaznih akata Odsjeka koji proizvode ili bi mogli proizvesti pravne učinke - približan postotak vremena koji je potreban za obavljanje navedenih poslova 40%</w:t>
      </w:r>
    </w:p>
    <w:p w14:paraId="5E388E8B" w14:textId="77777777" w:rsidR="002F7564" w:rsidRDefault="00000000">
      <w:pPr>
        <w:numPr>
          <w:ilvl w:val="0"/>
          <w:numId w:val="2"/>
        </w:numPr>
        <w:jc w:val="both"/>
        <w:rPr>
          <w:rFonts w:ascii="Source Sans Pro" w:eastAsia="Source Sans Pro" w:hAnsi="Source Sans Pro" w:cs="Source Sans Pro"/>
        </w:rPr>
      </w:pPr>
      <w:r>
        <w:rPr>
          <w:rFonts w:ascii="Source Sans Pro" w:eastAsia="Source Sans Pro" w:hAnsi="Source Sans Pro" w:cs="Source Sans Pro"/>
        </w:rPr>
        <w:t>sudjeluje u postupcima javne nabave - približan postotak vremena koji je potreban za obavljanje navedenih poslova 20%</w:t>
      </w:r>
    </w:p>
    <w:p w14:paraId="3AC16634" w14:textId="77777777" w:rsidR="002F7564" w:rsidRDefault="00000000">
      <w:pPr>
        <w:numPr>
          <w:ilvl w:val="0"/>
          <w:numId w:val="2"/>
        </w:numPr>
        <w:jc w:val="both"/>
        <w:rPr>
          <w:rFonts w:ascii="Source Sans Pro" w:eastAsia="Source Sans Pro" w:hAnsi="Source Sans Pro" w:cs="Source Sans Pro"/>
        </w:rPr>
      </w:pPr>
      <w:r>
        <w:rPr>
          <w:rFonts w:ascii="Source Sans Pro" w:eastAsia="Source Sans Pro" w:hAnsi="Source Sans Pro" w:cs="Source Sans Pro"/>
        </w:rPr>
        <w:t>uspostavlja procedure za osiguravanje revizijskog traga (čuvanje dokumentacije i dokaza o provedenim aktivnostima) - približan postotak vremena koji je potreban za obavljanje navedenih poslova 10%</w:t>
      </w:r>
    </w:p>
    <w:p w14:paraId="287AAE76" w14:textId="77777777" w:rsidR="002F7564" w:rsidRDefault="00000000">
      <w:pPr>
        <w:numPr>
          <w:ilvl w:val="0"/>
          <w:numId w:val="2"/>
        </w:numPr>
        <w:jc w:val="both"/>
        <w:rPr>
          <w:rFonts w:ascii="Source Sans Pro" w:eastAsia="Source Sans Pro" w:hAnsi="Source Sans Pro" w:cs="Source Sans Pro"/>
        </w:rPr>
      </w:pPr>
      <w:r>
        <w:rPr>
          <w:rFonts w:ascii="Source Sans Pro" w:eastAsia="Source Sans Pro" w:hAnsi="Source Sans Pro" w:cs="Source Sans Pro"/>
        </w:rPr>
        <w:t xml:space="preserve">ostvaruje korespondenciju sa tijelima manjeg urbanog područja - približan postotak vremena koji je potreban za obavljanje navedenih poslova 10% </w:t>
      </w:r>
    </w:p>
    <w:p w14:paraId="0583A8FB" w14:textId="77777777" w:rsidR="002F7564" w:rsidRDefault="00000000">
      <w:pPr>
        <w:numPr>
          <w:ilvl w:val="0"/>
          <w:numId w:val="2"/>
        </w:numPr>
        <w:spacing w:after="240"/>
        <w:jc w:val="both"/>
        <w:rPr>
          <w:rFonts w:ascii="Source Sans Pro" w:eastAsia="Source Sans Pro" w:hAnsi="Source Sans Pro" w:cs="Source Sans Pro"/>
        </w:rPr>
      </w:pPr>
      <w:r>
        <w:rPr>
          <w:rFonts w:ascii="Source Sans Pro" w:eastAsia="Source Sans Pro" w:hAnsi="Source Sans Pro" w:cs="Source Sans Pro"/>
        </w:rPr>
        <w:t>obavlja i druge poslove po nalogu voditelja odsjeka i pročelnika - približan postotak vremena koji je potreban za obavljanje navedenih poslova 20%</w:t>
      </w:r>
    </w:p>
    <w:p w14:paraId="26F65CEF" w14:textId="77777777" w:rsidR="002F7564" w:rsidRDefault="00000000">
      <w:pPr>
        <w:spacing w:before="240" w:after="240"/>
        <w:jc w:val="both"/>
        <w:rPr>
          <w:rFonts w:ascii="Source Sans Pro" w:eastAsia="Source Sans Pro" w:hAnsi="Source Sans Pro" w:cs="Source Sans Pro"/>
        </w:rPr>
      </w:pPr>
      <w:r>
        <w:rPr>
          <w:rFonts w:ascii="Source Sans Pro" w:eastAsia="Source Sans Pro" w:hAnsi="Source Sans Pro" w:cs="Source Sans Pro"/>
        </w:rPr>
        <w:t xml:space="preserve">Definiranje organizacijske jedinice, odnosno planiranje iste u okviru sistematizacije radnih mjesta preduvjet je za uvođenje Grada Koprivnice u sustav upravljanja i kontrole, odnosno akreditiranu strukturu u razdoblju 2021.-2027. s ulogom posredničkog tijela za odabir operacija i projekata, odnosno zadaćama u provedbi drugih aktivnosti delegiranih od strane Ministarstva regionalnog razvoja i fondova Europske unije. </w:t>
      </w:r>
    </w:p>
    <w:p w14:paraId="5457F5B2" w14:textId="77777777" w:rsidR="002F7564" w:rsidRDefault="002F7564">
      <w:pPr>
        <w:spacing w:before="240" w:after="240"/>
        <w:jc w:val="both"/>
        <w:rPr>
          <w:rFonts w:ascii="Source Sans Pro" w:eastAsia="Source Sans Pro" w:hAnsi="Source Sans Pro" w:cs="Source Sans Pro"/>
        </w:rPr>
      </w:pPr>
    </w:p>
    <w:p w14:paraId="4D798255" w14:textId="77777777" w:rsidR="002F7564" w:rsidRDefault="002F7564">
      <w:pPr>
        <w:spacing w:before="240" w:after="240"/>
        <w:jc w:val="both"/>
        <w:rPr>
          <w:rFonts w:ascii="Source Sans Pro" w:eastAsia="Source Sans Pro" w:hAnsi="Source Sans Pro" w:cs="Source Sans Pro"/>
        </w:rPr>
      </w:pPr>
    </w:p>
    <w:p w14:paraId="4989DA75" w14:textId="77777777" w:rsidR="002F7564" w:rsidRDefault="002F7564">
      <w:pPr>
        <w:spacing w:before="240" w:after="240"/>
        <w:jc w:val="both"/>
        <w:rPr>
          <w:rFonts w:ascii="Source Sans Pro" w:eastAsia="Source Sans Pro" w:hAnsi="Source Sans Pro" w:cs="Source Sans Pro"/>
        </w:rPr>
      </w:pPr>
    </w:p>
    <w:p w14:paraId="488EA3B4" w14:textId="77777777" w:rsidR="002F7564" w:rsidRDefault="002F7564">
      <w:pPr>
        <w:spacing w:before="240" w:after="240"/>
        <w:jc w:val="both"/>
        <w:rPr>
          <w:rFonts w:ascii="Source Sans Pro" w:eastAsia="Source Sans Pro" w:hAnsi="Source Sans Pro" w:cs="Source Sans Pro"/>
        </w:rPr>
      </w:pPr>
    </w:p>
    <w:p w14:paraId="232B0B22" w14:textId="77777777" w:rsidR="002F7564" w:rsidRDefault="002F7564">
      <w:pPr>
        <w:spacing w:before="240" w:after="240"/>
        <w:jc w:val="both"/>
        <w:rPr>
          <w:rFonts w:ascii="Source Sans Pro" w:eastAsia="Source Sans Pro" w:hAnsi="Source Sans Pro" w:cs="Source Sans Pro"/>
        </w:rPr>
      </w:pPr>
    </w:p>
    <w:p w14:paraId="1290A86F" w14:textId="77777777" w:rsidR="00226205" w:rsidRDefault="00226205">
      <w:pPr>
        <w:pStyle w:val="Heading1"/>
        <w:ind w:firstLine="720"/>
        <w:jc w:val="both"/>
      </w:pPr>
      <w:bookmarkStart w:id="16" w:name="_1ksv4uv" w:colFirst="0" w:colLast="0"/>
      <w:bookmarkEnd w:id="16"/>
      <w:r>
        <w:br w:type="page"/>
      </w:r>
    </w:p>
    <w:p w14:paraId="4556C98E" w14:textId="53D44CBC" w:rsidR="002F7564" w:rsidRDefault="00000000">
      <w:pPr>
        <w:pStyle w:val="Heading1"/>
        <w:ind w:firstLine="720"/>
        <w:jc w:val="both"/>
      </w:pPr>
      <w:r>
        <w:lastRenderedPageBreak/>
        <w:t>7. Usklađenost s EU strateškim dokumentima, Nacionalnom razvojnom strategijom, sektorskim i višesektorskim strategijama, planovima razvoja županija te dokumentima prostornog uređenja</w:t>
      </w:r>
    </w:p>
    <w:p w14:paraId="2D7F1AE3" w14:textId="77777777" w:rsidR="002F7564" w:rsidRDefault="002F7564">
      <w:pPr>
        <w:jc w:val="both"/>
        <w:rPr>
          <w:rFonts w:ascii="Source Sans Pro" w:eastAsia="Source Sans Pro" w:hAnsi="Source Sans Pro" w:cs="Source Sans Pro"/>
          <w:i/>
        </w:rPr>
      </w:pPr>
    </w:p>
    <w:p w14:paraId="00374931"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Zakonom o sustavu strateškog planiranja i upravljanja razvojem (NN 123/2017) utvrđena su načela na kojima se temelji sustav strateškog planiranja i upravljanja razvojem. Načelom </w:t>
      </w:r>
      <w:r>
        <w:rPr>
          <w:rFonts w:ascii="Source Sans Pro" w:eastAsia="Source Sans Pro" w:hAnsi="Source Sans Pro" w:cs="Source Sans Pro"/>
          <w:i/>
        </w:rPr>
        <w:t xml:space="preserve">točnosti i cjelovitosti </w:t>
      </w:r>
      <w:r>
        <w:rPr>
          <w:rFonts w:ascii="Source Sans Pro" w:eastAsia="Source Sans Pro" w:hAnsi="Source Sans Pro" w:cs="Source Sans Pro"/>
        </w:rPr>
        <w:t xml:space="preserve">definirano je da akti strateškog planiranja moraju biti usklađeni s ostalim aktima strateškog planiranja više ili jednake hijerarhijske razine, što u kontekstu Strategije razvoja Urbanog područja Koprivnica znači usklađenost s Planom razvoja Koprivničko-križevačke županije za razdoblje 2021.-2027. i Nacionalnom razvojnom strategijom do 2030. kao hijerarhijski najvišim aktom u sustavu strateškog planiranja Republike Hrvatske. </w:t>
      </w:r>
    </w:p>
    <w:p w14:paraId="63FF7E4B" w14:textId="77777777" w:rsidR="002F7564" w:rsidRDefault="002F7564">
      <w:pPr>
        <w:jc w:val="both"/>
        <w:rPr>
          <w:rFonts w:ascii="Source Sans Pro" w:eastAsia="Source Sans Pro" w:hAnsi="Source Sans Pro" w:cs="Source Sans Pro"/>
        </w:rPr>
      </w:pPr>
    </w:p>
    <w:tbl>
      <w:tblPr>
        <w:tblStyle w:val="a5"/>
        <w:tblW w:w="9120" w:type="dxa"/>
        <w:tblInd w:w="-100" w:type="dxa"/>
        <w:tblBorders>
          <w:top w:val="single" w:sz="8" w:space="0" w:color="CCCCCC"/>
          <w:left w:val="single" w:sz="8" w:space="0" w:color="CCCCCC"/>
          <w:bottom w:val="single" w:sz="8" w:space="0" w:color="CCCCCC"/>
          <w:right w:val="single" w:sz="8" w:space="0" w:color="CCCCCC"/>
          <w:insideH w:val="single" w:sz="8" w:space="0" w:color="CCCCCC"/>
          <w:insideV w:val="single" w:sz="8" w:space="0" w:color="CCCCCC"/>
        </w:tblBorders>
        <w:tblLayout w:type="fixed"/>
        <w:tblLook w:val="0600" w:firstRow="0" w:lastRow="0" w:firstColumn="0" w:lastColumn="0" w:noHBand="1" w:noVBand="1"/>
      </w:tblPr>
      <w:tblGrid>
        <w:gridCol w:w="9120"/>
      </w:tblGrid>
      <w:tr w:rsidR="002F7564" w14:paraId="2CF70840" w14:textId="77777777">
        <w:trPr>
          <w:trHeight w:val="361"/>
        </w:trPr>
        <w:tc>
          <w:tcPr>
            <w:tcW w:w="9120" w:type="dxa"/>
            <w:shd w:val="clear" w:color="auto" w:fill="CCCCCC"/>
            <w:tcMar>
              <w:top w:w="100" w:type="dxa"/>
              <w:left w:w="100" w:type="dxa"/>
              <w:bottom w:w="100" w:type="dxa"/>
              <w:right w:w="100" w:type="dxa"/>
            </w:tcMar>
          </w:tcPr>
          <w:p w14:paraId="5B9CE481"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rPr>
            </w:pPr>
            <w:r>
              <w:rPr>
                <w:rFonts w:ascii="Source Sans Pro" w:eastAsia="Source Sans Pro" w:hAnsi="Source Sans Pro" w:cs="Source Sans Pro"/>
              </w:rPr>
              <w:t>Nacionalna razvojna strategija 2030.</w:t>
            </w:r>
          </w:p>
        </w:tc>
      </w:tr>
    </w:tbl>
    <w:p w14:paraId="1C043B7F" w14:textId="77777777" w:rsidR="002F7564" w:rsidRDefault="00000000">
      <w:pPr>
        <w:jc w:val="center"/>
        <w:rPr>
          <w:rFonts w:ascii="Source Sans Pro" w:eastAsia="Source Sans Pro" w:hAnsi="Source Sans Pro" w:cs="Source Sans Pro"/>
        </w:rPr>
      </w:pPr>
      <w:r>
        <w:rPr>
          <w:rFonts w:ascii="Arial Unicode MS" w:eastAsia="Arial Unicode MS" w:hAnsi="Arial Unicode MS" w:cs="Arial Unicode MS"/>
          <w:b/>
        </w:rPr>
        <w:t>↑</w:t>
      </w:r>
    </w:p>
    <w:tbl>
      <w:tblPr>
        <w:tblStyle w:val="a6"/>
        <w:tblW w:w="9135" w:type="dxa"/>
        <w:tblInd w:w="-110" w:type="dxa"/>
        <w:tblBorders>
          <w:top w:val="single" w:sz="8" w:space="0" w:color="CFE2F3"/>
          <w:left w:val="single" w:sz="8" w:space="0" w:color="CFE2F3"/>
          <w:bottom w:val="single" w:sz="8" w:space="0" w:color="CFE2F3"/>
          <w:right w:val="single" w:sz="8" w:space="0" w:color="CFE2F3"/>
          <w:insideH w:val="single" w:sz="8" w:space="0" w:color="CFE2F3"/>
          <w:insideV w:val="single" w:sz="8" w:space="0" w:color="CFE2F3"/>
        </w:tblBorders>
        <w:tblLayout w:type="fixed"/>
        <w:tblLook w:val="0600" w:firstRow="0" w:lastRow="0" w:firstColumn="0" w:lastColumn="0" w:noHBand="1" w:noVBand="1"/>
      </w:tblPr>
      <w:tblGrid>
        <w:gridCol w:w="9135"/>
      </w:tblGrid>
      <w:tr w:rsidR="002F7564" w14:paraId="4F88181F" w14:textId="77777777">
        <w:tc>
          <w:tcPr>
            <w:tcW w:w="9135" w:type="dxa"/>
            <w:shd w:val="clear" w:color="auto" w:fill="CFE2F3"/>
            <w:tcMar>
              <w:top w:w="100" w:type="dxa"/>
              <w:left w:w="100" w:type="dxa"/>
              <w:bottom w:w="100" w:type="dxa"/>
              <w:right w:w="100" w:type="dxa"/>
            </w:tcMar>
          </w:tcPr>
          <w:p w14:paraId="696B2C1C"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rPr>
            </w:pPr>
            <w:r>
              <w:rPr>
                <w:rFonts w:ascii="Source Sans Pro" w:eastAsia="Source Sans Pro" w:hAnsi="Source Sans Pro" w:cs="Source Sans Pro"/>
              </w:rPr>
              <w:t>Plan razvoja Koprivničko-križevačke županije za razdoblje 2021.-2027.</w:t>
            </w:r>
          </w:p>
        </w:tc>
      </w:tr>
    </w:tbl>
    <w:p w14:paraId="331230F5" w14:textId="77777777" w:rsidR="002F7564" w:rsidRDefault="00000000">
      <w:pPr>
        <w:jc w:val="center"/>
        <w:rPr>
          <w:rFonts w:ascii="Source Sans Pro" w:eastAsia="Source Sans Pro" w:hAnsi="Source Sans Pro" w:cs="Source Sans Pro"/>
          <w:b/>
        </w:rPr>
      </w:pPr>
      <w:r>
        <w:rPr>
          <w:rFonts w:ascii="Arial Unicode MS" w:eastAsia="Arial Unicode MS" w:hAnsi="Arial Unicode MS" w:cs="Arial Unicode MS"/>
          <w:b/>
        </w:rPr>
        <w:t>↑</w:t>
      </w:r>
    </w:p>
    <w:tbl>
      <w:tblPr>
        <w:tblStyle w:val="a7"/>
        <w:tblW w:w="9105" w:type="dxa"/>
        <w:tblInd w:w="-80" w:type="dxa"/>
        <w:tblBorders>
          <w:top w:val="single" w:sz="8" w:space="0" w:color="096EB3"/>
          <w:left w:val="single" w:sz="8" w:space="0" w:color="096EB3"/>
          <w:bottom w:val="single" w:sz="8" w:space="0" w:color="096EB3"/>
          <w:right w:val="single" w:sz="8" w:space="0" w:color="096EB3"/>
          <w:insideH w:val="single" w:sz="8" w:space="0" w:color="096EB3"/>
          <w:insideV w:val="single" w:sz="8" w:space="0" w:color="096EB3"/>
        </w:tblBorders>
        <w:tblLayout w:type="fixed"/>
        <w:tblLook w:val="0600" w:firstRow="0" w:lastRow="0" w:firstColumn="0" w:lastColumn="0" w:noHBand="1" w:noVBand="1"/>
      </w:tblPr>
      <w:tblGrid>
        <w:gridCol w:w="9105"/>
      </w:tblGrid>
      <w:tr w:rsidR="002F7564" w14:paraId="6719C4AA" w14:textId="77777777">
        <w:tc>
          <w:tcPr>
            <w:tcW w:w="9105" w:type="dxa"/>
            <w:shd w:val="clear" w:color="auto" w:fill="096EB3"/>
            <w:tcMar>
              <w:top w:w="100" w:type="dxa"/>
              <w:left w:w="100" w:type="dxa"/>
              <w:bottom w:w="100" w:type="dxa"/>
              <w:right w:w="100" w:type="dxa"/>
            </w:tcMar>
          </w:tcPr>
          <w:p w14:paraId="5BECFCB8" w14:textId="77777777" w:rsidR="002F7564" w:rsidRDefault="002F7564">
            <w:pPr>
              <w:widowControl w:val="0"/>
              <w:pBdr>
                <w:top w:val="nil"/>
                <w:left w:val="nil"/>
                <w:bottom w:val="nil"/>
                <w:right w:val="nil"/>
                <w:between w:val="nil"/>
              </w:pBdr>
              <w:jc w:val="center"/>
              <w:rPr>
                <w:rFonts w:ascii="Source Sans Pro" w:eastAsia="Source Sans Pro" w:hAnsi="Source Sans Pro" w:cs="Source Sans Pro"/>
                <w:b/>
                <w:color w:val="FFFFFF"/>
              </w:rPr>
            </w:pPr>
          </w:p>
          <w:p w14:paraId="2DA81741"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b/>
                <w:color w:val="FFFFFF"/>
                <w:sz w:val="28"/>
                <w:szCs w:val="28"/>
              </w:rPr>
            </w:pPr>
            <w:r>
              <w:rPr>
                <w:rFonts w:ascii="Source Sans Pro" w:eastAsia="Source Sans Pro" w:hAnsi="Source Sans Pro" w:cs="Source Sans Pro"/>
                <w:b/>
                <w:color w:val="FFFFFF"/>
                <w:sz w:val="28"/>
                <w:szCs w:val="28"/>
              </w:rPr>
              <w:t>Strategija razvoja Urbanog područja Koprivnica za razdoblje 2021.-2027.</w:t>
            </w:r>
          </w:p>
          <w:p w14:paraId="2490EE7C" w14:textId="77777777" w:rsidR="002F7564" w:rsidRDefault="002F7564">
            <w:pPr>
              <w:widowControl w:val="0"/>
              <w:pBdr>
                <w:top w:val="nil"/>
                <w:left w:val="nil"/>
                <w:bottom w:val="nil"/>
                <w:right w:val="nil"/>
                <w:between w:val="nil"/>
              </w:pBdr>
              <w:jc w:val="center"/>
              <w:rPr>
                <w:rFonts w:ascii="Source Sans Pro" w:eastAsia="Source Sans Pro" w:hAnsi="Source Sans Pro" w:cs="Source Sans Pro"/>
                <w:b/>
                <w:color w:val="FFFFFF"/>
              </w:rPr>
            </w:pPr>
          </w:p>
        </w:tc>
      </w:tr>
    </w:tbl>
    <w:p w14:paraId="629AA1BF" w14:textId="77777777" w:rsidR="002F7564" w:rsidRDefault="00000000">
      <w:pPr>
        <w:jc w:val="center"/>
        <w:rPr>
          <w:rFonts w:ascii="Source Sans Pro" w:eastAsia="Source Sans Pro" w:hAnsi="Source Sans Pro" w:cs="Source Sans Pro"/>
          <w:b/>
        </w:rPr>
      </w:pPr>
      <w:r>
        <w:rPr>
          <w:rFonts w:ascii="Arial Unicode MS" w:eastAsia="Arial Unicode MS" w:hAnsi="Arial Unicode MS" w:cs="Arial Unicode MS"/>
          <w:b/>
        </w:rPr>
        <w:t>↑</w:t>
      </w:r>
    </w:p>
    <w:tbl>
      <w:tblPr>
        <w:tblStyle w:val="a8"/>
        <w:tblW w:w="9060" w:type="dxa"/>
        <w:tblInd w:w="-40"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Look w:val="0600" w:firstRow="0" w:lastRow="0" w:firstColumn="0" w:lastColumn="0" w:noHBand="1" w:noVBand="1"/>
      </w:tblPr>
      <w:tblGrid>
        <w:gridCol w:w="9060"/>
      </w:tblGrid>
      <w:tr w:rsidR="002F7564" w14:paraId="556A54D8" w14:textId="77777777">
        <w:trPr>
          <w:trHeight w:val="420"/>
        </w:trPr>
        <w:tc>
          <w:tcPr>
            <w:tcW w:w="9060" w:type="dxa"/>
            <w:tcBorders>
              <w:right w:val="single" w:sz="8" w:space="0" w:color="FFFFFF"/>
            </w:tcBorders>
            <w:shd w:val="clear" w:color="auto" w:fill="7CA361"/>
            <w:tcMar>
              <w:top w:w="100" w:type="dxa"/>
              <w:left w:w="100" w:type="dxa"/>
              <w:bottom w:w="100" w:type="dxa"/>
              <w:right w:w="100" w:type="dxa"/>
            </w:tcMar>
          </w:tcPr>
          <w:p w14:paraId="613BFD1E"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Provedbeni programi JLS (2021.-2024.)</w:t>
            </w:r>
          </w:p>
        </w:tc>
      </w:tr>
    </w:tbl>
    <w:p w14:paraId="6B45C05A" w14:textId="77777777" w:rsidR="002F7564" w:rsidRDefault="00000000">
      <w:pPr>
        <w:jc w:val="center"/>
        <w:rPr>
          <w:rFonts w:ascii="Source Sans Pro" w:eastAsia="Source Sans Pro" w:hAnsi="Source Sans Pro" w:cs="Source Sans Pro"/>
        </w:rPr>
      </w:pPr>
      <w:r>
        <w:rPr>
          <w:rFonts w:ascii="Arial Unicode MS" w:eastAsia="Arial Unicode MS" w:hAnsi="Arial Unicode MS" w:cs="Arial Unicode MS"/>
          <w:b/>
        </w:rPr>
        <w:t>↑</w:t>
      </w:r>
    </w:p>
    <w:tbl>
      <w:tblPr>
        <w:tblStyle w:val="a9"/>
        <w:tblW w:w="902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29"/>
      </w:tblGrid>
      <w:tr w:rsidR="002F7564" w14:paraId="58670FFF" w14:textId="77777777">
        <w:tc>
          <w:tcPr>
            <w:tcW w:w="9029" w:type="dxa"/>
            <w:shd w:val="clear" w:color="auto" w:fill="D9EAD3"/>
            <w:tcMar>
              <w:top w:w="100" w:type="dxa"/>
              <w:left w:w="100" w:type="dxa"/>
              <w:bottom w:w="100" w:type="dxa"/>
              <w:right w:w="100" w:type="dxa"/>
            </w:tcMar>
          </w:tcPr>
          <w:p w14:paraId="6DF12D63" w14:textId="77777777" w:rsidR="002F7564" w:rsidRDefault="00000000">
            <w:pPr>
              <w:widowControl w:val="0"/>
              <w:spacing w:line="240" w:lineRule="auto"/>
              <w:jc w:val="center"/>
              <w:rPr>
                <w:rFonts w:ascii="Source Sans Pro" w:eastAsia="Source Sans Pro" w:hAnsi="Source Sans Pro" w:cs="Source Sans Pro"/>
              </w:rPr>
            </w:pPr>
            <w:r>
              <w:rPr>
                <w:rFonts w:ascii="Source Sans Pro" w:eastAsia="Source Sans Pro" w:hAnsi="Source Sans Pro" w:cs="Source Sans Pro"/>
              </w:rPr>
              <w:t>Strategija razvoja Grada Koprivnice do 2030.</w:t>
            </w:r>
          </w:p>
        </w:tc>
      </w:tr>
    </w:tbl>
    <w:p w14:paraId="04DD8C2C" w14:textId="77777777" w:rsidR="002F7564" w:rsidRDefault="00000000">
      <w:pPr>
        <w:jc w:val="center"/>
        <w:rPr>
          <w:rFonts w:ascii="Source Sans Pro" w:eastAsia="Source Sans Pro" w:hAnsi="Source Sans Pro" w:cs="Source Sans Pro"/>
        </w:rPr>
      </w:pPr>
      <w:r>
        <w:rPr>
          <w:rFonts w:ascii="Arial Unicode MS" w:eastAsia="Arial Unicode MS" w:hAnsi="Arial Unicode MS" w:cs="Arial Unicode MS"/>
          <w:b/>
        </w:rPr>
        <w:t>↑</w:t>
      </w:r>
    </w:p>
    <w:tbl>
      <w:tblPr>
        <w:tblStyle w:val="aa"/>
        <w:tblW w:w="902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29"/>
      </w:tblGrid>
      <w:tr w:rsidR="002F7564" w14:paraId="23BFD4FB" w14:textId="77777777">
        <w:tc>
          <w:tcPr>
            <w:tcW w:w="9029" w:type="dxa"/>
            <w:shd w:val="clear" w:color="auto" w:fill="D9EAD3"/>
            <w:tcMar>
              <w:top w:w="100" w:type="dxa"/>
              <w:left w:w="100" w:type="dxa"/>
              <w:bottom w:w="100" w:type="dxa"/>
              <w:right w:w="100" w:type="dxa"/>
            </w:tcMar>
          </w:tcPr>
          <w:p w14:paraId="425721FE" w14:textId="77777777" w:rsidR="002F7564" w:rsidRDefault="00000000">
            <w:pPr>
              <w:widowControl w:val="0"/>
              <w:pBdr>
                <w:top w:val="nil"/>
                <w:left w:val="nil"/>
                <w:bottom w:val="nil"/>
                <w:right w:val="nil"/>
                <w:between w:val="nil"/>
              </w:pBdr>
              <w:spacing w:line="240" w:lineRule="auto"/>
              <w:jc w:val="center"/>
              <w:rPr>
                <w:rFonts w:ascii="Source Sans Pro" w:eastAsia="Source Sans Pro" w:hAnsi="Source Sans Pro" w:cs="Source Sans Pro"/>
              </w:rPr>
            </w:pPr>
            <w:r>
              <w:rPr>
                <w:rFonts w:ascii="Source Sans Pro" w:eastAsia="Source Sans Pro" w:hAnsi="Source Sans Pro" w:cs="Source Sans Pro"/>
              </w:rPr>
              <w:t>Akcijski plan energetski i klimatski održivog razvitka (SECAP) Grada Koprivnice</w:t>
            </w:r>
          </w:p>
        </w:tc>
      </w:tr>
      <w:tr w:rsidR="002F7564" w14:paraId="5634521A" w14:textId="77777777">
        <w:tc>
          <w:tcPr>
            <w:tcW w:w="9029" w:type="dxa"/>
            <w:shd w:val="clear" w:color="auto" w:fill="D9EAD3"/>
            <w:tcMar>
              <w:top w:w="100" w:type="dxa"/>
              <w:left w:w="100" w:type="dxa"/>
              <w:bottom w:w="100" w:type="dxa"/>
              <w:right w:w="100" w:type="dxa"/>
            </w:tcMar>
          </w:tcPr>
          <w:p w14:paraId="115A7482" w14:textId="77777777" w:rsidR="002F7564" w:rsidRDefault="00000000">
            <w:pPr>
              <w:jc w:val="center"/>
              <w:rPr>
                <w:rFonts w:ascii="Source Sans Pro" w:eastAsia="Source Sans Pro" w:hAnsi="Source Sans Pro" w:cs="Source Sans Pro"/>
              </w:rPr>
            </w:pPr>
            <w:r>
              <w:rPr>
                <w:rFonts w:ascii="Source Sans Pro" w:eastAsia="Source Sans Pro" w:hAnsi="Source Sans Pro" w:cs="Source Sans Pro"/>
              </w:rPr>
              <w:t>Plan održive mobilnosti Grada Koprivnice - SUMP</w:t>
            </w:r>
          </w:p>
        </w:tc>
      </w:tr>
      <w:tr w:rsidR="002F7564" w14:paraId="6C111113" w14:textId="77777777">
        <w:tc>
          <w:tcPr>
            <w:tcW w:w="9029" w:type="dxa"/>
            <w:shd w:val="clear" w:color="auto" w:fill="D9EAD3"/>
            <w:tcMar>
              <w:top w:w="100" w:type="dxa"/>
              <w:left w:w="100" w:type="dxa"/>
              <w:bottom w:w="100" w:type="dxa"/>
              <w:right w:w="100" w:type="dxa"/>
            </w:tcMar>
          </w:tcPr>
          <w:p w14:paraId="303E9619" w14:textId="77777777" w:rsidR="002F7564" w:rsidRDefault="00000000">
            <w:pPr>
              <w:jc w:val="center"/>
              <w:rPr>
                <w:rFonts w:ascii="Source Sans Pro" w:eastAsia="Source Sans Pro" w:hAnsi="Source Sans Pro" w:cs="Source Sans Pro"/>
              </w:rPr>
            </w:pPr>
            <w:r>
              <w:rPr>
                <w:rFonts w:ascii="Source Sans Pro" w:eastAsia="Source Sans Pro" w:hAnsi="Source Sans Pro" w:cs="Source Sans Pro"/>
              </w:rPr>
              <w:t>Strategija razvoja turizma Grada Koprivnice i okolice do 2025. godine</w:t>
            </w:r>
          </w:p>
        </w:tc>
      </w:tr>
    </w:tbl>
    <w:p w14:paraId="65C8F77E" w14:textId="77777777" w:rsidR="002F7564" w:rsidRDefault="002F7564">
      <w:pPr>
        <w:jc w:val="both"/>
        <w:rPr>
          <w:rFonts w:ascii="Source Sans Pro" w:eastAsia="Source Sans Pro" w:hAnsi="Source Sans Pro" w:cs="Source Sans Pro"/>
        </w:rPr>
      </w:pPr>
    </w:p>
    <w:p w14:paraId="69CB84B2"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U nastavku teksta, opisana je usklađenost i način doprinosa strateškim ciljevima Nacionalne razvojne strategije 2030., tablično prikazana usklađenost s posebnim ciljevima Plana razvoja Koprivničko-križevačke županije za razdoblje 2021.-2027., te opisana usklađenost s relevantnim strateškim dokumentima na razini Europske unije, a koji su vezani uz regionalni i urbani razvoj.</w:t>
      </w:r>
    </w:p>
    <w:p w14:paraId="3FAE9E65" w14:textId="77777777" w:rsidR="002F7564" w:rsidRDefault="002F7564">
      <w:pPr>
        <w:jc w:val="both"/>
        <w:rPr>
          <w:rFonts w:ascii="Source Sans Pro" w:eastAsia="Source Sans Pro" w:hAnsi="Source Sans Pro" w:cs="Source Sans Pro"/>
        </w:rPr>
      </w:pPr>
    </w:p>
    <w:p w14:paraId="28FF5A97" w14:textId="77777777" w:rsidR="002F7564" w:rsidRDefault="002F7564">
      <w:pPr>
        <w:jc w:val="both"/>
        <w:rPr>
          <w:rFonts w:ascii="Source Sans Pro" w:eastAsia="Source Sans Pro" w:hAnsi="Source Sans Pro" w:cs="Source Sans Pro"/>
        </w:rPr>
      </w:pPr>
    </w:p>
    <w:p w14:paraId="67431AC9" w14:textId="77777777" w:rsidR="002F7564" w:rsidRDefault="002F7564">
      <w:pPr>
        <w:jc w:val="both"/>
        <w:rPr>
          <w:rFonts w:ascii="Source Sans Pro" w:eastAsia="Source Sans Pro" w:hAnsi="Source Sans Pro" w:cs="Source Sans Pro"/>
        </w:rPr>
      </w:pPr>
    </w:p>
    <w:p w14:paraId="1467793F" w14:textId="77777777" w:rsidR="002F7564" w:rsidRDefault="002F7564">
      <w:pPr>
        <w:jc w:val="both"/>
        <w:rPr>
          <w:rFonts w:ascii="Source Sans Pro" w:eastAsia="Source Sans Pro" w:hAnsi="Source Sans Pro" w:cs="Source Sans Pro"/>
        </w:rPr>
      </w:pPr>
    </w:p>
    <w:p w14:paraId="60A332C3" w14:textId="77777777" w:rsidR="002F7564" w:rsidRDefault="00000000">
      <w:pPr>
        <w:pStyle w:val="Heading2"/>
        <w:widowControl w:val="0"/>
        <w:spacing w:line="240" w:lineRule="auto"/>
      </w:pPr>
      <w:bookmarkStart w:id="17" w:name="_44sinio" w:colFirst="0" w:colLast="0"/>
      <w:bookmarkEnd w:id="17"/>
      <w:r>
        <w:lastRenderedPageBreak/>
        <w:t>7.1. Nacionalna razvojna strategija 2030.</w:t>
      </w:r>
    </w:p>
    <w:p w14:paraId="6FDF4A9D"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Usklađenost sa Nacionalnom razvojnom strategijom do 2030. prikazana je kroz doprinos razvojnim smjerovima i strateškim ciljevima koji se ostvaruje provedbom SRUP-a.</w:t>
      </w:r>
    </w:p>
    <w:p w14:paraId="643E58D4"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Provedba Strategije razvoja Urbanog područja Koprivnica izravno i neizravno doprinosi razvojnim smjerovima i strateškim ciljevima Nacionalne razvojne strategije, a u tekstu niže prikazana je usklađenost:</w:t>
      </w:r>
    </w:p>
    <w:p w14:paraId="46E29727" w14:textId="77777777" w:rsidR="002F7564" w:rsidRDefault="002F7564">
      <w:pPr>
        <w:jc w:val="both"/>
        <w:rPr>
          <w:rFonts w:ascii="Source Sans Pro" w:eastAsia="Source Sans Pro" w:hAnsi="Source Sans Pro" w:cs="Source Sans Pro"/>
        </w:rPr>
      </w:pPr>
    </w:p>
    <w:p w14:paraId="7DCDA0B6" w14:textId="77777777" w:rsidR="002F7564" w:rsidRDefault="00000000">
      <w:pPr>
        <w:jc w:val="both"/>
        <w:rPr>
          <w:rFonts w:ascii="Source Sans Pro" w:eastAsia="Source Sans Pro" w:hAnsi="Source Sans Pro" w:cs="Source Sans Pro"/>
          <w:b/>
          <w:color w:val="096EB3"/>
        </w:rPr>
      </w:pPr>
      <w:r>
        <w:rPr>
          <w:rFonts w:ascii="Source Sans Pro" w:eastAsia="Source Sans Pro" w:hAnsi="Source Sans Pro" w:cs="Source Sans Pro"/>
          <w:b/>
          <w:color w:val="096EB3"/>
        </w:rPr>
        <w:t>I. Razvojni smjer Održivo gospodarstvo i društvo</w:t>
      </w:r>
    </w:p>
    <w:p w14:paraId="549B5563"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Prvom strateškom cilju </w:t>
      </w:r>
      <w:r>
        <w:rPr>
          <w:rFonts w:ascii="Source Sans Pro" w:eastAsia="Source Sans Pro" w:hAnsi="Source Sans Pro" w:cs="Source Sans Pro"/>
          <w:b/>
        </w:rPr>
        <w:t>Konkurentno i inovativno gospodarstvo</w:t>
      </w:r>
      <w:r>
        <w:rPr>
          <w:rFonts w:ascii="Source Sans Pro" w:eastAsia="Source Sans Pro" w:hAnsi="Source Sans Pro" w:cs="Source Sans Pro"/>
        </w:rPr>
        <w:t>, Strategija razvoja Urbanog područja Koprivnica doprinijet će provedbom posebnog cilja 3.1</w:t>
      </w:r>
      <w:r>
        <w:rPr>
          <w:rFonts w:ascii="Source Sans Pro" w:eastAsia="Source Sans Pro" w:hAnsi="Source Sans Pro" w:cs="Source Sans Pro"/>
          <w:i/>
        </w:rPr>
        <w:t>. Potaknuti nove ideje u razvoju lokalne ekonomije,</w:t>
      </w:r>
      <w:r>
        <w:rPr>
          <w:rFonts w:ascii="Source Sans Pro" w:eastAsia="Source Sans Pro" w:hAnsi="Source Sans Pro" w:cs="Source Sans Pro"/>
        </w:rPr>
        <w:t xml:space="preserve"> u okviru kojeg su planirana ulaganja u infrastrukturu za poduzetništvo dodane vrijednosti i povećanje konkurentnosti poduzetništva. Osim toga, i poseban cilj 4.1. </w:t>
      </w:r>
      <w:r>
        <w:rPr>
          <w:rFonts w:ascii="Source Sans Pro" w:eastAsia="Source Sans Pro" w:hAnsi="Source Sans Pro" w:cs="Source Sans Pro"/>
          <w:i/>
        </w:rPr>
        <w:t>Osigurati raznoliku kulturnu ponudu i pripadajuću infrastrukturu</w:t>
      </w:r>
      <w:r>
        <w:rPr>
          <w:rFonts w:ascii="Source Sans Pro" w:eastAsia="Source Sans Pro" w:hAnsi="Source Sans Pro" w:cs="Source Sans Pro"/>
        </w:rPr>
        <w:t xml:space="preserve"> doprinosi predmetnom strateškom cilju, s obzirom da je poticanje razvoja kulture - kulturnog stvaralaštva, revitalizacije i valorizacija kulturne baštine te poticanje kulturnih i kreativnih industrija također jedan od čimbenika konkurentnog i inovativnog gospodarstva.</w:t>
      </w:r>
    </w:p>
    <w:p w14:paraId="662786C3" w14:textId="77777777" w:rsidR="002F7564" w:rsidRDefault="002F7564">
      <w:pPr>
        <w:jc w:val="both"/>
        <w:rPr>
          <w:rFonts w:ascii="Source Sans Pro" w:eastAsia="Source Sans Pro" w:hAnsi="Source Sans Pro" w:cs="Source Sans Pro"/>
          <w:i/>
        </w:rPr>
      </w:pPr>
    </w:p>
    <w:p w14:paraId="1569D1D7"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Nadalje, drugom strateškom cilju</w:t>
      </w:r>
      <w:r>
        <w:rPr>
          <w:rFonts w:ascii="Source Sans Pro" w:eastAsia="Source Sans Pro" w:hAnsi="Source Sans Pro" w:cs="Source Sans Pro"/>
          <w:b/>
        </w:rPr>
        <w:t xml:space="preserve"> Obrazovani i zaposleni ljudi,</w:t>
      </w:r>
      <w:r>
        <w:rPr>
          <w:rFonts w:ascii="Source Sans Pro" w:eastAsia="Source Sans Pro" w:hAnsi="Source Sans Pro" w:cs="Source Sans Pro"/>
        </w:rPr>
        <w:t xml:space="preserve"> SRUP doprinosi posebnim ciljem 1.1. </w:t>
      </w:r>
      <w:r>
        <w:rPr>
          <w:rFonts w:ascii="Source Sans Pro" w:eastAsia="Source Sans Pro" w:hAnsi="Source Sans Pro" w:cs="Source Sans Pro"/>
          <w:i/>
        </w:rPr>
        <w:t xml:space="preserve">Uspostaviti cjelovit, pristupačan i kvalitetan sustav odgoja i obrazovanja </w:t>
      </w:r>
      <w:r>
        <w:rPr>
          <w:rFonts w:ascii="Source Sans Pro" w:eastAsia="Source Sans Pro" w:hAnsi="Source Sans Pro" w:cs="Source Sans Pro"/>
        </w:rPr>
        <w:t>kojim se planira unaprjeđenje odgojno-obrazovne infrastrukture na svim razinama te prilagodba obrazovnog sustava potrebama tržišta rada.</w:t>
      </w:r>
    </w:p>
    <w:p w14:paraId="17A3E745" w14:textId="77777777" w:rsidR="002F7564" w:rsidRDefault="002F7564">
      <w:pPr>
        <w:jc w:val="both"/>
        <w:rPr>
          <w:rFonts w:ascii="Source Sans Pro" w:eastAsia="Source Sans Pro" w:hAnsi="Source Sans Pro" w:cs="Source Sans Pro"/>
        </w:rPr>
      </w:pPr>
    </w:p>
    <w:p w14:paraId="05EC0475"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Trećem strateškom cilju </w:t>
      </w:r>
      <w:r>
        <w:rPr>
          <w:rFonts w:ascii="Source Sans Pro" w:eastAsia="Source Sans Pro" w:hAnsi="Source Sans Pro" w:cs="Source Sans Pro"/>
          <w:b/>
        </w:rPr>
        <w:t>Učinkovito i djelotvorno pravosuđe, javna uprava i upravljanje državnom imovinom</w:t>
      </w:r>
      <w:r>
        <w:rPr>
          <w:rFonts w:ascii="Source Sans Pro" w:eastAsia="Source Sans Pro" w:hAnsi="Source Sans Pro" w:cs="Source Sans Pro"/>
        </w:rPr>
        <w:t xml:space="preserve">, SRUP doprinosi provedbom posebnog cilja 2.2. </w:t>
      </w:r>
      <w:r>
        <w:rPr>
          <w:rFonts w:ascii="Source Sans Pro" w:eastAsia="Source Sans Pro" w:hAnsi="Source Sans Pro" w:cs="Source Sans Pro"/>
          <w:i/>
        </w:rPr>
        <w:t xml:space="preserve">Pratiti trendove razvoja digitalne povezivosti </w:t>
      </w:r>
      <w:r>
        <w:rPr>
          <w:rFonts w:ascii="Source Sans Pro" w:eastAsia="Source Sans Pro" w:hAnsi="Source Sans Pro" w:cs="Source Sans Pro"/>
        </w:rPr>
        <w:t xml:space="preserve">kojim su planirane daljnje investicije u digitalizaciju javne uprave na lokalnoj razini stvaranje kompetentne, dostupne i učinkovite javne uprave. Neizravan doprinos trećem strateškom cilju ostvaruje se samom formalnom uspostavom Urbanog područja Koprivnica i provedbom integriranih teritorijalnih ulaganja u kojima je ključna uzajamna suradnja jedinica lokalne samouprave i jačanje njihovih institucionalnih veza. </w:t>
      </w:r>
    </w:p>
    <w:p w14:paraId="4A73AD6F" w14:textId="77777777" w:rsidR="002F7564" w:rsidRDefault="002F7564">
      <w:pPr>
        <w:jc w:val="both"/>
        <w:rPr>
          <w:rFonts w:ascii="Source Sans Pro" w:eastAsia="Source Sans Pro" w:hAnsi="Source Sans Pro" w:cs="Source Sans Pro"/>
        </w:rPr>
      </w:pPr>
    </w:p>
    <w:p w14:paraId="52D14640"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Četvrtom strateškom cilju </w:t>
      </w:r>
      <w:r>
        <w:rPr>
          <w:rFonts w:ascii="Source Sans Pro" w:eastAsia="Source Sans Pro" w:hAnsi="Source Sans Pro" w:cs="Source Sans Pro"/>
          <w:b/>
        </w:rPr>
        <w:t>Globalna prepoznatljivost i jačanje međunarodnog položaja i uloge Hrvatske</w:t>
      </w:r>
      <w:r>
        <w:rPr>
          <w:rFonts w:ascii="Source Sans Pro" w:eastAsia="Source Sans Pro" w:hAnsi="Source Sans Pro" w:cs="Source Sans Pro"/>
          <w:b/>
          <w:color w:val="096EB3"/>
        </w:rPr>
        <w:t xml:space="preserve"> </w:t>
      </w:r>
      <w:r>
        <w:rPr>
          <w:rFonts w:ascii="Source Sans Pro" w:eastAsia="Source Sans Pro" w:hAnsi="Source Sans Pro" w:cs="Source Sans Pro"/>
        </w:rPr>
        <w:t xml:space="preserve">provedba SRUP-a doprinosi u kontekstu jačanja međunarodnog položaja Hrvatske valorizacijom geostratrateškog položaja u idućem razdoblju, prije svega vezano uz dogradnju i modernizaciju dvotračne pruge Rijeka-Budimpešta, odnosno Mediteranskog koridora, koji prolazi Urbanim područjem, čime će Hrvatska postati važnom uvozno-izvoznom točkom za tranzit roba iz drugih dijelova svijeta na tržište srednje Europe i obrnuto. U strateškom okviru SRUP-a, predmetna investicija pozicionirana je u okviru posebnog cilja 2.1. </w:t>
      </w:r>
      <w:r>
        <w:rPr>
          <w:rFonts w:ascii="Source Sans Pro" w:eastAsia="Source Sans Pro" w:hAnsi="Source Sans Pro" w:cs="Source Sans Pro"/>
          <w:i/>
        </w:rPr>
        <w:t>Uspostaviti održiv sustav prijevoza</w:t>
      </w:r>
      <w:r>
        <w:rPr>
          <w:rFonts w:ascii="Source Sans Pro" w:eastAsia="Source Sans Pro" w:hAnsi="Source Sans Pro" w:cs="Source Sans Pro"/>
        </w:rPr>
        <w:t xml:space="preserve">. </w:t>
      </w:r>
    </w:p>
    <w:p w14:paraId="4180F7AA" w14:textId="77777777" w:rsidR="002F7564" w:rsidRDefault="002F7564">
      <w:pPr>
        <w:jc w:val="both"/>
        <w:rPr>
          <w:rFonts w:ascii="Source Sans Pro" w:eastAsia="Source Sans Pro" w:hAnsi="Source Sans Pro" w:cs="Source Sans Pro"/>
        </w:rPr>
      </w:pPr>
    </w:p>
    <w:p w14:paraId="0BAA1C9D"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b/>
          <w:color w:val="096EB3"/>
        </w:rPr>
        <w:t xml:space="preserve">II. Razvojni smjer Jačanje otpornosti na krize </w:t>
      </w:r>
    </w:p>
    <w:p w14:paraId="18185D13"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Petom strateškom cilju </w:t>
      </w:r>
      <w:r>
        <w:rPr>
          <w:rFonts w:ascii="Source Sans Pro" w:eastAsia="Source Sans Pro" w:hAnsi="Source Sans Pro" w:cs="Source Sans Pro"/>
          <w:b/>
        </w:rPr>
        <w:t>Zdrav, aktivan i kvalitetan život</w:t>
      </w:r>
      <w:r>
        <w:rPr>
          <w:rFonts w:ascii="Source Sans Pro" w:eastAsia="Source Sans Pro" w:hAnsi="Source Sans Pro" w:cs="Source Sans Pro"/>
          <w:b/>
          <w:color w:val="096EB3"/>
        </w:rPr>
        <w:t xml:space="preserve"> </w:t>
      </w:r>
      <w:r>
        <w:rPr>
          <w:rFonts w:ascii="Source Sans Pro" w:eastAsia="Source Sans Pro" w:hAnsi="Source Sans Pro" w:cs="Source Sans Pro"/>
        </w:rPr>
        <w:t xml:space="preserve">SRUP doprinosi kroz dva posebna cilja: </w:t>
      </w:r>
      <w:r>
        <w:rPr>
          <w:rFonts w:ascii="Source Sans Pro" w:eastAsia="Source Sans Pro" w:hAnsi="Source Sans Pro" w:cs="Source Sans Pro"/>
          <w:i/>
        </w:rPr>
        <w:t>1.3. Ojačati društvenu inkluziju i skrb za stanovnike</w:t>
      </w:r>
      <w:r>
        <w:rPr>
          <w:rFonts w:ascii="Source Sans Pro" w:eastAsia="Source Sans Pro" w:hAnsi="Source Sans Pro" w:cs="Source Sans Pro"/>
        </w:rPr>
        <w:t xml:space="preserve"> u okviru kojeg su planirane aktivnosti unaprjeđenja zdravstvene i socijalne zaštite stanovnika, te posebnim ciljem </w:t>
      </w:r>
      <w:r>
        <w:rPr>
          <w:rFonts w:ascii="Source Sans Pro" w:eastAsia="Source Sans Pro" w:hAnsi="Source Sans Pro" w:cs="Source Sans Pro"/>
          <w:i/>
        </w:rPr>
        <w:t xml:space="preserve">4.2. Osigurati </w:t>
      </w:r>
      <w:r>
        <w:rPr>
          <w:rFonts w:ascii="Source Sans Pro" w:eastAsia="Source Sans Pro" w:hAnsi="Source Sans Pro" w:cs="Source Sans Pro"/>
          <w:i/>
        </w:rPr>
        <w:lastRenderedPageBreak/>
        <w:t xml:space="preserve">dostupnost sportskih sadržaja </w:t>
      </w:r>
      <w:r>
        <w:rPr>
          <w:rFonts w:ascii="Source Sans Pro" w:eastAsia="Source Sans Pro" w:hAnsi="Source Sans Pro" w:cs="Source Sans Pro"/>
        </w:rPr>
        <w:t>čija je svrha unaprjeđenje sportsko-rekreacijske infrastrukture i ravnomjerni razvoj sportskih sadržaja.</w:t>
      </w:r>
    </w:p>
    <w:p w14:paraId="79B7518E" w14:textId="77777777" w:rsidR="002F7564" w:rsidRDefault="002F7564">
      <w:pPr>
        <w:jc w:val="both"/>
        <w:rPr>
          <w:rFonts w:ascii="Source Sans Pro" w:eastAsia="Source Sans Pro" w:hAnsi="Source Sans Pro" w:cs="Source Sans Pro"/>
          <w:b/>
          <w:color w:val="096EB3"/>
        </w:rPr>
      </w:pPr>
    </w:p>
    <w:p w14:paraId="08C0A282"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b/>
        </w:rPr>
        <w:t>Demografska revitalizacija i bolji položaj obitelji</w:t>
      </w:r>
      <w:r>
        <w:rPr>
          <w:rFonts w:ascii="Source Sans Pro" w:eastAsia="Source Sans Pro" w:hAnsi="Source Sans Pro" w:cs="Source Sans Pro"/>
        </w:rPr>
        <w:t>, šesti</w:t>
      </w:r>
      <w:r>
        <w:rPr>
          <w:rFonts w:ascii="Source Sans Pro" w:eastAsia="Source Sans Pro" w:hAnsi="Source Sans Pro" w:cs="Source Sans Pro"/>
          <w:color w:val="096EB3"/>
        </w:rPr>
        <w:t xml:space="preserve"> </w:t>
      </w:r>
      <w:r>
        <w:rPr>
          <w:rFonts w:ascii="Source Sans Pro" w:eastAsia="Source Sans Pro" w:hAnsi="Source Sans Pro" w:cs="Source Sans Pro"/>
        </w:rPr>
        <w:t>strateški cilj Nacionalne razvojne strategije u potpunosti je usklađen s posebnim ciljem 1.2. SRUP-a</w:t>
      </w:r>
      <w:r>
        <w:rPr>
          <w:rFonts w:ascii="Source Sans Pro" w:eastAsia="Source Sans Pro" w:hAnsi="Source Sans Pro" w:cs="Source Sans Pro"/>
          <w:i/>
        </w:rPr>
        <w:t xml:space="preserve"> Potaknuti demografsku revitalizaciju</w:t>
      </w:r>
      <w:r>
        <w:rPr>
          <w:rFonts w:ascii="Source Sans Pro" w:eastAsia="Source Sans Pro" w:hAnsi="Source Sans Pro" w:cs="Source Sans Pro"/>
        </w:rPr>
        <w:t xml:space="preserve"> i usmjeren na ublažavanje negativnih demografskih trendova i stvaranje poticajnog okruženja za mlade obitelji. </w:t>
      </w:r>
    </w:p>
    <w:p w14:paraId="61271AAF" w14:textId="77777777" w:rsidR="002F7564" w:rsidRDefault="002F7564">
      <w:pPr>
        <w:jc w:val="both"/>
        <w:rPr>
          <w:rFonts w:ascii="Source Sans Pro" w:eastAsia="Source Sans Pro" w:hAnsi="Source Sans Pro" w:cs="Source Sans Pro"/>
          <w:b/>
          <w:color w:val="096EB3"/>
        </w:rPr>
      </w:pPr>
    </w:p>
    <w:p w14:paraId="34379406"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b/>
          <w:color w:val="096EB3"/>
        </w:rPr>
        <w:t>III. Razvojni smjer Zelena i digitalna tranzicija</w:t>
      </w:r>
    </w:p>
    <w:p w14:paraId="53368BF6"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Strateškom cilju 8 NRS-a, </w:t>
      </w:r>
      <w:r>
        <w:rPr>
          <w:rFonts w:ascii="Source Sans Pro" w:eastAsia="Source Sans Pro" w:hAnsi="Source Sans Pro" w:cs="Source Sans Pro"/>
          <w:b/>
        </w:rPr>
        <w:t>Ekološka i energetska tranzicija za klimatsku neutralnost</w:t>
      </w:r>
      <w:r>
        <w:rPr>
          <w:rFonts w:ascii="Source Sans Pro" w:eastAsia="Source Sans Pro" w:hAnsi="Source Sans Pro" w:cs="Source Sans Pro"/>
          <w:b/>
          <w:color w:val="096EB3"/>
        </w:rPr>
        <w:t xml:space="preserve"> </w:t>
      </w:r>
      <w:r>
        <w:rPr>
          <w:rFonts w:ascii="Source Sans Pro" w:eastAsia="Source Sans Pro" w:hAnsi="Source Sans Pro" w:cs="Source Sans Pro"/>
        </w:rPr>
        <w:t xml:space="preserve">provedba SRUP-a doprinosi realizacijom posebnog cilja 2.3. </w:t>
      </w:r>
      <w:r>
        <w:rPr>
          <w:rFonts w:ascii="Source Sans Pro" w:eastAsia="Source Sans Pro" w:hAnsi="Source Sans Pro" w:cs="Source Sans Pro"/>
          <w:i/>
        </w:rPr>
        <w:t xml:space="preserve">Unaprijediti infrastrukturne sustave i uspostaviti cjelovit sustav gospodarenja otpadom, </w:t>
      </w:r>
      <w:r>
        <w:rPr>
          <w:rFonts w:ascii="Source Sans Pro" w:eastAsia="Source Sans Pro" w:hAnsi="Source Sans Pro" w:cs="Source Sans Pro"/>
        </w:rPr>
        <w:t xml:space="preserve">te posebnim ciljem 3.2. </w:t>
      </w:r>
      <w:r>
        <w:rPr>
          <w:rFonts w:ascii="Source Sans Pro" w:eastAsia="Source Sans Pro" w:hAnsi="Source Sans Pro" w:cs="Source Sans Pro"/>
          <w:i/>
        </w:rPr>
        <w:t xml:space="preserve">Pratiti trendove zelenog i održivog razvoja </w:t>
      </w:r>
      <w:r>
        <w:rPr>
          <w:rFonts w:ascii="Source Sans Pro" w:eastAsia="Source Sans Pro" w:hAnsi="Source Sans Pro" w:cs="Source Sans Pro"/>
        </w:rPr>
        <w:t xml:space="preserve">u okviru kojih je planirano sustavno gospodarenje otpadom i izgradnja funkcionalne i zelene infrastrukture na cijelom Urbanom području, te općenito ulaganje u ekološku i energetsku tranziciju i povećanje kvalitete urbanog okoliša. </w:t>
      </w:r>
    </w:p>
    <w:p w14:paraId="6EA437C7" w14:textId="77777777" w:rsidR="002F7564" w:rsidRDefault="002F7564">
      <w:pPr>
        <w:jc w:val="both"/>
        <w:rPr>
          <w:rFonts w:ascii="Source Sans Pro" w:eastAsia="Source Sans Pro" w:hAnsi="Source Sans Pro" w:cs="Source Sans Pro"/>
          <w:i/>
        </w:rPr>
      </w:pPr>
    </w:p>
    <w:p w14:paraId="2CFCBE36"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Strategija razvoja Urbanog područja Koprivnica strateškom cilju 9 NRS-a</w:t>
      </w:r>
      <w:r>
        <w:rPr>
          <w:rFonts w:ascii="Source Sans Pro" w:eastAsia="Source Sans Pro" w:hAnsi="Source Sans Pro" w:cs="Source Sans Pro"/>
          <w:b/>
        </w:rPr>
        <w:t xml:space="preserve"> Samodostatnost u hrani i razvoj biogospodarstva</w:t>
      </w:r>
      <w:r>
        <w:rPr>
          <w:rFonts w:ascii="Source Sans Pro" w:eastAsia="Source Sans Pro" w:hAnsi="Source Sans Pro" w:cs="Source Sans Pro"/>
          <w:b/>
          <w:color w:val="096EB3"/>
        </w:rPr>
        <w:t xml:space="preserve"> </w:t>
      </w:r>
      <w:r>
        <w:rPr>
          <w:rFonts w:ascii="Source Sans Pro" w:eastAsia="Source Sans Pro" w:hAnsi="Source Sans Pro" w:cs="Source Sans Pro"/>
        </w:rPr>
        <w:t xml:space="preserve">doprinosi kroz poseban cilj </w:t>
      </w:r>
      <w:r>
        <w:rPr>
          <w:rFonts w:ascii="Source Sans Pro" w:eastAsia="Source Sans Pro" w:hAnsi="Source Sans Pro" w:cs="Source Sans Pro"/>
          <w:i/>
        </w:rPr>
        <w:t xml:space="preserve">3.1. Potaknuti nove ideje u razvoju lokalne ekonomije </w:t>
      </w:r>
      <w:r>
        <w:rPr>
          <w:rFonts w:ascii="Source Sans Pro" w:eastAsia="Source Sans Pro" w:hAnsi="Source Sans Pro" w:cs="Source Sans Pro"/>
        </w:rPr>
        <w:t>gdje su u kontekstu povećanja konkurentnosti poduzetništva planirane aktivnosti usmjerene na razvoj  poljoprivrede.</w:t>
      </w:r>
    </w:p>
    <w:p w14:paraId="7719ED43" w14:textId="77777777" w:rsidR="002F7564" w:rsidRDefault="002F7564">
      <w:pPr>
        <w:jc w:val="both"/>
        <w:rPr>
          <w:rFonts w:ascii="Source Sans Pro" w:eastAsia="Source Sans Pro" w:hAnsi="Source Sans Pro" w:cs="Source Sans Pro"/>
        </w:rPr>
      </w:pPr>
    </w:p>
    <w:p w14:paraId="38B026C4"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b/>
        </w:rPr>
        <w:t>Održiva mobilnost</w:t>
      </w:r>
      <w:r>
        <w:rPr>
          <w:rFonts w:ascii="Source Sans Pro" w:eastAsia="Source Sans Pro" w:hAnsi="Source Sans Pro" w:cs="Source Sans Pro"/>
        </w:rPr>
        <w:t xml:space="preserve">, deseti strateški cilj Nacionalne razvojne strategije, u fokusu je i Strategije razvoja Urbanog područja Koprivnica i definirano posebni ciljem 2.1. </w:t>
      </w:r>
      <w:r>
        <w:rPr>
          <w:rFonts w:ascii="Source Sans Pro" w:eastAsia="Source Sans Pro" w:hAnsi="Source Sans Pro" w:cs="Source Sans Pro"/>
          <w:i/>
        </w:rPr>
        <w:t xml:space="preserve">Uspostaviti održiv sustav prijevoza </w:t>
      </w:r>
      <w:r>
        <w:rPr>
          <w:rFonts w:ascii="Source Sans Pro" w:eastAsia="Source Sans Pro" w:hAnsi="Source Sans Pro" w:cs="Source Sans Pro"/>
        </w:rPr>
        <w:t xml:space="preserve">u kojem je naglasak na održivoj urbana mobilnosti, ekološki prihvatljivim i alternativnim oblicima prijevoza. </w:t>
      </w:r>
    </w:p>
    <w:p w14:paraId="58CBF7C1" w14:textId="77777777" w:rsidR="002F7564" w:rsidRDefault="002F7564">
      <w:pPr>
        <w:jc w:val="both"/>
        <w:rPr>
          <w:rFonts w:ascii="Source Sans Pro" w:eastAsia="Source Sans Pro" w:hAnsi="Source Sans Pro" w:cs="Source Sans Pro"/>
        </w:rPr>
      </w:pPr>
    </w:p>
    <w:p w14:paraId="23EC9D0D"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Nadalje, poseban cilj 2.2. </w:t>
      </w:r>
      <w:r>
        <w:rPr>
          <w:rFonts w:ascii="Source Sans Pro" w:eastAsia="Source Sans Pro" w:hAnsi="Source Sans Pro" w:cs="Source Sans Pro"/>
          <w:i/>
        </w:rPr>
        <w:t>Pratiti trendove razvoja digitalne povezivosti</w:t>
      </w:r>
      <w:r>
        <w:rPr>
          <w:rFonts w:ascii="Source Sans Pro" w:eastAsia="Source Sans Pro" w:hAnsi="Source Sans Pro" w:cs="Source Sans Pro"/>
        </w:rPr>
        <w:t xml:space="preserve"> usklađen je sa strateškim ciljem 11 NRS-a </w:t>
      </w:r>
      <w:r>
        <w:rPr>
          <w:rFonts w:ascii="Source Sans Pro" w:eastAsia="Source Sans Pro" w:hAnsi="Source Sans Pro" w:cs="Source Sans Pro"/>
          <w:b/>
        </w:rPr>
        <w:t>Digitalna tranzicija društva i gospodarstva</w:t>
      </w:r>
      <w:r>
        <w:rPr>
          <w:rFonts w:ascii="Source Sans Pro" w:eastAsia="Source Sans Pro" w:hAnsi="Source Sans Pro" w:cs="Source Sans Pro"/>
          <w:b/>
          <w:color w:val="096EB3"/>
        </w:rPr>
        <w:t xml:space="preserve"> </w:t>
      </w:r>
      <w:r>
        <w:rPr>
          <w:rFonts w:ascii="Source Sans Pro" w:eastAsia="Source Sans Pro" w:hAnsi="Source Sans Pro" w:cs="Source Sans Pro"/>
        </w:rPr>
        <w:t>gdje je poseban naglasak stavljen na ujednačeni razvoj širokopojasnih elektroničkih komunikacijskih mreža na prostoru cijelog UP Koprivnica.</w:t>
      </w:r>
    </w:p>
    <w:p w14:paraId="4751D1D1" w14:textId="77777777" w:rsidR="002F7564" w:rsidRDefault="002F7564">
      <w:pPr>
        <w:jc w:val="both"/>
        <w:rPr>
          <w:rFonts w:ascii="Source Sans Pro" w:eastAsia="Source Sans Pro" w:hAnsi="Source Sans Pro" w:cs="Source Sans Pro"/>
        </w:rPr>
      </w:pPr>
    </w:p>
    <w:p w14:paraId="28EB0D74"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b/>
          <w:color w:val="096EB3"/>
        </w:rPr>
        <w:t>IV. Razvojni smjer Ravnomjeran regionalni razvoj</w:t>
      </w:r>
      <w:r>
        <w:rPr>
          <w:rFonts w:ascii="Source Sans Pro" w:eastAsia="Source Sans Pro" w:hAnsi="Source Sans Pro" w:cs="Source Sans Pro"/>
        </w:rPr>
        <w:t xml:space="preserve"> </w:t>
      </w:r>
    </w:p>
    <w:p w14:paraId="5C6FDC67"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Provedba SRUP-a doprinijet će strateškom cilju 12 </w:t>
      </w:r>
      <w:r>
        <w:rPr>
          <w:rFonts w:ascii="Source Sans Pro" w:eastAsia="Source Sans Pro" w:hAnsi="Source Sans Pro" w:cs="Source Sans Pro"/>
          <w:b/>
        </w:rPr>
        <w:t>Razvoj potpomognutih područja i područja s razvojnim posebnostima</w:t>
      </w:r>
      <w:r>
        <w:rPr>
          <w:rFonts w:ascii="Source Sans Pro" w:eastAsia="Source Sans Pro" w:hAnsi="Source Sans Pro" w:cs="Source Sans Pro"/>
          <w:b/>
          <w:color w:val="096EB3"/>
        </w:rPr>
        <w:t xml:space="preserve"> </w:t>
      </w:r>
      <w:r>
        <w:rPr>
          <w:rFonts w:ascii="Source Sans Pro" w:eastAsia="Source Sans Pro" w:hAnsi="Source Sans Pro" w:cs="Source Sans Pro"/>
        </w:rPr>
        <w:t>s obzirom da će ulaganjima biti obuhvaćene jedinice lokalne samouprave u II. i III. razvojnoj skupini prema indeksu razvijenosti.</w:t>
      </w:r>
    </w:p>
    <w:p w14:paraId="4A673D46" w14:textId="77777777" w:rsidR="002F7564" w:rsidRDefault="002F7564">
      <w:pPr>
        <w:jc w:val="both"/>
        <w:rPr>
          <w:rFonts w:ascii="Source Sans Pro" w:eastAsia="Source Sans Pro" w:hAnsi="Source Sans Pro" w:cs="Source Sans Pro"/>
        </w:rPr>
      </w:pPr>
    </w:p>
    <w:p w14:paraId="75A688CF"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Završno, s posljednjim strateškim ciljem NRS-a,</w:t>
      </w:r>
      <w:r>
        <w:rPr>
          <w:rFonts w:ascii="Source Sans Pro" w:eastAsia="Source Sans Pro" w:hAnsi="Source Sans Pro" w:cs="Source Sans Pro"/>
          <w:b/>
        </w:rPr>
        <w:t xml:space="preserve"> Jačanje regionalne konkurentnosti,</w:t>
      </w:r>
      <w:r>
        <w:rPr>
          <w:rFonts w:ascii="Source Sans Pro" w:eastAsia="Source Sans Pro" w:hAnsi="Source Sans Pro" w:cs="Source Sans Pro"/>
        </w:rPr>
        <w:t xml:space="preserve"> SRUP je usklađen provedbom posebnih ciljeva </w:t>
      </w:r>
      <w:r>
        <w:rPr>
          <w:rFonts w:ascii="Source Sans Pro" w:eastAsia="Source Sans Pro" w:hAnsi="Source Sans Pro" w:cs="Source Sans Pro"/>
          <w:i/>
        </w:rPr>
        <w:t>2.1. Uspostaviti održiv sustav prijevoza, 2.2. Pratiti trendove razvoja digitalne povezivosti i 3.2. Pratiti trendove zelenog i održivog razvoja</w:t>
      </w:r>
      <w:r>
        <w:rPr>
          <w:rFonts w:ascii="Source Sans Pro" w:eastAsia="Source Sans Pro" w:hAnsi="Source Sans Pro" w:cs="Source Sans Pro"/>
        </w:rPr>
        <w:t>.</w:t>
      </w:r>
    </w:p>
    <w:p w14:paraId="10DB5A00" w14:textId="77777777" w:rsidR="002F7564" w:rsidRDefault="002F7564">
      <w:pPr>
        <w:jc w:val="both"/>
        <w:rPr>
          <w:rFonts w:ascii="Source Sans Pro" w:eastAsia="Source Sans Pro" w:hAnsi="Source Sans Pro" w:cs="Source Sans Pro"/>
        </w:rPr>
      </w:pPr>
    </w:p>
    <w:p w14:paraId="4A185B96" w14:textId="77777777" w:rsidR="002F7564" w:rsidRDefault="002F7564">
      <w:pPr>
        <w:jc w:val="both"/>
        <w:rPr>
          <w:rFonts w:ascii="Source Sans Pro" w:eastAsia="Source Sans Pro" w:hAnsi="Source Sans Pro" w:cs="Source Sans Pro"/>
        </w:rPr>
      </w:pPr>
    </w:p>
    <w:p w14:paraId="237E5C11" w14:textId="77777777" w:rsidR="002F7564" w:rsidRDefault="00000000">
      <w:pPr>
        <w:pStyle w:val="Heading2"/>
      </w:pPr>
      <w:bookmarkStart w:id="18" w:name="_2jxsxqh" w:colFirst="0" w:colLast="0"/>
      <w:bookmarkEnd w:id="18"/>
      <w:r>
        <w:lastRenderedPageBreak/>
        <w:t>7.2. Plan razvoja Koprivničko-križevačke županije za razdoblje 2021.-2027.</w:t>
      </w:r>
    </w:p>
    <w:p w14:paraId="419EB218" w14:textId="77777777" w:rsidR="002F7564" w:rsidRDefault="00000000">
      <w:pPr>
        <w:jc w:val="both"/>
        <w:rPr>
          <w:rFonts w:ascii="Source Sans Pro" w:eastAsia="Source Sans Pro" w:hAnsi="Source Sans Pro" w:cs="Source Sans Pro"/>
          <w:i/>
        </w:rPr>
        <w:sectPr w:rsidR="002F7564">
          <w:headerReference w:type="default" r:id="rId12"/>
          <w:footerReference w:type="default" r:id="rId13"/>
          <w:footerReference w:type="first" r:id="rId14"/>
          <w:pgSz w:w="11909" w:h="16834"/>
          <w:pgMar w:top="1440" w:right="1440" w:bottom="1440" w:left="1440" w:header="720" w:footer="720" w:gutter="0"/>
          <w:pgNumType w:start="0"/>
          <w:cols w:space="720"/>
          <w:titlePg/>
        </w:sectPr>
      </w:pPr>
      <w:r>
        <w:rPr>
          <w:rFonts w:ascii="Source Sans Pro" w:eastAsia="Source Sans Pro" w:hAnsi="Source Sans Pro" w:cs="Source Sans Pro"/>
        </w:rPr>
        <w:t xml:space="preserve">Strategija razvoja Urbanog područja Koprivnica za razdoblje 2021.-2027. usklađena je s Planom razvoja Koprivničko-križevačke županije kao nadređenim strateškim aktom na razini županije. SRUP i Plan razvoja Koprivničko-križevačke županije u definiranim ciljevima gotovo se u potpunosti preklapaju, a distinkcija između akata vidljiva je jedino u okviru prioriteta 1.4. Plinofikacija, u pogledu kojeg na razini Urbanog područja Koprivnica nisu istaknute razvojne potrebe koje bi ukazale na nužnost takve intervencije, te u okviru prioriteta 3.7. Razvoj sustava zaštite i spašavanje za kojeg u SRUP-u nema predviđenih aktivnosti/programa/projekata. Tablica niže prikazuje usklađenost prioriteta javnih politika SRUP-a i ciljeva županijskog Plana razvoja. </w:t>
      </w:r>
    </w:p>
    <w:p w14:paraId="00232C39" w14:textId="77777777" w:rsidR="002F7564" w:rsidRDefault="00000000">
      <w:pPr>
        <w:jc w:val="both"/>
        <w:rPr>
          <w:rFonts w:ascii="Source Sans Pro" w:eastAsia="Source Sans Pro" w:hAnsi="Source Sans Pro" w:cs="Source Sans Pro"/>
          <w:sz w:val="20"/>
          <w:szCs w:val="20"/>
        </w:rPr>
      </w:pPr>
      <w:r>
        <w:rPr>
          <w:rFonts w:ascii="Source Sans Pro" w:eastAsia="Source Sans Pro" w:hAnsi="Source Sans Pro" w:cs="Source Sans Pro"/>
          <w:sz w:val="20"/>
          <w:szCs w:val="20"/>
        </w:rPr>
        <w:lastRenderedPageBreak/>
        <w:t>Tablica 3 Prikaz usklađenosti SRUP-a s Planom razvoja Koprivničko-križevačke županije za razdoblje 2021.-2027.</w:t>
      </w:r>
    </w:p>
    <w:tbl>
      <w:tblPr>
        <w:tblStyle w:val="ab"/>
        <w:tblW w:w="1530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231"/>
        <w:gridCol w:w="4263"/>
        <w:gridCol w:w="578"/>
        <w:gridCol w:w="578"/>
        <w:gridCol w:w="577"/>
        <w:gridCol w:w="577"/>
        <w:gridCol w:w="577"/>
        <w:gridCol w:w="577"/>
        <w:gridCol w:w="577"/>
        <w:gridCol w:w="577"/>
        <w:gridCol w:w="577"/>
        <w:gridCol w:w="577"/>
        <w:gridCol w:w="577"/>
        <w:gridCol w:w="577"/>
        <w:gridCol w:w="577"/>
        <w:gridCol w:w="577"/>
        <w:gridCol w:w="577"/>
        <w:gridCol w:w="577"/>
        <w:gridCol w:w="577"/>
      </w:tblGrid>
      <w:tr w:rsidR="002F7564" w14:paraId="7EA8FF4C" w14:textId="77777777">
        <w:trPr>
          <w:trHeight w:val="450"/>
          <w:jc w:val="center"/>
        </w:trPr>
        <w:tc>
          <w:tcPr>
            <w:tcW w:w="15305" w:type="dxa"/>
            <w:gridSpan w:val="19"/>
            <w:tcBorders>
              <w:top w:val="single" w:sz="6" w:space="0" w:color="FFFFFF"/>
              <w:left w:val="single" w:sz="6" w:space="0" w:color="FFFFFF"/>
              <w:bottom w:val="single" w:sz="6" w:space="0" w:color="FFFFFF"/>
              <w:right w:val="single" w:sz="6" w:space="0" w:color="FFFFFF"/>
            </w:tcBorders>
            <w:shd w:val="clear" w:color="auto" w:fill="096EB3"/>
            <w:tcMar>
              <w:top w:w="0" w:type="dxa"/>
              <w:left w:w="0" w:type="dxa"/>
              <w:bottom w:w="0" w:type="dxa"/>
              <w:right w:w="0" w:type="dxa"/>
            </w:tcMar>
            <w:vAlign w:val="center"/>
          </w:tcPr>
          <w:p w14:paraId="60643097"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Povezanost strateškog okvira s ciljevima iz Plana razvoja Koprivničko-križevačke županije za razdoblje 2021. - 2027. godine</w:t>
            </w:r>
          </w:p>
        </w:tc>
      </w:tr>
      <w:tr w:rsidR="002F7564" w14:paraId="4F5753B7" w14:textId="77777777" w:rsidTr="007A1E4B">
        <w:trPr>
          <w:trHeight w:val="264"/>
          <w:jc w:val="center"/>
        </w:trPr>
        <w:tc>
          <w:tcPr>
            <w:tcW w:w="5494" w:type="dxa"/>
            <w:gridSpan w:val="2"/>
            <w:vMerge w:val="restart"/>
            <w:tcBorders>
              <w:top w:val="single" w:sz="6" w:space="0" w:color="FFFFFF"/>
              <w:left w:val="single" w:sz="6" w:space="0" w:color="FFFFFF"/>
              <w:bottom w:val="single" w:sz="6" w:space="0" w:color="FFFFFF"/>
              <w:right w:val="single" w:sz="6" w:space="0" w:color="FFFFFF"/>
            </w:tcBorders>
            <w:shd w:val="clear" w:color="auto" w:fill="EFEFEF"/>
            <w:tcMar>
              <w:top w:w="0" w:type="dxa"/>
              <w:left w:w="0" w:type="dxa"/>
              <w:bottom w:w="0" w:type="dxa"/>
              <w:right w:w="0" w:type="dxa"/>
            </w:tcMar>
            <w:vAlign w:val="center"/>
          </w:tcPr>
          <w:p w14:paraId="34570B29" w14:textId="77777777" w:rsidR="002F7564" w:rsidRDefault="00000000">
            <w:pPr>
              <w:widowControl w:val="0"/>
              <w:jc w:val="center"/>
              <w:rPr>
                <w:rFonts w:ascii="Source Sans Pro" w:eastAsia="Source Sans Pro" w:hAnsi="Source Sans Pro" w:cs="Source Sans Pro"/>
                <w:b/>
                <w:color w:val="096EB3"/>
                <w:sz w:val="28"/>
                <w:szCs w:val="28"/>
              </w:rPr>
            </w:pPr>
            <w:r>
              <w:rPr>
                <w:rFonts w:ascii="Source Sans Pro" w:eastAsia="Source Sans Pro" w:hAnsi="Source Sans Pro" w:cs="Source Sans Pro"/>
                <w:b/>
                <w:color w:val="096EB3"/>
                <w:sz w:val="28"/>
                <w:szCs w:val="28"/>
              </w:rPr>
              <w:t>Strategija razvoja Urbanog područja Koprivnica 2021. - 2027.</w:t>
            </w:r>
          </w:p>
        </w:tc>
        <w:tc>
          <w:tcPr>
            <w:tcW w:w="9811" w:type="dxa"/>
            <w:gridSpan w:val="17"/>
            <w:tcBorders>
              <w:top w:val="single" w:sz="6" w:space="0" w:color="FFFFFF"/>
              <w:left w:val="single" w:sz="6" w:space="0" w:color="FFFFFF"/>
              <w:bottom w:val="single" w:sz="6" w:space="0" w:color="FFFFFF"/>
              <w:right w:val="single" w:sz="6" w:space="0" w:color="FFFFFF"/>
            </w:tcBorders>
            <w:shd w:val="clear" w:color="auto" w:fill="EFEFEF"/>
            <w:tcMar>
              <w:top w:w="100" w:type="dxa"/>
              <w:left w:w="100" w:type="dxa"/>
              <w:bottom w:w="100" w:type="dxa"/>
              <w:right w:w="100" w:type="dxa"/>
            </w:tcMar>
          </w:tcPr>
          <w:p w14:paraId="0A53E3D0" w14:textId="77777777" w:rsidR="002F7564" w:rsidRDefault="00000000">
            <w:pPr>
              <w:widowControl w:val="0"/>
              <w:jc w:val="center"/>
              <w:rPr>
                <w:rFonts w:ascii="Source Sans Pro" w:eastAsia="Source Sans Pro" w:hAnsi="Source Sans Pro" w:cs="Source Sans Pro"/>
                <w:b/>
                <w:sz w:val="24"/>
                <w:szCs w:val="24"/>
              </w:rPr>
            </w:pPr>
            <w:r>
              <w:rPr>
                <w:rFonts w:ascii="Source Sans Pro" w:eastAsia="Source Sans Pro" w:hAnsi="Source Sans Pro" w:cs="Source Sans Pro"/>
                <w:b/>
                <w:sz w:val="24"/>
                <w:szCs w:val="24"/>
              </w:rPr>
              <w:t>Plan razvoja Koprivničko- županije 2021. - 2027.</w:t>
            </w:r>
          </w:p>
        </w:tc>
      </w:tr>
      <w:tr w:rsidR="002F7564" w14:paraId="34CFDA2A" w14:textId="77777777" w:rsidTr="007A1E4B">
        <w:trPr>
          <w:trHeight w:val="607"/>
          <w:jc w:val="center"/>
        </w:trPr>
        <w:tc>
          <w:tcPr>
            <w:tcW w:w="5494" w:type="dxa"/>
            <w:gridSpan w:val="2"/>
            <w:vMerge/>
            <w:tcBorders>
              <w:top w:val="single" w:sz="6" w:space="0" w:color="FFFFFF"/>
              <w:left w:val="single" w:sz="6" w:space="0" w:color="FFFFFF"/>
              <w:bottom w:val="single" w:sz="6" w:space="0" w:color="FFFFFF"/>
              <w:right w:val="single" w:sz="6" w:space="0" w:color="FFFFFF"/>
            </w:tcBorders>
            <w:shd w:val="clear" w:color="auto" w:fill="EFEFEF"/>
            <w:tcMar>
              <w:top w:w="0" w:type="dxa"/>
              <w:left w:w="0" w:type="dxa"/>
              <w:bottom w:w="0" w:type="dxa"/>
              <w:right w:w="0" w:type="dxa"/>
            </w:tcMar>
            <w:vAlign w:val="center"/>
          </w:tcPr>
          <w:p w14:paraId="64337350" w14:textId="77777777" w:rsidR="002F7564" w:rsidRDefault="002F7564">
            <w:pPr>
              <w:widowControl w:val="0"/>
              <w:pBdr>
                <w:top w:val="nil"/>
                <w:left w:val="nil"/>
                <w:bottom w:val="nil"/>
                <w:right w:val="nil"/>
                <w:between w:val="nil"/>
              </w:pBdr>
              <w:spacing w:line="276" w:lineRule="auto"/>
              <w:rPr>
                <w:rFonts w:ascii="Source Sans Pro" w:eastAsia="Source Sans Pro" w:hAnsi="Source Sans Pro" w:cs="Source Sans Pro"/>
                <w:b/>
                <w:sz w:val="24"/>
                <w:szCs w:val="24"/>
              </w:rPr>
            </w:pPr>
          </w:p>
        </w:tc>
        <w:tc>
          <w:tcPr>
            <w:tcW w:w="2310" w:type="dxa"/>
            <w:gridSpan w:val="4"/>
            <w:tcBorders>
              <w:top w:val="single" w:sz="6" w:space="0" w:color="FFFFFF"/>
              <w:left w:val="single" w:sz="6"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4DBAA1E" w14:textId="77777777" w:rsidR="002F7564" w:rsidRDefault="00000000">
            <w:pPr>
              <w:widowControl w:val="0"/>
              <w:jc w:val="center"/>
              <w:rPr>
                <w:rFonts w:ascii="Source Sans Pro" w:eastAsia="Source Sans Pro" w:hAnsi="Source Sans Pro" w:cs="Source Sans Pro"/>
                <w:b/>
              </w:rPr>
            </w:pPr>
            <w:r>
              <w:rPr>
                <w:rFonts w:ascii="Source Sans Pro" w:eastAsia="Source Sans Pro" w:hAnsi="Source Sans Pro" w:cs="Source Sans Pro"/>
                <w:b/>
              </w:rPr>
              <w:t>Povezanija županija kružnog gospodarstva</w:t>
            </w:r>
          </w:p>
        </w:tc>
        <w:tc>
          <w:tcPr>
            <w:tcW w:w="3462" w:type="dxa"/>
            <w:gridSpan w:val="6"/>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A1A0383" w14:textId="77777777" w:rsidR="002F7564" w:rsidRDefault="00000000">
            <w:pPr>
              <w:widowControl w:val="0"/>
              <w:jc w:val="center"/>
              <w:rPr>
                <w:rFonts w:ascii="Source Sans Pro" w:eastAsia="Source Sans Pro" w:hAnsi="Source Sans Pro" w:cs="Source Sans Pro"/>
                <w:b/>
              </w:rPr>
            </w:pPr>
            <w:r>
              <w:rPr>
                <w:rFonts w:ascii="Source Sans Pro" w:eastAsia="Source Sans Pro" w:hAnsi="Source Sans Pro" w:cs="Source Sans Pro"/>
                <w:b/>
              </w:rPr>
              <w:t>Socijalno osjetljiva županija</w:t>
            </w:r>
          </w:p>
        </w:tc>
        <w:tc>
          <w:tcPr>
            <w:tcW w:w="4039" w:type="dxa"/>
            <w:gridSpan w:val="7"/>
            <w:tcBorders>
              <w:top w:val="single" w:sz="8" w:space="0" w:color="FFFFFF"/>
              <w:left w:val="single" w:sz="8" w:space="0" w:color="FFFFFF"/>
              <w:bottom w:val="single" w:sz="8" w:space="0" w:color="FFFFFF"/>
              <w:right w:val="single" w:sz="8" w:space="0" w:color="FFFFFF"/>
            </w:tcBorders>
            <w:shd w:val="clear" w:color="auto" w:fill="EFEFEF"/>
            <w:vAlign w:val="center"/>
          </w:tcPr>
          <w:p w14:paraId="73057E6C" w14:textId="77777777" w:rsidR="002F7564" w:rsidRDefault="00000000">
            <w:pPr>
              <w:widowControl w:val="0"/>
              <w:jc w:val="center"/>
              <w:rPr>
                <w:rFonts w:ascii="Source Sans Pro" w:eastAsia="Source Sans Pro" w:hAnsi="Source Sans Pro" w:cs="Source Sans Pro"/>
                <w:b/>
              </w:rPr>
            </w:pPr>
            <w:r>
              <w:rPr>
                <w:rFonts w:ascii="Source Sans Pro" w:eastAsia="Source Sans Pro" w:hAnsi="Source Sans Pro" w:cs="Source Sans Pro"/>
                <w:b/>
              </w:rPr>
              <w:t>Pametna i zelena županija</w:t>
            </w:r>
          </w:p>
        </w:tc>
      </w:tr>
      <w:tr w:rsidR="002F7564" w14:paraId="7A033BD4" w14:textId="77777777">
        <w:trPr>
          <w:trHeight w:val="299"/>
          <w:jc w:val="center"/>
        </w:trPr>
        <w:tc>
          <w:tcPr>
            <w:tcW w:w="5494" w:type="dxa"/>
            <w:gridSpan w:val="2"/>
            <w:vMerge/>
            <w:tcBorders>
              <w:top w:val="single" w:sz="6" w:space="0" w:color="FFFFFF"/>
              <w:left w:val="single" w:sz="6" w:space="0" w:color="FFFFFF"/>
              <w:bottom w:val="single" w:sz="6" w:space="0" w:color="FFFFFF"/>
              <w:right w:val="single" w:sz="6" w:space="0" w:color="FFFFFF"/>
            </w:tcBorders>
            <w:shd w:val="clear" w:color="auto" w:fill="EFEFEF"/>
            <w:tcMar>
              <w:top w:w="0" w:type="dxa"/>
              <w:left w:w="0" w:type="dxa"/>
              <w:bottom w:w="0" w:type="dxa"/>
              <w:right w:w="0" w:type="dxa"/>
            </w:tcMar>
            <w:vAlign w:val="center"/>
          </w:tcPr>
          <w:p w14:paraId="24F14A83" w14:textId="77777777" w:rsidR="002F7564" w:rsidRDefault="002F7564">
            <w:pPr>
              <w:widowControl w:val="0"/>
              <w:pBdr>
                <w:top w:val="nil"/>
                <w:left w:val="nil"/>
                <w:bottom w:val="nil"/>
                <w:right w:val="nil"/>
                <w:between w:val="nil"/>
              </w:pBdr>
              <w:spacing w:line="276" w:lineRule="auto"/>
              <w:rPr>
                <w:rFonts w:ascii="Source Sans Pro" w:eastAsia="Source Sans Pro" w:hAnsi="Source Sans Pro" w:cs="Source Sans Pro"/>
                <w:b/>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7C4417B" w14:textId="77777777" w:rsidR="002F7564" w:rsidRDefault="00000000">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 xml:space="preserve"> P1.1.</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F10E6E0" w14:textId="77777777" w:rsidR="002F7564" w:rsidRDefault="00000000">
            <w:pPr>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 xml:space="preserve">P1.2. </w:t>
            </w: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675D506" w14:textId="77777777" w:rsidR="002F7564" w:rsidRDefault="00000000">
            <w:pPr>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P1.3.</w:t>
            </w: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17A231E" w14:textId="77777777" w:rsidR="002F7564" w:rsidRDefault="00000000">
            <w:pPr>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P.1.4.</w:t>
            </w: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5A20ADE" w14:textId="77777777" w:rsidR="002F7564" w:rsidRDefault="00000000">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P2.1.</w:t>
            </w: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487BFBD" w14:textId="77777777" w:rsidR="002F7564" w:rsidRDefault="00000000">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P2.2.</w:t>
            </w: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6D38E61" w14:textId="77777777" w:rsidR="002F7564" w:rsidRDefault="00000000">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P2.3.</w:t>
            </w: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D09D51D" w14:textId="77777777" w:rsidR="002F7564" w:rsidRDefault="00000000">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P2.4.</w:t>
            </w: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D418404" w14:textId="77777777" w:rsidR="002F7564" w:rsidRDefault="00000000">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P2.5.</w:t>
            </w: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572560E" w14:textId="77777777" w:rsidR="002F7564" w:rsidRDefault="00000000">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P2.6.</w:t>
            </w: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3E5C57AA" w14:textId="77777777" w:rsidR="002F7564" w:rsidRDefault="00000000">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P3.1.</w:t>
            </w: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779BE2E8" w14:textId="77777777" w:rsidR="002F7564" w:rsidRDefault="00000000">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P3.2.</w:t>
            </w: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325CC96E" w14:textId="77777777" w:rsidR="002F7564" w:rsidRDefault="00000000">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P3.3.</w:t>
            </w: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CA85136" w14:textId="77777777" w:rsidR="002F7564" w:rsidRDefault="00000000">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P3.4.</w:t>
            </w: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0404CB3" w14:textId="77777777" w:rsidR="002F7564" w:rsidRDefault="00000000">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P3.5.</w:t>
            </w: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DCB3ED3" w14:textId="77777777" w:rsidR="002F7564" w:rsidRDefault="00000000">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P3.6.</w:t>
            </w: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9360FA7" w14:textId="77777777" w:rsidR="002F7564" w:rsidRDefault="00000000">
            <w:pPr>
              <w:widowControl w:val="0"/>
              <w:jc w:val="center"/>
              <w:rPr>
                <w:rFonts w:ascii="Source Sans Pro" w:eastAsia="Source Sans Pro" w:hAnsi="Source Sans Pro" w:cs="Source Sans Pro"/>
                <w:b/>
                <w:sz w:val="14"/>
                <w:szCs w:val="14"/>
              </w:rPr>
            </w:pPr>
            <w:r>
              <w:rPr>
                <w:rFonts w:ascii="Source Sans Pro" w:eastAsia="Source Sans Pro" w:hAnsi="Source Sans Pro" w:cs="Source Sans Pro"/>
                <w:b/>
                <w:sz w:val="14"/>
                <w:szCs w:val="14"/>
              </w:rPr>
              <w:t>P3.7.</w:t>
            </w:r>
          </w:p>
        </w:tc>
      </w:tr>
      <w:tr w:rsidR="002F7564" w14:paraId="2FCA30B1" w14:textId="77777777" w:rsidTr="007A1E4B">
        <w:trPr>
          <w:trHeight w:val="434"/>
          <w:jc w:val="center"/>
        </w:trPr>
        <w:tc>
          <w:tcPr>
            <w:tcW w:w="1231" w:type="dxa"/>
            <w:vMerge w:val="restart"/>
            <w:tcBorders>
              <w:top w:val="single" w:sz="6"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91B1CC3" w14:textId="77777777" w:rsidR="002F7564" w:rsidRDefault="00000000">
            <w:pPr>
              <w:widowControl w:val="0"/>
              <w:jc w:val="center"/>
              <w:rPr>
                <w:rFonts w:ascii="Source Sans Pro" w:eastAsia="Source Sans Pro" w:hAnsi="Source Sans Pro" w:cs="Source Sans Pro"/>
                <w:b/>
                <w:sz w:val="20"/>
                <w:szCs w:val="20"/>
              </w:rPr>
            </w:pPr>
            <w:r>
              <w:rPr>
                <w:rFonts w:ascii="Source Sans Pro" w:eastAsia="Source Sans Pro" w:hAnsi="Source Sans Pro" w:cs="Source Sans Pro"/>
                <w:b/>
                <w:sz w:val="20"/>
                <w:szCs w:val="20"/>
              </w:rPr>
              <w:t>Vitalno područje</w:t>
            </w:r>
          </w:p>
        </w:tc>
        <w:tc>
          <w:tcPr>
            <w:tcW w:w="4263" w:type="dxa"/>
            <w:tcBorders>
              <w:top w:val="single" w:sz="6"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02B62A5" w14:textId="77777777" w:rsidR="002F7564" w:rsidRDefault="00000000">
            <w:pPr>
              <w:rPr>
                <w:rFonts w:ascii="Source Sans Pro" w:eastAsia="Source Sans Pro" w:hAnsi="Source Sans Pro" w:cs="Source Sans Pro"/>
                <w:sz w:val="18"/>
                <w:szCs w:val="18"/>
              </w:rPr>
            </w:pPr>
            <w:r>
              <w:rPr>
                <w:rFonts w:ascii="Source Sans Pro" w:eastAsia="Source Sans Pro" w:hAnsi="Source Sans Pro" w:cs="Source Sans Pro"/>
                <w:sz w:val="18"/>
                <w:szCs w:val="18"/>
              </w:rPr>
              <w:t>Uspostaviti cjelovit, pristupačan i kvalitetan sustav odgoja i obrazovanja</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B742CCF" w14:textId="77777777" w:rsidR="002F7564" w:rsidRDefault="002F7564">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2E7C503" w14:textId="77777777" w:rsidR="002F7564" w:rsidRDefault="002F7564">
            <w:pPr>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07DC654" w14:textId="77777777" w:rsidR="002F7564" w:rsidRDefault="002F7564">
            <w:pPr>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42E4DDE" w14:textId="77777777" w:rsidR="002F7564" w:rsidRDefault="002F7564">
            <w:pPr>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F6E372E"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247D161"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38383EC5"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0CCDECF"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E8CA3D6"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4760D26"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FE364CA"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719E6821"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650DB684"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A1FE1F5"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42C6573"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63CA068"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EE26F06" w14:textId="77777777" w:rsidR="002F7564" w:rsidRDefault="002F7564">
            <w:pPr>
              <w:widowControl w:val="0"/>
              <w:jc w:val="center"/>
              <w:rPr>
                <w:rFonts w:ascii="Source Sans Pro" w:eastAsia="Source Sans Pro" w:hAnsi="Source Sans Pro" w:cs="Source Sans Pro"/>
                <w:b/>
                <w:sz w:val="16"/>
                <w:szCs w:val="16"/>
              </w:rPr>
            </w:pPr>
          </w:p>
        </w:tc>
      </w:tr>
      <w:tr w:rsidR="002F7564" w14:paraId="50F2E1DE" w14:textId="77777777" w:rsidTr="007A1E4B">
        <w:trPr>
          <w:trHeight w:val="331"/>
          <w:jc w:val="center"/>
        </w:trPr>
        <w:tc>
          <w:tcPr>
            <w:tcW w:w="1231" w:type="dxa"/>
            <w:vMerge/>
            <w:tcBorders>
              <w:top w:val="single" w:sz="6"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ABAC546" w14:textId="77777777" w:rsidR="002F7564" w:rsidRDefault="002F7564">
            <w:pPr>
              <w:widowControl w:val="0"/>
              <w:pBdr>
                <w:top w:val="nil"/>
                <w:left w:val="nil"/>
                <w:bottom w:val="nil"/>
                <w:right w:val="nil"/>
                <w:between w:val="nil"/>
              </w:pBdr>
              <w:spacing w:line="276" w:lineRule="auto"/>
              <w:rPr>
                <w:rFonts w:ascii="Source Sans Pro" w:eastAsia="Source Sans Pro" w:hAnsi="Source Sans Pro" w:cs="Source Sans Pro"/>
                <w:b/>
                <w:sz w:val="16"/>
                <w:szCs w:val="16"/>
              </w:rPr>
            </w:pP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A2EF980" w14:textId="77777777" w:rsidR="002F7564" w:rsidRDefault="00000000">
            <w:pPr>
              <w:rPr>
                <w:rFonts w:ascii="Source Sans Pro" w:eastAsia="Source Sans Pro" w:hAnsi="Source Sans Pro" w:cs="Source Sans Pro"/>
                <w:sz w:val="18"/>
                <w:szCs w:val="18"/>
              </w:rPr>
            </w:pPr>
            <w:r>
              <w:rPr>
                <w:rFonts w:ascii="Source Sans Pro" w:eastAsia="Source Sans Pro" w:hAnsi="Source Sans Pro" w:cs="Source Sans Pro"/>
                <w:sz w:val="18"/>
                <w:szCs w:val="18"/>
              </w:rPr>
              <w:t>Potaknuti demografsku revitalizaciju</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7269312" w14:textId="77777777" w:rsidR="002F7564" w:rsidRDefault="002F7564">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DE4DEC7"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043257A"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B01811A"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3C29CBD"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2C03AD6B"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420A289"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308323F"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C7C5183"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84FD207"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79391C4C"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EFF93EF"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DDB0945"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66FF86E9"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73E79998"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6FC4D37"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682AE728" w14:textId="77777777" w:rsidR="002F7564" w:rsidRDefault="002F7564">
            <w:pPr>
              <w:widowControl w:val="0"/>
              <w:jc w:val="center"/>
              <w:rPr>
                <w:rFonts w:ascii="Source Sans Pro" w:eastAsia="Source Sans Pro" w:hAnsi="Source Sans Pro" w:cs="Source Sans Pro"/>
                <w:b/>
                <w:sz w:val="16"/>
                <w:szCs w:val="16"/>
              </w:rPr>
            </w:pPr>
          </w:p>
        </w:tc>
      </w:tr>
      <w:tr w:rsidR="002F7564" w14:paraId="59EE343D" w14:textId="77777777" w:rsidTr="007A1E4B">
        <w:trPr>
          <w:trHeight w:val="353"/>
          <w:jc w:val="center"/>
        </w:trPr>
        <w:tc>
          <w:tcPr>
            <w:tcW w:w="1231" w:type="dxa"/>
            <w:vMerge/>
            <w:tcBorders>
              <w:top w:val="single" w:sz="6"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0CFD08D" w14:textId="77777777" w:rsidR="002F7564" w:rsidRDefault="002F7564">
            <w:pPr>
              <w:widowControl w:val="0"/>
              <w:pBdr>
                <w:top w:val="nil"/>
                <w:left w:val="nil"/>
                <w:bottom w:val="nil"/>
                <w:right w:val="nil"/>
                <w:between w:val="nil"/>
              </w:pBdr>
              <w:spacing w:line="276" w:lineRule="auto"/>
              <w:rPr>
                <w:rFonts w:ascii="Source Sans Pro" w:eastAsia="Source Sans Pro" w:hAnsi="Source Sans Pro" w:cs="Source Sans Pro"/>
                <w:b/>
                <w:sz w:val="16"/>
                <w:szCs w:val="16"/>
              </w:rPr>
            </w:pP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F806EF8" w14:textId="77777777" w:rsidR="002F7564" w:rsidRDefault="00000000">
            <w:pPr>
              <w:rPr>
                <w:rFonts w:ascii="Source Sans Pro" w:eastAsia="Source Sans Pro" w:hAnsi="Source Sans Pro" w:cs="Source Sans Pro"/>
                <w:sz w:val="18"/>
                <w:szCs w:val="18"/>
              </w:rPr>
            </w:pPr>
            <w:r>
              <w:rPr>
                <w:rFonts w:ascii="Source Sans Pro" w:eastAsia="Source Sans Pro" w:hAnsi="Source Sans Pro" w:cs="Source Sans Pro"/>
                <w:sz w:val="18"/>
                <w:szCs w:val="18"/>
              </w:rPr>
              <w:t>Ojačati društvenu inkluziju i skrb za stanovnike</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D2DC6FB" w14:textId="77777777" w:rsidR="002F7564" w:rsidRDefault="002F7564">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0376F6F"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9BAF6E1"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49DCB77"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249350C6"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28E8CC7"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1BB87C1"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4253F2AC"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9917831"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CBCC31F"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0965581"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25AF627"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6A20A2B"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616CC3FC"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4A7911F"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B772A14"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3596169C" w14:textId="77777777" w:rsidR="002F7564" w:rsidRDefault="002F7564">
            <w:pPr>
              <w:widowControl w:val="0"/>
              <w:jc w:val="center"/>
              <w:rPr>
                <w:rFonts w:ascii="Source Sans Pro" w:eastAsia="Source Sans Pro" w:hAnsi="Source Sans Pro" w:cs="Source Sans Pro"/>
                <w:b/>
                <w:sz w:val="16"/>
                <w:szCs w:val="16"/>
              </w:rPr>
            </w:pPr>
          </w:p>
        </w:tc>
      </w:tr>
      <w:tr w:rsidR="002F7564" w14:paraId="13C8FC37" w14:textId="77777777" w:rsidTr="007A1E4B">
        <w:trPr>
          <w:trHeight w:val="347"/>
          <w:jc w:val="center"/>
        </w:trPr>
        <w:tc>
          <w:tcPr>
            <w:tcW w:w="1231" w:type="dxa"/>
            <w:vMerge w:val="restart"/>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256F2A3" w14:textId="77777777" w:rsidR="002F7564" w:rsidRDefault="00000000">
            <w:pPr>
              <w:jc w:val="center"/>
              <w:rPr>
                <w:rFonts w:ascii="Source Sans Pro" w:eastAsia="Source Sans Pro" w:hAnsi="Source Sans Pro" w:cs="Source Sans Pro"/>
                <w:b/>
                <w:sz w:val="20"/>
                <w:szCs w:val="20"/>
              </w:rPr>
            </w:pPr>
            <w:r>
              <w:rPr>
                <w:rFonts w:ascii="Source Sans Pro" w:eastAsia="Source Sans Pro" w:hAnsi="Source Sans Pro" w:cs="Source Sans Pro"/>
                <w:b/>
                <w:sz w:val="20"/>
                <w:szCs w:val="20"/>
              </w:rPr>
              <w:t>Funkcionalno područje</w:t>
            </w: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CA70EF5" w14:textId="77777777" w:rsidR="002F7564" w:rsidRDefault="00000000">
            <w:pPr>
              <w:rPr>
                <w:rFonts w:ascii="Source Sans Pro" w:eastAsia="Source Sans Pro" w:hAnsi="Source Sans Pro" w:cs="Source Sans Pro"/>
                <w:sz w:val="18"/>
                <w:szCs w:val="18"/>
              </w:rPr>
            </w:pPr>
            <w:r>
              <w:rPr>
                <w:rFonts w:ascii="Source Sans Pro" w:eastAsia="Source Sans Pro" w:hAnsi="Source Sans Pro" w:cs="Source Sans Pro"/>
                <w:sz w:val="18"/>
                <w:szCs w:val="18"/>
              </w:rPr>
              <w:t>Uspostaviti održiv sustav prijevoza</w:t>
            </w:r>
          </w:p>
        </w:tc>
        <w:tc>
          <w:tcPr>
            <w:tcW w:w="578"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2FF5D29A" w14:textId="77777777" w:rsidR="002F7564" w:rsidRDefault="002F7564">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49D32B1"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DAE747D"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8B79E20"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73A0CBD"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90783B5"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0547073"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26AC05F"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462D91F"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F306795"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3F02997E"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61C752DC"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36C2A4D4"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643A29DD"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664DCC0"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67586F3"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65C6B98B" w14:textId="77777777" w:rsidR="002F7564" w:rsidRDefault="002F7564">
            <w:pPr>
              <w:widowControl w:val="0"/>
              <w:jc w:val="center"/>
              <w:rPr>
                <w:rFonts w:ascii="Source Sans Pro" w:eastAsia="Source Sans Pro" w:hAnsi="Source Sans Pro" w:cs="Source Sans Pro"/>
                <w:b/>
                <w:sz w:val="16"/>
                <w:szCs w:val="16"/>
              </w:rPr>
            </w:pPr>
          </w:p>
        </w:tc>
      </w:tr>
      <w:tr w:rsidR="002F7564" w14:paraId="7C093118" w14:textId="77777777" w:rsidTr="007A1E4B">
        <w:trPr>
          <w:trHeight w:val="341"/>
          <w:jc w:val="center"/>
        </w:trPr>
        <w:tc>
          <w:tcPr>
            <w:tcW w:w="1231" w:type="dxa"/>
            <w:vMerge/>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08080FB" w14:textId="77777777" w:rsidR="002F7564" w:rsidRDefault="002F7564">
            <w:pPr>
              <w:widowControl w:val="0"/>
              <w:pBdr>
                <w:top w:val="nil"/>
                <w:left w:val="nil"/>
                <w:bottom w:val="nil"/>
                <w:right w:val="nil"/>
                <w:between w:val="nil"/>
              </w:pBdr>
              <w:spacing w:line="276" w:lineRule="auto"/>
              <w:rPr>
                <w:rFonts w:ascii="Source Sans Pro" w:eastAsia="Source Sans Pro" w:hAnsi="Source Sans Pro" w:cs="Source Sans Pro"/>
                <w:b/>
                <w:sz w:val="16"/>
                <w:szCs w:val="16"/>
              </w:rPr>
            </w:pP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CE0DD18" w14:textId="77777777" w:rsidR="002F7564" w:rsidRDefault="00000000">
            <w:pPr>
              <w:rPr>
                <w:rFonts w:ascii="Source Sans Pro" w:eastAsia="Source Sans Pro" w:hAnsi="Source Sans Pro" w:cs="Source Sans Pro"/>
                <w:sz w:val="18"/>
                <w:szCs w:val="18"/>
              </w:rPr>
            </w:pPr>
            <w:r>
              <w:rPr>
                <w:rFonts w:ascii="Source Sans Pro" w:eastAsia="Source Sans Pro" w:hAnsi="Source Sans Pro" w:cs="Source Sans Pro"/>
                <w:sz w:val="18"/>
                <w:szCs w:val="18"/>
              </w:rPr>
              <w:t>Pratiti trendove razvoja digitalne povezivosti</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98EDF99" w14:textId="77777777" w:rsidR="002F7564" w:rsidRDefault="002F7564">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5924D06A"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45C588F"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5BE4EED"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0E6A002"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A953242"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8B5FD64"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8C6E959"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1F2FDA3"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1F904E5"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93DA541"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3CF973D9"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8DE1F60"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C669406"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6495E1B"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7AC06ED"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7D92991F" w14:textId="77777777" w:rsidR="002F7564" w:rsidRDefault="002F7564">
            <w:pPr>
              <w:widowControl w:val="0"/>
              <w:jc w:val="center"/>
              <w:rPr>
                <w:rFonts w:ascii="Source Sans Pro" w:eastAsia="Source Sans Pro" w:hAnsi="Source Sans Pro" w:cs="Source Sans Pro"/>
                <w:b/>
                <w:sz w:val="16"/>
                <w:szCs w:val="16"/>
              </w:rPr>
            </w:pPr>
          </w:p>
        </w:tc>
      </w:tr>
      <w:tr w:rsidR="002F7564" w14:paraId="13453A84" w14:textId="77777777">
        <w:trPr>
          <w:trHeight w:val="270"/>
          <w:jc w:val="center"/>
        </w:trPr>
        <w:tc>
          <w:tcPr>
            <w:tcW w:w="1231" w:type="dxa"/>
            <w:vMerge/>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7AD6939" w14:textId="77777777" w:rsidR="002F7564" w:rsidRDefault="002F7564">
            <w:pPr>
              <w:widowControl w:val="0"/>
              <w:pBdr>
                <w:top w:val="nil"/>
                <w:left w:val="nil"/>
                <w:bottom w:val="nil"/>
                <w:right w:val="nil"/>
                <w:between w:val="nil"/>
              </w:pBdr>
              <w:spacing w:line="276" w:lineRule="auto"/>
              <w:rPr>
                <w:rFonts w:ascii="Source Sans Pro" w:eastAsia="Source Sans Pro" w:hAnsi="Source Sans Pro" w:cs="Source Sans Pro"/>
                <w:b/>
                <w:sz w:val="16"/>
                <w:szCs w:val="16"/>
              </w:rPr>
            </w:pP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2AA5ACB" w14:textId="77777777" w:rsidR="002F7564" w:rsidRDefault="00000000">
            <w:pPr>
              <w:rPr>
                <w:rFonts w:ascii="Source Sans Pro" w:eastAsia="Source Sans Pro" w:hAnsi="Source Sans Pro" w:cs="Source Sans Pro"/>
                <w:sz w:val="18"/>
                <w:szCs w:val="18"/>
              </w:rPr>
            </w:pPr>
            <w:r>
              <w:rPr>
                <w:rFonts w:ascii="Source Sans Pro" w:eastAsia="Source Sans Pro" w:hAnsi="Source Sans Pro" w:cs="Source Sans Pro"/>
                <w:sz w:val="18"/>
                <w:szCs w:val="18"/>
              </w:rPr>
              <w:t>Unaprijediti infrastrukturne sustave i uspostaviti cjelovit sustav za gospodarenje otpadom</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C69E23A" w14:textId="77777777" w:rsidR="002F7564" w:rsidRDefault="002F7564">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518CC07"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2357CCE3"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A5BD79C"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06B6FE3"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4B026D1"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4CDE11E"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941F06D"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1B145BD"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8CD29B7"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71C64B50"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vAlign w:val="center"/>
          </w:tcPr>
          <w:p w14:paraId="5F442363"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vAlign w:val="center"/>
          </w:tcPr>
          <w:p w14:paraId="540E7963"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A539E6F"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4F1EF81"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07DDFE9"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803C264" w14:textId="77777777" w:rsidR="002F7564" w:rsidRDefault="002F7564">
            <w:pPr>
              <w:widowControl w:val="0"/>
              <w:jc w:val="center"/>
              <w:rPr>
                <w:rFonts w:ascii="Source Sans Pro" w:eastAsia="Source Sans Pro" w:hAnsi="Source Sans Pro" w:cs="Source Sans Pro"/>
                <w:b/>
                <w:sz w:val="16"/>
                <w:szCs w:val="16"/>
              </w:rPr>
            </w:pPr>
          </w:p>
        </w:tc>
      </w:tr>
      <w:tr w:rsidR="002F7564" w14:paraId="02A9DD66" w14:textId="77777777" w:rsidTr="007A1E4B">
        <w:trPr>
          <w:trHeight w:val="387"/>
          <w:jc w:val="center"/>
        </w:trPr>
        <w:tc>
          <w:tcPr>
            <w:tcW w:w="1231" w:type="dxa"/>
            <w:vMerge w:val="restart"/>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1E298AB" w14:textId="77777777" w:rsidR="002F7564" w:rsidRDefault="00000000">
            <w:pPr>
              <w:jc w:val="center"/>
              <w:rPr>
                <w:rFonts w:ascii="Source Sans Pro" w:eastAsia="Source Sans Pro" w:hAnsi="Source Sans Pro" w:cs="Source Sans Pro"/>
                <w:b/>
                <w:sz w:val="20"/>
                <w:szCs w:val="20"/>
              </w:rPr>
            </w:pPr>
            <w:r>
              <w:rPr>
                <w:rFonts w:ascii="Source Sans Pro" w:eastAsia="Source Sans Pro" w:hAnsi="Source Sans Pro" w:cs="Source Sans Pro"/>
                <w:b/>
                <w:sz w:val="20"/>
                <w:szCs w:val="20"/>
              </w:rPr>
              <w:t>Razvijeno područje</w:t>
            </w: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D07B33C" w14:textId="77777777" w:rsidR="002F7564" w:rsidRDefault="00000000">
            <w:pPr>
              <w:rPr>
                <w:rFonts w:ascii="Source Sans Pro" w:eastAsia="Source Sans Pro" w:hAnsi="Source Sans Pro" w:cs="Source Sans Pro"/>
                <w:sz w:val="18"/>
                <w:szCs w:val="18"/>
              </w:rPr>
            </w:pPr>
            <w:r>
              <w:rPr>
                <w:rFonts w:ascii="Source Sans Pro" w:eastAsia="Source Sans Pro" w:hAnsi="Source Sans Pro" w:cs="Source Sans Pro"/>
                <w:sz w:val="18"/>
                <w:szCs w:val="18"/>
              </w:rPr>
              <w:t>Potaknuti nove ideje u razvoju lokalne ekonomije</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B73D9D7" w14:textId="77777777" w:rsidR="002F7564" w:rsidRDefault="002F7564">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678ED29"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82F38DA"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6A4DFCE"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E2ACF29"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B5A0BE6"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8872C47"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4BA82B3"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234DDE1"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130B3D6"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vAlign w:val="center"/>
          </w:tcPr>
          <w:p w14:paraId="2470144D"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7AC7959A"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5C327A9"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vAlign w:val="center"/>
          </w:tcPr>
          <w:p w14:paraId="3AD55BD5"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630C143"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3772FABC"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109DE81" w14:textId="77777777" w:rsidR="002F7564" w:rsidRDefault="002F7564">
            <w:pPr>
              <w:widowControl w:val="0"/>
              <w:jc w:val="center"/>
              <w:rPr>
                <w:rFonts w:ascii="Source Sans Pro" w:eastAsia="Source Sans Pro" w:hAnsi="Source Sans Pro" w:cs="Source Sans Pro"/>
                <w:b/>
                <w:sz w:val="16"/>
                <w:szCs w:val="16"/>
              </w:rPr>
            </w:pPr>
          </w:p>
        </w:tc>
      </w:tr>
      <w:tr w:rsidR="002F7564" w14:paraId="4705DC4E" w14:textId="77777777" w:rsidTr="007A1E4B">
        <w:trPr>
          <w:trHeight w:val="339"/>
          <w:jc w:val="center"/>
        </w:trPr>
        <w:tc>
          <w:tcPr>
            <w:tcW w:w="1231" w:type="dxa"/>
            <w:vMerge/>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99F400F" w14:textId="77777777" w:rsidR="002F7564" w:rsidRDefault="002F7564">
            <w:pPr>
              <w:widowControl w:val="0"/>
              <w:pBdr>
                <w:top w:val="nil"/>
                <w:left w:val="nil"/>
                <w:bottom w:val="nil"/>
                <w:right w:val="nil"/>
                <w:between w:val="nil"/>
              </w:pBdr>
              <w:spacing w:line="276" w:lineRule="auto"/>
              <w:rPr>
                <w:rFonts w:ascii="Source Sans Pro" w:eastAsia="Source Sans Pro" w:hAnsi="Source Sans Pro" w:cs="Source Sans Pro"/>
                <w:b/>
                <w:sz w:val="16"/>
                <w:szCs w:val="16"/>
              </w:rPr>
            </w:pP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D696D85" w14:textId="77777777" w:rsidR="002F7564" w:rsidRDefault="00000000">
            <w:pPr>
              <w:rPr>
                <w:rFonts w:ascii="Source Sans Pro" w:eastAsia="Source Sans Pro" w:hAnsi="Source Sans Pro" w:cs="Source Sans Pro"/>
                <w:sz w:val="18"/>
                <w:szCs w:val="18"/>
              </w:rPr>
            </w:pPr>
            <w:r>
              <w:rPr>
                <w:rFonts w:ascii="Source Sans Pro" w:eastAsia="Source Sans Pro" w:hAnsi="Source Sans Pro" w:cs="Source Sans Pro"/>
                <w:sz w:val="18"/>
                <w:szCs w:val="18"/>
              </w:rPr>
              <w:t>Pratiti trendove zelenog i održivog razvoja</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09B71A4" w14:textId="77777777" w:rsidR="002F7564" w:rsidRDefault="002F7564">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66370D3"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FEC3D18"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4F0B809"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1D0DD7B"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4CD719A"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88C0A72"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6F7987A9"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4564CD7"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DCEA40E"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B787FA9"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78C63050"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6638568F"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A5DA290"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vAlign w:val="center"/>
          </w:tcPr>
          <w:p w14:paraId="15323665"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vAlign w:val="center"/>
          </w:tcPr>
          <w:p w14:paraId="425D907D"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A7CF669" w14:textId="77777777" w:rsidR="002F7564" w:rsidRDefault="002F7564">
            <w:pPr>
              <w:widowControl w:val="0"/>
              <w:jc w:val="center"/>
              <w:rPr>
                <w:rFonts w:ascii="Source Sans Pro" w:eastAsia="Source Sans Pro" w:hAnsi="Source Sans Pro" w:cs="Source Sans Pro"/>
                <w:b/>
                <w:sz w:val="16"/>
                <w:szCs w:val="16"/>
              </w:rPr>
            </w:pPr>
          </w:p>
        </w:tc>
      </w:tr>
      <w:tr w:rsidR="002F7564" w14:paraId="1FD09B4D" w14:textId="77777777" w:rsidTr="007A1E4B">
        <w:trPr>
          <w:trHeight w:val="439"/>
          <w:jc w:val="center"/>
        </w:trPr>
        <w:tc>
          <w:tcPr>
            <w:tcW w:w="1231" w:type="dxa"/>
            <w:vMerge w:val="restart"/>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6E18516" w14:textId="77777777" w:rsidR="002F7564" w:rsidRDefault="00000000">
            <w:pPr>
              <w:jc w:val="center"/>
              <w:rPr>
                <w:rFonts w:ascii="Source Sans Pro" w:eastAsia="Source Sans Pro" w:hAnsi="Source Sans Pro" w:cs="Source Sans Pro"/>
                <w:b/>
                <w:sz w:val="20"/>
                <w:szCs w:val="20"/>
              </w:rPr>
            </w:pPr>
            <w:r>
              <w:rPr>
                <w:rFonts w:ascii="Source Sans Pro" w:eastAsia="Source Sans Pro" w:hAnsi="Source Sans Pro" w:cs="Source Sans Pro"/>
                <w:b/>
                <w:sz w:val="20"/>
                <w:szCs w:val="20"/>
              </w:rPr>
              <w:t xml:space="preserve">Sadržajno područje </w:t>
            </w: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4BB7448" w14:textId="77777777" w:rsidR="002F7564" w:rsidRDefault="00000000">
            <w:pPr>
              <w:rPr>
                <w:rFonts w:ascii="Source Sans Pro" w:eastAsia="Source Sans Pro" w:hAnsi="Source Sans Pro" w:cs="Source Sans Pro"/>
                <w:sz w:val="18"/>
                <w:szCs w:val="18"/>
              </w:rPr>
            </w:pPr>
            <w:r>
              <w:rPr>
                <w:rFonts w:ascii="Source Sans Pro" w:eastAsia="Source Sans Pro" w:hAnsi="Source Sans Pro" w:cs="Source Sans Pro"/>
                <w:sz w:val="18"/>
                <w:szCs w:val="18"/>
              </w:rPr>
              <w:t>Osigurati raznoliku kulturnu ponudu i pripadajuću infrastrukturu</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668DF73" w14:textId="77777777" w:rsidR="002F7564" w:rsidRDefault="002F7564">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0510AD4"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70194EDD"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5F36B33"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6644132"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F25E172"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B46BACA"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378B232"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85907B2"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6A892834"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AD84C5A"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6F5DD08"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612D488E"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14568D2"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7ED31614"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302FCA6"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24A317B1" w14:textId="77777777" w:rsidR="002F7564" w:rsidRDefault="002F7564">
            <w:pPr>
              <w:widowControl w:val="0"/>
              <w:jc w:val="center"/>
              <w:rPr>
                <w:rFonts w:ascii="Source Sans Pro" w:eastAsia="Source Sans Pro" w:hAnsi="Source Sans Pro" w:cs="Source Sans Pro"/>
                <w:b/>
                <w:sz w:val="16"/>
                <w:szCs w:val="16"/>
              </w:rPr>
            </w:pPr>
          </w:p>
        </w:tc>
      </w:tr>
      <w:tr w:rsidR="002F7564" w14:paraId="364F5F03" w14:textId="77777777" w:rsidTr="007A1E4B">
        <w:trPr>
          <w:trHeight w:val="193"/>
          <w:jc w:val="center"/>
        </w:trPr>
        <w:tc>
          <w:tcPr>
            <w:tcW w:w="1231" w:type="dxa"/>
            <w:vMerge/>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0E293B8" w14:textId="77777777" w:rsidR="002F7564" w:rsidRDefault="002F7564">
            <w:pPr>
              <w:widowControl w:val="0"/>
              <w:pBdr>
                <w:top w:val="nil"/>
                <w:left w:val="nil"/>
                <w:bottom w:val="nil"/>
                <w:right w:val="nil"/>
                <w:between w:val="nil"/>
              </w:pBdr>
              <w:spacing w:line="276" w:lineRule="auto"/>
              <w:rPr>
                <w:rFonts w:ascii="Source Sans Pro" w:eastAsia="Source Sans Pro" w:hAnsi="Source Sans Pro" w:cs="Source Sans Pro"/>
                <w:b/>
                <w:sz w:val="16"/>
                <w:szCs w:val="16"/>
              </w:rPr>
            </w:pPr>
          </w:p>
        </w:tc>
        <w:tc>
          <w:tcPr>
            <w:tcW w:w="4263"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2F49BCE8" w14:textId="77777777" w:rsidR="002F7564" w:rsidRDefault="00000000">
            <w:pPr>
              <w:rPr>
                <w:rFonts w:ascii="Source Sans Pro" w:eastAsia="Source Sans Pro" w:hAnsi="Source Sans Pro" w:cs="Source Sans Pro"/>
                <w:sz w:val="18"/>
                <w:szCs w:val="18"/>
              </w:rPr>
            </w:pPr>
            <w:r>
              <w:rPr>
                <w:rFonts w:ascii="Source Sans Pro" w:eastAsia="Source Sans Pro" w:hAnsi="Source Sans Pro" w:cs="Source Sans Pro"/>
                <w:sz w:val="18"/>
                <w:szCs w:val="18"/>
              </w:rPr>
              <w:t>Osigurati dostupnost sportskih i ostalih društvenih sadržaja</w:t>
            </w: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AE0D990" w14:textId="77777777" w:rsidR="002F7564" w:rsidRDefault="002F7564">
            <w:pPr>
              <w:widowControl w:val="0"/>
              <w:jc w:val="center"/>
              <w:rPr>
                <w:rFonts w:ascii="Source Sans Pro" w:eastAsia="Source Sans Pro" w:hAnsi="Source Sans Pro" w:cs="Source Sans Pro"/>
                <w:b/>
                <w:sz w:val="16"/>
                <w:szCs w:val="16"/>
              </w:rPr>
            </w:pPr>
          </w:p>
        </w:tc>
        <w:tc>
          <w:tcPr>
            <w:tcW w:w="578"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F073583"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29CD861"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4625C965"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2ABFE76"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0B4DB562"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3F343323"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509AAAF1"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096EB3"/>
            <w:tcMar>
              <w:top w:w="0" w:type="dxa"/>
              <w:left w:w="0" w:type="dxa"/>
              <w:bottom w:w="0" w:type="dxa"/>
              <w:right w:w="0" w:type="dxa"/>
            </w:tcMar>
            <w:vAlign w:val="center"/>
          </w:tcPr>
          <w:p w14:paraId="589CC899"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tcMar>
              <w:top w:w="0" w:type="dxa"/>
              <w:left w:w="0" w:type="dxa"/>
              <w:bottom w:w="0" w:type="dxa"/>
              <w:right w:w="0" w:type="dxa"/>
            </w:tcMar>
            <w:vAlign w:val="center"/>
          </w:tcPr>
          <w:p w14:paraId="11C888C0"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5532E831"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1D0293B8"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06E9AD40"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DA81497"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42AC25E"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376F5E00" w14:textId="77777777" w:rsidR="002F7564" w:rsidRDefault="002F7564">
            <w:pPr>
              <w:widowControl w:val="0"/>
              <w:jc w:val="center"/>
              <w:rPr>
                <w:rFonts w:ascii="Source Sans Pro" w:eastAsia="Source Sans Pro" w:hAnsi="Source Sans Pro" w:cs="Source Sans Pro"/>
                <w:b/>
                <w:sz w:val="16"/>
                <w:szCs w:val="16"/>
              </w:rPr>
            </w:pPr>
          </w:p>
        </w:tc>
        <w:tc>
          <w:tcPr>
            <w:tcW w:w="577" w:type="dxa"/>
            <w:tcBorders>
              <w:top w:val="single" w:sz="8" w:space="0" w:color="FFFFFF"/>
              <w:left w:val="single" w:sz="8" w:space="0" w:color="FFFFFF"/>
              <w:bottom w:val="single" w:sz="8" w:space="0" w:color="FFFFFF"/>
              <w:right w:val="single" w:sz="8" w:space="0" w:color="FFFFFF"/>
            </w:tcBorders>
            <w:shd w:val="clear" w:color="auto" w:fill="EFEFEF"/>
            <w:vAlign w:val="center"/>
          </w:tcPr>
          <w:p w14:paraId="4675F546" w14:textId="77777777" w:rsidR="002F7564" w:rsidRDefault="002F7564">
            <w:pPr>
              <w:widowControl w:val="0"/>
              <w:jc w:val="center"/>
              <w:rPr>
                <w:rFonts w:ascii="Source Sans Pro" w:eastAsia="Source Sans Pro" w:hAnsi="Source Sans Pro" w:cs="Source Sans Pro"/>
                <w:b/>
                <w:sz w:val="16"/>
                <w:szCs w:val="16"/>
              </w:rPr>
            </w:pPr>
          </w:p>
        </w:tc>
      </w:tr>
    </w:tbl>
    <w:p w14:paraId="1DFCD51A" w14:textId="77777777" w:rsidR="002F7564" w:rsidRDefault="00000000">
      <w:pPr>
        <w:jc w:val="both"/>
        <w:rPr>
          <w:rFonts w:ascii="Source Sans Pro" w:eastAsia="Source Sans Pro" w:hAnsi="Source Sans Pro" w:cs="Source Sans Pro"/>
          <w:i/>
          <w:sz w:val="20"/>
          <w:szCs w:val="20"/>
        </w:rPr>
        <w:sectPr w:rsidR="002F7564">
          <w:pgSz w:w="16834" w:h="11909" w:orient="landscape"/>
          <w:pgMar w:top="1440" w:right="1440" w:bottom="1440" w:left="1440" w:header="720" w:footer="720" w:gutter="0"/>
          <w:cols w:space="720"/>
        </w:sectPr>
      </w:pPr>
      <w:r>
        <w:rPr>
          <w:rFonts w:ascii="Source Sans Pro" w:eastAsia="Source Sans Pro" w:hAnsi="Source Sans Pro" w:cs="Source Sans Pro"/>
          <w:i/>
          <w:sz w:val="20"/>
          <w:szCs w:val="20"/>
        </w:rPr>
        <w:t>Izvor: izrada autora</w:t>
      </w:r>
    </w:p>
    <w:p w14:paraId="07880637" w14:textId="77777777" w:rsidR="002F7564" w:rsidRDefault="00000000">
      <w:pPr>
        <w:pStyle w:val="Heading2"/>
      </w:pPr>
      <w:bookmarkStart w:id="19" w:name="_z337ya" w:colFirst="0" w:colLast="0"/>
      <w:bookmarkEnd w:id="19"/>
      <w:r>
        <w:lastRenderedPageBreak/>
        <w:t>7.3. EU strateški dokumenti</w:t>
      </w:r>
    </w:p>
    <w:p w14:paraId="08630F33"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Osim usklađenosti sa nacionalnim strateškim dokumentima hijerarhijski višeg ranga, Strategija razvoja Urbanog područja Koprivnica za razdoblje 2021.-2027. doprinosi relevantnim strateškim aktima na razini Europske unije - Europskom zelenom planu, EU Teritorijalnoj agendi 2030, Urbanoj agendi te Novoj Povelji iz Leipziga.</w:t>
      </w:r>
    </w:p>
    <w:p w14:paraId="5B4AD93D" w14:textId="77777777" w:rsidR="002F7564" w:rsidRDefault="00000000">
      <w:pPr>
        <w:numPr>
          <w:ilvl w:val="0"/>
          <w:numId w:val="4"/>
        </w:numPr>
        <w:jc w:val="both"/>
        <w:rPr>
          <w:rFonts w:ascii="Source Sans Pro" w:eastAsia="Source Sans Pro" w:hAnsi="Source Sans Pro" w:cs="Source Sans Pro"/>
          <w:color w:val="000000"/>
        </w:rPr>
      </w:pPr>
      <w:r>
        <w:rPr>
          <w:rFonts w:ascii="Source Sans Pro" w:eastAsia="Source Sans Pro" w:hAnsi="Source Sans Pro" w:cs="Source Sans Pro"/>
          <w:b/>
          <w:color w:val="000000"/>
        </w:rPr>
        <w:t>Europski zeleni plan</w:t>
      </w:r>
      <w:r>
        <w:rPr>
          <w:rFonts w:ascii="Source Sans Pro" w:eastAsia="Source Sans Pro" w:hAnsi="Source Sans Pro" w:cs="Source Sans Pro"/>
          <w:color w:val="000000"/>
        </w:rPr>
        <w:t xml:space="preserve"> strateški je plan Europske komisije za postizanje klimatske neutralnosti Europske unije do 2050. godine koji predviđa mjera za unaprjeđenje učinkovitosti resursa i tranzicije ka čistom i kružnom gospodarstvom, s ciljem zaustavljanja klimatskih promjena, obnove bioraznolikosti i smanjenja onečišćenja. Predviđene mjere SRUP-a u okviru posebnog cilja </w:t>
      </w:r>
      <w:r>
        <w:rPr>
          <w:rFonts w:ascii="Source Sans Pro" w:eastAsia="Source Sans Pro" w:hAnsi="Source Sans Pro" w:cs="Source Sans Pro"/>
          <w:i/>
          <w:color w:val="000000"/>
        </w:rPr>
        <w:t xml:space="preserve">2.3. Unaprijediti infrastrukturne sustave i uspostaviti cjelovit sustav za gospodarenje otpadom </w:t>
      </w:r>
      <w:r>
        <w:rPr>
          <w:rFonts w:ascii="Source Sans Pro" w:eastAsia="Source Sans Pro" w:hAnsi="Source Sans Pro" w:cs="Source Sans Pro"/>
          <w:color w:val="000000"/>
        </w:rPr>
        <w:t xml:space="preserve">odgovaraju ciljevima zelenog plana u kontekstu sustavnog </w:t>
      </w:r>
      <w:r>
        <w:rPr>
          <w:rFonts w:ascii="Source Sans Pro" w:eastAsia="Source Sans Pro" w:hAnsi="Source Sans Pro" w:cs="Source Sans Pro"/>
        </w:rPr>
        <w:t>gospodarenja</w:t>
      </w:r>
      <w:r>
        <w:rPr>
          <w:rFonts w:ascii="Source Sans Pro" w:eastAsia="Source Sans Pro" w:hAnsi="Source Sans Pro" w:cs="Source Sans Pro"/>
          <w:color w:val="000000"/>
        </w:rPr>
        <w:t xml:space="preserve"> otpadom i izgradnje funkcionalne i zelene infrastrukture, a doprinos SRUP-a Europskom zelenom planu razvidna je i u cilju </w:t>
      </w:r>
      <w:r>
        <w:rPr>
          <w:rFonts w:ascii="Source Sans Pro" w:eastAsia="Source Sans Pro" w:hAnsi="Source Sans Pro" w:cs="Source Sans Pro"/>
          <w:i/>
          <w:color w:val="000000"/>
        </w:rPr>
        <w:t>3.2. Pratiti trendove zelenog i održivog razvoja</w:t>
      </w:r>
      <w:r>
        <w:rPr>
          <w:rFonts w:ascii="Source Sans Pro" w:eastAsia="Source Sans Pro" w:hAnsi="Source Sans Pro" w:cs="Source Sans Pro"/>
          <w:color w:val="000000"/>
        </w:rPr>
        <w:t xml:space="preserve">, u okviru kojeg su planirana ulaganja u ekološku i energetsku tranziciju te povećanje kvalitete urbanog okoliša kroz praćenje i zaštitu okoliša. Osim toga, neizravan doprinos ostvarit će se ulaganjem u poslovnu i kulturnu infrastrukturu, koja su planirana prvenstveno kroz obnovu i prenamjenu postojećih objekata, a manje kroz gradnju novih. </w:t>
      </w:r>
    </w:p>
    <w:p w14:paraId="617CDE76" w14:textId="77777777" w:rsidR="002F7564" w:rsidRDefault="00000000">
      <w:pPr>
        <w:numPr>
          <w:ilvl w:val="0"/>
          <w:numId w:val="4"/>
        </w:numPr>
        <w:jc w:val="both"/>
      </w:pPr>
      <w:r>
        <w:rPr>
          <w:rFonts w:ascii="Source Sans Pro" w:eastAsia="Source Sans Pro" w:hAnsi="Source Sans Pro" w:cs="Source Sans Pro"/>
          <w:b/>
        </w:rPr>
        <w:t>EU Teritorijalna agenda 2030.</w:t>
      </w:r>
      <w:r>
        <w:rPr>
          <w:rFonts w:ascii="Source Sans Pro" w:eastAsia="Source Sans Pro" w:hAnsi="Source Sans Pro" w:cs="Source Sans Pro"/>
        </w:rPr>
        <w:t xml:space="preserve"> strateški je dokument čiji je cilj jačanje teritorijalne kohezije, odnosno osiguravanje uravnoteženog razvoja Unije. Teritorijalna agenda na isti način kao i SRUP prepoznaje izazove koji proizlaze iz nejednake razvijenosti područja - razlike u kvaliteti života, dostupnosti javnih usluga, dinamike tržište rada i gospodarskog razvoja itd. Prioriteti EU Teritorijalne agende 2030 - PRAVEDNA EUROPA koja nudi perspektivu svim mjestima i ljudima i ZELENA EUROPA koja štiti osnovne životne potrebe i oblikuje društvenu koheziju, usklađeni su s prioritetima SRUP-a.</w:t>
      </w:r>
    </w:p>
    <w:p w14:paraId="0E6F44E3" w14:textId="77777777" w:rsidR="002F7564" w:rsidRDefault="00000000">
      <w:pPr>
        <w:numPr>
          <w:ilvl w:val="0"/>
          <w:numId w:val="4"/>
        </w:numPr>
        <w:jc w:val="both"/>
        <w:rPr>
          <w:rFonts w:ascii="Source Sans Pro" w:eastAsia="Source Sans Pro" w:hAnsi="Source Sans Pro" w:cs="Source Sans Pro"/>
        </w:rPr>
      </w:pPr>
      <w:r>
        <w:rPr>
          <w:rFonts w:ascii="Source Sans Pro" w:eastAsia="Source Sans Pro" w:hAnsi="Source Sans Pro" w:cs="Source Sans Pro"/>
          <w:b/>
        </w:rPr>
        <w:t>Urbana agenda</w:t>
      </w:r>
      <w:r>
        <w:rPr>
          <w:rFonts w:ascii="Source Sans Pro" w:eastAsia="Source Sans Pro" w:hAnsi="Source Sans Pro" w:cs="Source Sans Pro"/>
        </w:rPr>
        <w:t xml:space="preserve"> adresira 12 ključnih urbanih izazova, a doprinos SRUP-a izravno se očituje u 8 prepoznatih izazove - u području razvoja poslova i vještina u lokalnom gospodarstvu, rješavanju problematike urbanog stanovanja, održivom korištenju zemlje, razvoju kružne ekonomije, energetskoj tranziciji, klimatskim prilagodbama, digitalnoj tranzicije i urbanoj mobilnosti. </w:t>
      </w:r>
    </w:p>
    <w:p w14:paraId="5DB28125" w14:textId="77777777" w:rsidR="002F7564" w:rsidRDefault="00000000">
      <w:pPr>
        <w:numPr>
          <w:ilvl w:val="0"/>
          <w:numId w:val="4"/>
        </w:numPr>
        <w:jc w:val="both"/>
        <w:rPr>
          <w:rFonts w:ascii="Source Sans Pro" w:eastAsia="Source Sans Pro" w:hAnsi="Source Sans Pro" w:cs="Source Sans Pro"/>
        </w:rPr>
      </w:pPr>
      <w:r>
        <w:rPr>
          <w:rFonts w:ascii="Source Sans Pro" w:eastAsia="Source Sans Pro" w:hAnsi="Source Sans Pro" w:cs="Source Sans Pro"/>
          <w:b/>
        </w:rPr>
        <w:t>Nova Povelja iz Leipziga</w:t>
      </w:r>
      <w:r>
        <w:rPr>
          <w:rFonts w:ascii="Source Sans Pro" w:eastAsia="Source Sans Pro" w:hAnsi="Source Sans Pro" w:cs="Source Sans Pro"/>
        </w:rPr>
        <w:t xml:space="preserve"> strateški je dokument koji usmjerava razvoj europskih urbanih područja i promicanje - integriranog, održivog i urbanog razvoja. Strategija razvoja Urbanog područja Koprivnica u potpunosti je usklađena s Novom Poveljom iz Lepziga s obzirom da oba dokumenta uzimaju u obzir suvremene okolnosti i izazove - klimatske promjene, demografske izazove i gospodarske promjene pri čemu je istaknuta snaga gradova i širenje njihovog utjecaja na bližu okolicu kao integrativni moment i prioritet implementacije održivih rješenja u urbani razvoj. </w:t>
      </w:r>
    </w:p>
    <w:p w14:paraId="241149A0" w14:textId="77777777" w:rsidR="002F7564" w:rsidRDefault="002F7564">
      <w:pPr>
        <w:jc w:val="both"/>
        <w:rPr>
          <w:rFonts w:ascii="Source Sans Pro" w:eastAsia="Source Sans Pro" w:hAnsi="Source Sans Pro" w:cs="Source Sans Pro"/>
        </w:rPr>
      </w:pPr>
    </w:p>
    <w:p w14:paraId="46424927" w14:textId="77777777" w:rsidR="002F7564" w:rsidRDefault="002F7564">
      <w:pPr>
        <w:jc w:val="both"/>
        <w:rPr>
          <w:rFonts w:ascii="Source Sans Pro" w:eastAsia="Source Sans Pro" w:hAnsi="Source Sans Pro" w:cs="Source Sans Pro"/>
        </w:rPr>
      </w:pPr>
    </w:p>
    <w:p w14:paraId="77FD48B0" w14:textId="77777777" w:rsidR="002F7564" w:rsidRDefault="002F7564">
      <w:pPr>
        <w:pStyle w:val="Heading3"/>
        <w:keepNext w:val="0"/>
        <w:keepLines w:val="0"/>
        <w:shd w:val="clear" w:color="auto" w:fill="FFFFFF"/>
        <w:spacing w:before="0" w:after="280" w:line="291" w:lineRule="auto"/>
        <w:rPr>
          <w:color w:val="000000"/>
          <w:sz w:val="22"/>
          <w:szCs w:val="22"/>
        </w:rPr>
      </w:pPr>
      <w:bookmarkStart w:id="20" w:name="_3j2qqm3" w:colFirst="0" w:colLast="0"/>
      <w:bookmarkEnd w:id="20"/>
    </w:p>
    <w:p w14:paraId="4ADA7AE1" w14:textId="77777777" w:rsidR="002F7564" w:rsidRDefault="002F7564">
      <w:pPr>
        <w:jc w:val="both"/>
        <w:rPr>
          <w:rFonts w:ascii="Source Sans Pro" w:eastAsia="Source Sans Pro" w:hAnsi="Source Sans Pro" w:cs="Source Sans Pro"/>
        </w:rPr>
      </w:pPr>
    </w:p>
    <w:p w14:paraId="3AA8D5CB" w14:textId="77777777" w:rsidR="002F7564" w:rsidRDefault="00000000">
      <w:pPr>
        <w:pStyle w:val="Heading1"/>
        <w:ind w:firstLine="720"/>
        <w:jc w:val="both"/>
      </w:pPr>
      <w:bookmarkStart w:id="21" w:name="_1y810tw" w:colFirst="0" w:colLast="0"/>
      <w:bookmarkEnd w:id="21"/>
      <w:r>
        <w:lastRenderedPageBreak/>
        <w:t>8. Opis prioriteta javne politike u srednjoročnom razdoblju</w:t>
      </w:r>
    </w:p>
    <w:p w14:paraId="7A1E8E3B" w14:textId="77777777" w:rsidR="002F7564" w:rsidRDefault="002F7564">
      <w:pPr>
        <w:jc w:val="both"/>
        <w:rPr>
          <w:rFonts w:ascii="Source Sans Pro" w:eastAsia="Source Sans Pro" w:hAnsi="Source Sans Pro" w:cs="Source Sans Pro"/>
        </w:rPr>
      </w:pPr>
    </w:p>
    <w:p w14:paraId="01436433"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Prioriteti javnih politika u idućem srednjoročnom razdoblju proizlaze iz zaključaka analize razvojnih potreba i potencijala. Kao osnovne odrednice budućeg razvoja u strateškom okviru Strategije razvoja Urbanog područja Koprivnica za razdoblje 2021.-2027. definirana su četiri ključna prioriteta javnih politika:</w:t>
      </w:r>
    </w:p>
    <w:p w14:paraId="1167A843" w14:textId="77777777" w:rsidR="002F7564" w:rsidRDefault="00000000">
      <w:pPr>
        <w:numPr>
          <w:ilvl w:val="0"/>
          <w:numId w:val="6"/>
        </w:numPr>
        <w:jc w:val="both"/>
        <w:rPr>
          <w:rFonts w:ascii="Source Sans Pro" w:eastAsia="Source Sans Pro" w:hAnsi="Source Sans Pro" w:cs="Source Sans Pro"/>
          <w:b/>
        </w:rPr>
      </w:pPr>
      <w:r>
        <w:rPr>
          <w:rFonts w:ascii="Source Sans Pro" w:eastAsia="Source Sans Pro" w:hAnsi="Source Sans Pro" w:cs="Source Sans Pro"/>
          <w:b/>
        </w:rPr>
        <w:t xml:space="preserve">vitalno područje, </w:t>
      </w:r>
    </w:p>
    <w:p w14:paraId="50AEBA80" w14:textId="77777777" w:rsidR="002F7564" w:rsidRDefault="00000000">
      <w:pPr>
        <w:numPr>
          <w:ilvl w:val="0"/>
          <w:numId w:val="6"/>
        </w:numPr>
        <w:jc w:val="both"/>
        <w:rPr>
          <w:rFonts w:ascii="Source Sans Pro" w:eastAsia="Source Sans Pro" w:hAnsi="Source Sans Pro" w:cs="Source Sans Pro"/>
          <w:b/>
        </w:rPr>
      </w:pPr>
      <w:r>
        <w:rPr>
          <w:rFonts w:ascii="Source Sans Pro" w:eastAsia="Source Sans Pro" w:hAnsi="Source Sans Pro" w:cs="Source Sans Pro"/>
          <w:b/>
        </w:rPr>
        <w:t>funkcionalno područje,</w:t>
      </w:r>
    </w:p>
    <w:p w14:paraId="5A35B3A0" w14:textId="77777777" w:rsidR="002F7564" w:rsidRDefault="00000000">
      <w:pPr>
        <w:numPr>
          <w:ilvl w:val="0"/>
          <w:numId w:val="6"/>
        </w:numPr>
        <w:jc w:val="both"/>
        <w:rPr>
          <w:rFonts w:ascii="Source Sans Pro" w:eastAsia="Source Sans Pro" w:hAnsi="Source Sans Pro" w:cs="Source Sans Pro"/>
          <w:b/>
        </w:rPr>
      </w:pPr>
      <w:r>
        <w:rPr>
          <w:rFonts w:ascii="Source Sans Pro" w:eastAsia="Source Sans Pro" w:hAnsi="Source Sans Pro" w:cs="Source Sans Pro"/>
          <w:b/>
        </w:rPr>
        <w:t xml:space="preserve">razvijeno područje i </w:t>
      </w:r>
    </w:p>
    <w:p w14:paraId="5938F1AB" w14:textId="77777777" w:rsidR="002F7564" w:rsidRDefault="00000000">
      <w:pPr>
        <w:numPr>
          <w:ilvl w:val="0"/>
          <w:numId w:val="6"/>
        </w:numPr>
        <w:jc w:val="both"/>
        <w:rPr>
          <w:rFonts w:ascii="Source Sans Pro" w:eastAsia="Source Sans Pro" w:hAnsi="Source Sans Pro" w:cs="Source Sans Pro"/>
          <w:b/>
        </w:rPr>
      </w:pPr>
      <w:r>
        <w:rPr>
          <w:rFonts w:ascii="Source Sans Pro" w:eastAsia="Source Sans Pro" w:hAnsi="Source Sans Pro" w:cs="Source Sans Pro"/>
          <w:b/>
        </w:rPr>
        <w:t xml:space="preserve">sadržajno područje. </w:t>
      </w:r>
    </w:p>
    <w:p w14:paraId="789C0037" w14:textId="77777777" w:rsidR="002F7564" w:rsidRDefault="002F7564">
      <w:pPr>
        <w:jc w:val="both"/>
        <w:rPr>
          <w:rFonts w:ascii="Source Sans Pro" w:eastAsia="Source Sans Pro" w:hAnsi="Source Sans Pro" w:cs="Source Sans Pro"/>
        </w:rPr>
      </w:pPr>
    </w:p>
    <w:p w14:paraId="13C128AE"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Prioriteti javnih politika kao provedbe konkretnih aktivnosti koje doprinose rješavanju određenih društvenih problema i izazova, u Urbanom području obuhvaćaju aktivnosti u domeni socijalnih i ekonomskih politika, specifičnih sektorskih politika - energetske politike, vodne politike, prometno-infrastrukturne politike, politike zaštite okoliša te ostalih politika - kulturne i sportske politike. Provedba aktivnosti i ostvarenje posebnih ciljeva koji rješavaju probleme na području UP Koprivnica odnose se na provedbu onih intervencija koje odgovaraju definiranoj zajedničkoj viziji razvoja. </w:t>
      </w:r>
    </w:p>
    <w:p w14:paraId="744267DC"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U nastavku slijedi opis prioriteta javnih politika u srednjoročnom razdoblju, s popisom posebnih ciljeva.</w:t>
      </w:r>
    </w:p>
    <w:p w14:paraId="32975C28" w14:textId="77777777" w:rsidR="002F7564" w:rsidRDefault="002F7564"/>
    <w:tbl>
      <w:tblPr>
        <w:tblStyle w:val="ac"/>
        <w:tblW w:w="9045" w:type="dxa"/>
        <w:tblInd w:w="-5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45"/>
      </w:tblGrid>
      <w:tr w:rsidR="002F7564" w14:paraId="583148E8" w14:textId="77777777">
        <w:tc>
          <w:tcPr>
            <w:tcW w:w="9045" w:type="dxa"/>
            <w:shd w:val="clear" w:color="auto" w:fill="096EB3"/>
            <w:tcMar>
              <w:top w:w="100" w:type="dxa"/>
              <w:left w:w="100" w:type="dxa"/>
              <w:bottom w:w="100" w:type="dxa"/>
              <w:right w:w="100" w:type="dxa"/>
            </w:tcMar>
          </w:tcPr>
          <w:p w14:paraId="73B74079" w14:textId="77777777" w:rsidR="002F7564" w:rsidRDefault="00000000">
            <w:pPr>
              <w:pStyle w:val="Heading2"/>
              <w:spacing w:before="0" w:after="0"/>
              <w:ind w:right="-219"/>
              <w:outlineLvl w:val="1"/>
              <w:rPr>
                <w:color w:val="FFFFFF"/>
                <w:sz w:val="28"/>
                <w:szCs w:val="28"/>
              </w:rPr>
            </w:pPr>
            <w:bookmarkStart w:id="22" w:name="_4i7ojhp" w:colFirst="0" w:colLast="0"/>
            <w:bookmarkEnd w:id="22"/>
            <w:r>
              <w:rPr>
                <w:color w:val="FFFFFF"/>
                <w:sz w:val="28"/>
                <w:szCs w:val="28"/>
              </w:rPr>
              <w:t>8.1. Vitalno područje</w:t>
            </w:r>
          </w:p>
        </w:tc>
      </w:tr>
    </w:tbl>
    <w:p w14:paraId="75C6DC4C" w14:textId="77777777" w:rsidR="002F7564" w:rsidRDefault="00000000">
      <w:pPr>
        <w:jc w:val="both"/>
        <w:rPr>
          <w:rFonts w:ascii="Source Sans Pro" w:eastAsia="Source Sans Pro" w:hAnsi="Source Sans Pro" w:cs="Source Sans Pro"/>
        </w:rPr>
      </w:pPr>
      <w:r>
        <w:rPr>
          <w:noProof/>
        </w:rPr>
        <w:drawing>
          <wp:anchor distT="114300" distB="114300" distL="114300" distR="114300" simplePos="0" relativeHeight="251659264" behindDoc="0" locked="0" layoutInCell="1" hidden="0" allowOverlap="1" wp14:anchorId="44D2C28F" wp14:editId="647EAEE8">
            <wp:simplePos x="0" y="0"/>
            <wp:positionH relativeFrom="column">
              <wp:posOffset>19052</wp:posOffset>
            </wp:positionH>
            <wp:positionV relativeFrom="paragraph">
              <wp:posOffset>220993</wp:posOffset>
            </wp:positionV>
            <wp:extent cx="1933575" cy="1956846"/>
            <wp:effectExtent l="0" t="0" r="0" b="0"/>
            <wp:wrapSquare wrapText="bothSides" distT="114300" distB="114300" distL="114300" distR="11430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5"/>
                    <a:srcRect l="32889" t="25204" r="33388" b="14297"/>
                    <a:stretch>
                      <a:fillRect/>
                    </a:stretch>
                  </pic:blipFill>
                  <pic:spPr>
                    <a:xfrm>
                      <a:off x="0" y="0"/>
                      <a:ext cx="1933575" cy="1956846"/>
                    </a:xfrm>
                    <a:prstGeom prst="rect">
                      <a:avLst/>
                    </a:prstGeom>
                    <a:ln/>
                  </pic:spPr>
                </pic:pic>
              </a:graphicData>
            </a:graphic>
          </wp:anchor>
        </w:drawing>
      </w:r>
    </w:p>
    <w:p w14:paraId="68FE3EA7"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Primarni cilj nadolazećeg razdoblja je Urbano područje Koprivnica učiniti vitalnim područjem - privlačnim za mlade ljude,</w:t>
      </w:r>
      <w:r>
        <w:rPr>
          <w:rFonts w:ascii="Source Sans Pro" w:eastAsia="Source Sans Pro" w:hAnsi="Source Sans Pro" w:cs="Source Sans Pro"/>
          <w:color w:val="FFFF00"/>
        </w:rPr>
        <w:t xml:space="preserve"> </w:t>
      </w:r>
      <w:r>
        <w:rPr>
          <w:rFonts w:ascii="Source Sans Pro" w:eastAsia="Source Sans Pro" w:hAnsi="Source Sans Pro" w:cs="Source Sans Pro"/>
        </w:rPr>
        <w:t>motivirajućim za radno aktivno stanovništvo, sigurnim za stariju populaciju i uključivim za cjelokupno stanovništvo.</w:t>
      </w:r>
    </w:p>
    <w:p w14:paraId="7CB66DFF" w14:textId="77777777" w:rsidR="002F7564" w:rsidRDefault="002F7564">
      <w:pPr>
        <w:jc w:val="both"/>
        <w:rPr>
          <w:rFonts w:ascii="Source Sans Pro" w:eastAsia="Source Sans Pro" w:hAnsi="Source Sans Pro" w:cs="Source Sans Pro"/>
        </w:rPr>
      </w:pPr>
    </w:p>
    <w:p w14:paraId="7DA6CDF6"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Ljudi su osnovna pretpostavka razvoja, pa je i prilagodba sektora odgoja i obrazovanja suvremenim gospodarskim i društvenim trendovima jedan od osnovnih ciljeva. </w:t>
      </w:r>
      <w:r>
        <w:rPr>
          <w:rFonts w:ascii="Source Sans Pro" w:eastAsia="Source Sans Pro" w:hAnsi="Source Sans Pro" w:cs="Source Sans Pro"/>
          <w:b/>
          <w:color w:val="096EB3"/>
        </w:rPr>
        <w:t>Uspostavom cjelovitog, pristupačnog i kvalitetnog sustava odgoja i obrazovanja</w:t>
      </w:r>
      <w:r>
        <w:rPr>
          <w:rFonts w:ascii="Source Sans Pro" w:eastAsia="Source Sans Pro" w:hAnsi="Source Sans Pro" w:cs="Source Sans Pro"/>
        </w:rPr>
        <w:t xml:space="preserve"> osigurat će se njegova (prostorna i financijska) dostupnost na cijelom Urbanom području te podići njegova kvaliteta u vidu prilagodbe potrebama lokalnog tržišta rada. U suvremenim uvjetima digitalizacije gospodarstva navedeno se odnosi na poticanje cjeloživotnog učenja, usavršavanja i prekvalifikacije.</w:t>
      </w:r>
    </w:p>
    <w:p w14:paraId="0338602A" w14:textId="77777777" w:rsidR="002F7564" w:rsidRDefault="002F7564">
      <w:pPr>
        <w:jc w:val="both"/>
        <w:rPr>
          <w:rFonts w:ascii="Source Sans Pro" w:eastAsia="Source Sans Pro" w:hAnsi="Source Sans Pro" w:cs="Source Sans Pro"/>
        </w:rPr>
      </w:pPr>
    </w:p>
    <w:p w14:paraId="24CDE03C"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Kvalitetan i dostupan sustav odgoja i obrazovanja kao potpore obiteljskom životu odnosno usklađivanju poslovnog i obiteljskog života jedna je od mjera koja doprinosi poboljšanju demografske slike područja. </w:t>
      </w:r>
      <w:r>
        <w:rPr>
          <w:rFonts w:ascii="Source Sans Pro" w:eastAsia="Source Sans Pro" w:hAnsi="Source Sans Pro" w:cs="Source Sans Pro"/>
          <w:b/>
          <w:color w:val="096EB3"/>
        </w:rPr>
        <w:t>Potaknuti demografsku revitalizaciju</w:t>
      </w:r>
      <w:r>
        <w:rPr>
          <w:rFonts w:ascii="Source Sans Pro" w:eastAsia="Source Sans Pro" w:hAnsi="Source Sans Pro" w:cs="Source Sans Pro"/>
        </w:rPr>
        <w:t xml:space="preserve"> drugi je cilj koji će omogućiti i stvoriti uistinu vitalno područje. Revitalizacija dobne strukture stanovništva zaustavljanjem emigracijskog trenda i povećanjem prirodnog kretanja stanovništva osigurat će se kroz ulaganja u </w:t>
      </w:r>
      <w:r>
        <w:rPr>
          <w:rFonts w:ascii="Source Sans Pro" w:eastAsia="Source Sans Pro" w:hAnsi="Source Sans Pro" w:cs="Source Sans Pro"/>
        </w:rPr>
        <w:lastRenderedPageBreak/>
        <w:t xml:space="preserve">povećanje stambenog fonda, ali i provedbom cjelovitog seta mjera kojima se lokalno okruženje prilagođava obiteljskom životu. </w:t>
      </w:r>
    </w:p>
    <w:p w14:paraId="09202163" w14:textId="77777777" w:rsidR="002F7564" w:rsidRDefault="002F7564">
      <w:pPr>
        <w:jc w:val="both"/>
        <w:rPr>
          <w:rFonts w:ascii="Source Sans Pro" w:eastAsia="Source Sans Pro" w:hAnsi="Source Sans Pro" w:cs="Source Sans Pro"/>
        </w:rPr>
      </w:pPr>
    </w:p>
    <w:p w14:paraId="30AD974D"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Završno, jedne od ključnih odrednica vitalnog područja jesu </w:t>
      </w:r>
      <w:r>
        <w:rPr>
          <w:rFonts w:ascii="Source Sans Pro" w:eastAsia="Source Sans Pro" w:hAnsi="Source Sans Pro" w:cs="Source Sans Pro"/>
          <w:b/>
          <w:color w:val="096EB3"/>
        </w:rPr>
        <w:t>društvena inkluzija i skrb za stanovnike</w:t>
      </w:r>
      <w:r>
        <w:rPr>
          <w:rFonts w:ascii="Source Sans Pro" w:eastAsia="Source Sans Pro" w:hAnsi="Source Sans Pro" w:cs="Source Sans Pro"/>
        </w:rPr>
        <w:t xml:space="preserve">. Uključivost kao prioritet javnih politika na lokalnoj razini odnosi se na podršku osobama s invaliditetom, nacionalnim manjinama, ali i ostalim društvenim skupinama u riziku od marginalizacije. Jačanje suradnje lokalnih vlasti i civilnog društva pri tome je važna karika, a uloga civilnog društva nužna je ne samo iz perspektive aktiviranja lokalne zajednice i ukazivanja na izazove već i u osmišljavanju te pružanju usluga. </w:t>
      </w:r>
    </w:p>
    <w:p w14:paraId="0E9231A1"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Prisutni nepovoljni demografski trendovi i starenje stanovništva zdravstvenu zaštitu postavljaju kao temelj, a socijalnu zaštitu kao oslonac vitalnog okruženja. Osiguravanje dostupnosti primarne zdravstvene zaštite na cijelom Urbanom području ključna je pretpostavka adekvatne skrbi za stanovnike ruralnih područja u kojima je starenje stanovništva još izraženije u odnosu na Grad Koprivnicu. Promicanjem deinstitucionalizacije socijalne skrbi, odnosno osiguravanjem skrbi u zajednici osigurat će se da ranjive skupine stanovništva istovremeno budu obuhvaćene potrebnim socijalnim uslugama i nastave svoj život u zajednici te time smanjiti rizik od socijalne isključenosti.</w:t>
      </w:r>
    </w:p>
    <w:p w14:paraId="19869A00" w14:textId="77777777" w:rsidR="002F7564" w:rsidRDefault="002F7564">
      <w:pPr>
        <w:jc w:val="both"/>
        <w:rPr>
          <w:rFonts w:ascii="Source Sans Pro" w:eastAsia="Source Sans Pro" w:hAnsi="Source Sans Pro" w:cs="Source Sans Pro"/>
        </w:rPr>
      </w:pPr>
    </w:p>
    <w:tbl>
      <w:tblPr>
        <w:tblStyle w:val="ad"/>
        <w:tblW w:w="7785" w:type="dxa"/>
        <w:tblInd w:w="1133"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600" w:firstRow="0" w:lastRow="0" w:firstColumn="0" w:lastColumn="0" w:noHBand="1" w:noVBand="1"/>
      </w:tblPr>
      <w:tblGrid>
        <w:gridCol w:w="7785"/>
      </w:tblGrid>
      <w:tr w:rsidR="002F7564" w14:paraId="2113D1FA" w14:textId="77777777">
        <w:tc>
          <w:tcPr>
            <w:tcW w:w="7785" w:type="dxa"/>
            <w:shd w:val="clear" w:color="auto" w:fill="096EB3"/>
            <w:tcMar>
              <w:top w:w="100" w:type="dxa"/>
              <w:left w:w="100" w:type="dxa"/>
              <w:bottom w:w="100" w:type="dxa"/>
              <w:right w:w="100" w:type="dxa"/>
            </w:tcMar>
          </w:tcPr>
          <w:p w14:paraId="5BCEA16E"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ciljevi</w:t>
            </w:r>
          </w:p>
        </w:tc>
      </w:tr>
      <w:tr w:rsidR="002F7564" w14:paraId="7BF2DC08" w14:textId="77777777">
        <w:tc>
          <w:tcPr>
            <w:tcW w:w="7785" w:type="dxa"/>
            <w:shd w:val="clear" w:color="auto" w:fill="F3F3F3"/>
            <w:tcMar>
              <w:top w:w="100" w:type="dxa"/>
              <w:left w:w="100" w:type="dxa"/>
              <w:bottom w:w="100" w:type="dxa"/>
              <w:right w:w="100" w:type="dxa"/>
            </w:tcMar>
          </w:tcPr>
          <w:p w14:paraId="106B359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1.1. Uspostaviti cjelovit, pristupačan i kvalitetan sustav odgoja i obrazovanja</w:t>
            </w:r>
          </w:p>
        </w:tc>
      </w:tr>
      <w:tr w:rsidR="002F7564" w14:paraId="4A8AA214" w14:textId="77777777">
        <w:tc>
          <w:tcPr>
            <w:tcW w:w="7785" w:type="dxa"/>
            <w:shd w:val="clear" w:color="auto" w:fill="F3F3F3"/>
            <w:tcMar>
              <w:top w:w="100" w:type="dxa"/>
              <w:left w:w="100" w:type="dxa"/>
              <w:bottom w:w="100" w:type="dxa"/>
              <w:right w:w="100" w:type="dxa"/>
            </w:tcMar>
          </w:tcPr>
          <w:p w14:paraId="2EF00F6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1.2. Potaknuti demografsku revitalizaciju</w:t>
            </w:r>
          </w:p>
        </w:tc>
      </w:tr>
      <w:tr w:rsidR="002F7564" w14:paraId="06EC5676" w14:textId="77777777">
        <w:tc>
          <w:tcPr>
            <w:tcW w:w="7785" w:type="dxa"/>
            <w:shd w:val="clear" w:color="auto" w:fill="F3F3F3"/>
            <w:tcMar>
              <w:top w:w="100" w:type="dxa"/>
              <w:left w:w="100" w:type="dxa"/>
              <w:bottom w:w="100" w:type="dxa"/>
              <w:right w:w="100" w:type="dxa"/>
            </w:tcMar>
          </w:tcPr>
          <w:p w14:paraId="4378A8B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1.3. Ojačati društvenu inkluziju i skrb za stanovnike</w:t>
            </w:r>
          </w:p>
        </w:tc>
      </w:tr>
    </w:tbl>
    <w:p w14:paraId="33BD9D46" w14:textId="77777777" w:rsidR="002F7564" w:rsidRDefault="002F7564">
      <w:pPr>
        <w:jc w:val="both"/>
        <w:rPr>
          <w:rFonts w:ascii="Source Sans Pro" w:eastAsia="Source Sans Pro" w:hAnsi="Source Sans Pro" w:cs="Source Sans Pro"/>
        </w:rPr>
      </w:pPr>
    </w:p>
    <w:tbl>
      <w:tblPr>
        <w:tblStyle w:val="ae"/>
        <w:tblW w:w="9000" w:type="dxa"/>
        <w:tblInd w:w="-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00"/>
      </w:tblGrid>
      <w:tr w:rsidR="002F7564" w14:paraId="25797474" w14:textId="77777777">
        <w:tc>
          <w:tcPr>
            <w:tcW w:w="9000" w:type="dxa"/>
            <w:shd w:val="clear" w:color="auto" w:fill="096EB3"/>
            <w:tcMar>
              <w:top w:w="100" w:type="dxa"/>
              <w:left w:w="100" w:type="dxa"/>
              <w:bottom w:w="100" w:type="dxa"/>
              <w:right w:w="100" w:type="dxa"/>
            </w:tcMar>
          </w:tcPr>
          <w:p w14:paraId="0C4746F2" w14:textId="77777777" w:rsidR="002F7564" w:rsidRDefault="00000000">
            <w:pPr>
              <w:pStyle w:val="Heading2"/>
              <w:spacing w:before="0" w:after="0"/>
              <w:ind w:right="-54"/>
              <w:outlineLvl w:val="1"/>
              <w:rPr>
                <w:color w:val="FFFFFF"/>
              </w:rPr>
            </w:pPr>
            <w:bookmarkStart w:id="23" w:name="_2xcytpi" w:colFirst="0" w:colLast="0"/>
            <w:bookmarkEnd w:id="23"/>
            <w:r>
              <w:rPr>
                <w:color w:val="FFFFFF"/>
                <w:sz w:val="28"/>
                <w:szCs w:val="28"/>
              </w:rPr>
              <w:t>8.2. Funkcionalno područje</w:t>
            </w:r>
          </w:p>
        </w:tc>
      </w:tr>
    </w:tbl>
    <w:p w14:paraId="3F754501" w14:textId="77777777" w:rsidR="002F7564" w:rsidRDefault="00000000">
      <w:pPr>
        <w:jc w:val="both"/>
        <w:rPr>
          <w:rFonts w:ascii="Source Sans Pro" w:eastAsia="Source Sans Pro" w:hAnsi="Source Sans Pro" w:cs="Source Sans Pro"/>
        </w:rPr>
      </w:pPr>
      <w:r>
        <w:rPr>
          <w:noProof/>
        </w:rPr>
        <w:drawing>
          <wp:anchor distT="114300" distB="114300" distL="114300" distR="114300" simplePos="0" relativeHeight="251660288" behindDoc="0" locked="0" layoutInCell="1" hidden="0" allowOverlap="1" wp14:anchorId="6B08D4A4" wp14:editId="4CD29A07">
            <wp:simplePos x="0" y="0"/>
            <wp:positionH relativeFrom="column">
              <wp:posOffset>19052</wp:posOffset>
            </wp:positionH>
            <wp:positionV relativeFrom="paragraph">
              <wp:posOffset>220993</wp:posOffset>
            </wp:positionV>
            <wp:extent cx="2047875" cy="1933575"/>
            <wp:effectExtent l="0" t="0" r="0" b="0"/>
            <wp:wrapSquare wrapText="bothSides" distT="114300" distB="114300" distL="114300" distR="114300"/>
            <wp:docPr id="13"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6"/>
                    <a:srcRect l="26577" t="21238" r="37707" b="18879"/>
                    <a:stretch>
                      <a:fillRect/>
                    </a:stretch>
                  </pic:blipFill>
                  <pic:spPr>
                    <a:xfrm>
                      <a:off x="0" y="0"/>
                      <a:ext cx="2047875" cy="1933575"/>
                    </a:xfrm>
                    <a:prstGeom prst="rect">
                      <a:avLst/>
                    </a:prstGeom>
                    <a:ln/>
                  </pic:spPr>
                </pic:pic>
              </a:graphicData>
            </a:graphic>
          </wp:anchor>
        </w:drawing>
      </w:r>
    </w:p>
    <w:p w14:paraId="10E5206A"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Devet općina u sastavu Urbanog područja s Gradom Koprivnicom kao središtem predstavlja zonu putovanja na posao, a činjenica da je tržište rada okolnih općina visoko integrirano s Gradom središtem generira snažnu funkcionalnu i prometnu povezanost. Osim toga, na intenzivnu prometnu dinamiku utječu i dnevne migracije učenika i studenata, ali i ostalog stanovništva zbog čega je</w:t>
      </w:r>
      <w:r>
        <w:rPr>
          <w:rFonts w:ascii="Source Sans Pro" w:eastAsia="Source Sans Pro" w:hAnsi="Source Sans Pro" w:cs="Source Sans Pro"/>
          <w:b/>
          <w:color w:val="096EB3"/>
        </w:rPr>
        <w:t xml:space="preserve"> uspostava održivog sustava prijevoza </w:t>
      </w:r>
      <w:r>
        <w:rPr>
          <w:rFonts w:ascii="Source Sans Pro" w:eastAsia="Source Sans Pro" w:hAnsi="Source Sans Pro" w:cs="Source Sans Pro"/>
        </w:rPr>
        <w:t xml:space="preserve">prvi cilj funkcionalnog područja. </w:t>
      </w:r>
    </w:p>
    <w:p w14:paraId="41194F4F" w14:textId="77777777" w:rsidR="002F7564" w:rsidRDefault="002F7564">
      <w:pPr>
        <w:jc w:val="both"/>
        <w:rPr>
          <w:rFonts w:ascii="Source Sans Pro" w:eastAsia="Source Sans Pro" w:hAnsi="Source Sans Pro" w:cs="Source Sans Pro"/>
        </w:rPr>
      </w:pPr>
    </w:p>
    <w:p w14:paraId="03046A83"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Održiva urbana mobilnost kroz ekološki prihvatljive i alternativne oblike prijevoza jedan je od prioriteta stvaranja funkcionalnog područja. Izgradnja infrastrukture preduvjet je za postupni prelazak na alternativne, ekološki prihvatljivije oblike prijevoza - hibridni, odnosno električni, a izgradnja cjelovite mreže pješačko-biciklističkih staza dodatno će pridonijeti boljoj povezanosti na linijama koje služe za dnevne migracije na području UP Koprivnica. Idući korak u uspostavi održivog sustava prijevoza je stvaranje pretpostavki za </w:t>
      </w:r>
      <w:r>
        <w:rPr>
          <w:rFonts w:ascii="Source Sans Pro" w:eastAsia="Source Sans Pro" w:hAnsi="Source Sans Pro" w:cs="Source Sans Pro"/>
        </w:rPr>
        <w:lastRenderedPageBreak/>
        <w:t xml:space="preserve">multimodalni prijevoz, odnosno prostorno funkcionalnu integraciju biciklističkog prometa i povezivanje s ostalim oblicima javnog prijevoza. </w:t>
      </w:r>
    </w:p>
    <w:p w14:paraId="5B76CAC7" w14:textId="77777777" w:rsidR="002F7564" w:rsidRDefault="002F7564">
      <w:pPr>
        <w:jc w:val="both"/>
        <w:rPr>
          <w:rFonts w:ascii="Source Sans Pro" w:eastAsia="Source Sans Pro" w:hAnsi="Source Sans Pro" w:cs="Source Sans Pro"/>
        </w:rPr>
      </w:pPr>
    </w:p>
    <w:p w14:paraId="774E0E0E"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Nadalje, u pogledu povezanosti, osim prometne infrastrukture ključna su ulaganja u digitalnu infrastrukturu kao osnovnog preduvjeta digitalnog razvoja. </w:t>
      </w:r>
      <w:r>
        <w:rPr>
          <w:rFonts w:ascii="Source Sans Pro" w:eastAsia="Source Sans Pro" w:hAnsi="Source Sans Pro" w:cs="Source Sans Pro"/>
          <w:b/>
          <w:color w:val="096EB3"/>
        </w:rPr>
        <w:t>Praćenje trendova razvoja digitalne povezivosti</w:t>
      </w:r>
      <w:r>
        <w:rPr>
          <w:rFonts w:ascii="Source Sans Pro" w:eastAsia="Source Sans Pro" w:hAnsi="Source Sans Pro" w:cs="Source Sans Pro"/>
        </w:rPr>
        <w:t xml:space="preserve"> pretpostavka je stvaranja digitalnog gospodarstva, gdje su osim investicija u infrastrukturu ključna ulaganja u jačanje ljudskih kapaciteta za primjenu suvremenih, digitalnih tehnologija. Pored proširivanja širokopojasne mreže, prioriteti u jačanju primjene informacijskih i komunikacijskih tehnologija jesu u područjima javne uprave i administracije, gospodarstva i obrazovanja, prvenstveno u vidu povezivanja digitalnih usluga prema građanima i digitalne infrastrukture.</w:t>
      </w:r>
    </w:p>
    <w:p w14:paraId="087E3729" w14:textId="77777777" w:rsidR="002F7564" w:rsidRDefault="002F7564">
      <w:pPr>
        <w:jc w:val="both"/>
        <w:rPr>
          <w:rFonts w:ascii="Source Sans Pro" w:eastAsia="Source Sans Pro" w:hAnsi="Source Sans Pro" w:cs="Source Sans Pro"/>
        </w:rPr>
      </w:pPr>
    </w:p>
    <w:p w14:paraId="6D16CDF9"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Završno, disproporcija u opremljenosti i kvaliteti primarne infrastrukture između Grada Koprivnice kao središta Urbanog područja i ostalih općina, kao cilj nalaže </w:t>
      </w:r>
      <w:r>
        <w:rPr>
          <w:rFonts w:ascii="Source Sans Pro" w:eastAsia="Source Sans Pro" w:hAnsi="Source Sans Pro" w:cs="Source Sans Pro"/>
          <w:b/>
          <w:color w:val="096EB3"/>
        </w:rPr>
        <w:t xml:space="preserve">unaprjeđenje infrastrukturnih sustava i uspostavu cjelovitog sustava za gospodarenja otpadom </w:t>
      </w:r>
      <w:r>
        <w:rPr>
          <w:rFonts w:ascii="Source Sans Pro" w:eastAsia="Source Sans Pro" w:hAnsi="Source Sans Pro" w:cs="Source Sans Pro"/>
        </w:rPr>
        <w:t xml:space="preserve">koji se odnosi na cijelo područje. Uz ulaganja u infrastrukturu vodovoda i odvodnje, energetsku infrastrukturu i općenito stvaranje funkcionalne infrastrukture, zelena infrastruktura osnova je održivog upravljanja prostorom. </w:t>
      </w:r>
    </w:p>
    <w:tbl>
      <w:tblPr>
        <w:tblStyle w:val="af"/>
        <w:tblW w:w="7845" w:type="dxa"/>
        <w:tblInd w:w="1133"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600" w:firstRow="0" w:lastRow="0" w:firstColumn="0" w:lastColumn="0" w:noHBand="1" w:noVBand="1"/>
      </w:tblPr>
      <w:tblGrid>
        <w:gridCol w:w="7845"/>
      </w:tblGrid>
      <w:tr w:rsidR="002F7564" w14:paraId="61E0DD7C" w14:textId="77777777">
        <w:tc>
          <w:tcPr>
            <w:tcW w:w="7845" w:type="dxa"/>
            <w:shd w:val="clear" w:color="auto" w:fill="096EB3"/>
            <w:tcMar>
              <w:top w:w="100" w:type="dxa"/>
              <w:left w:w="100" w:type="dxa"/>
              <w:bottom w:w="100" w:type="dxa"/>
              <w:right w:w="100" w:type="dxa"/>
            </w:tcMar>
          </w:tcPr>
          <w:p w14:paraId="1EE8BE7F"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ciljevi</w:t>
            </w:r>
          </w:p>
        </w:tc>
      </w:tr>
      <w:tr w:rsidR="002F7564" w14:paraId="61B25978" w14:textId="77777777">
        <w:tc>
          <w:tcPr>
            <w:tcW w:w="7845" w:type="dxa"/>
            <w:shd w:val="clear" w:color="auto" w:fill="F3F3F3"/>
            <w:tcMar>
              <w:top w:w="100" w:type="dxa"/>
              <w:left w:w="100" w:type="dxa"/>
              <w:bottom w:w="100" w:type="dxa"/>
              <w:right w:w="100" w:type="dxa"/>
            </w:tcMar>
          </w:tcPr>
          <w:p w14:paraId="0A9DC59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2.1. Uspostaviti održiv sustav prijevoza</w:t>
            </w:r>
          </w:p>
        </w:tc>
      </w:tr>
      <w:tr w:rsidR="002F7564" w14:paraId="52918024" w14:textId="77777777">
        <w:tc>
          <w:tcPr>
            <w:tcW w:w="7845" w:type="dxa"/>
            <w:shd w:val="clear" w:color="auto" w:fill="F3F3F3"/>
            <w:tcMar>
              <w:top w:w="100" w:type="dxa"/>
              <w:left w:w="100" w:type="dxa"/>
              <w:bottom w:w="100" w:type="dxa"/>
              <w:right w:w="100" w:type="dxa"/>
            </w:tcMar>
          </w:tcPr>
          <w:p w14:paraId="121F371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2.2. Pratiti trendove razvoja digitalne povezivosti</w:t>
            </w:r>
          </w:p>
        </w:tc>
      </w:tr>
      <w:tr w:rsidR="002F7564" w14:paraId="64CDBA09" w14:textId="77777777">
        <w:tc>
          <w:tcPr>
            <w:tcW w:w="7845" w:type="dxa"/>
            <w:shd w:val="clear" w:color="auto" w:fill="F3F3F3"/>
            <w:tcMar>
              <w:top w:w="100" w:type="dxa"/>
              <w:left w:w="100" w:type="dxa"/>
              <w:bottom w:w="100" w:type="dxa"/>
              <w:right w:w="100" w:type="dxa"/>
            </w:tcMar>
          </w:tcPr>
          <w:p w14:paraId="32EDB88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2.3. Unaprijediti infrastrukturne sustave i uspostaviti cjelovit sustav za gospodarenje otpadom</w:t>
            </w:r>
          </w:p>
        </w:tc>
      </w:tr>
    </w:tbl>
    <w:p w14:paraId="4366C9AE" w14:textId="77777777" w:rsidR="002F7564" w:rsidRDefault="002F7564">
      <w:pPr>
        <w:jc w:val="both"/>
        <w:rPr>
          <w:rFonts w:ascii="Source Sans Pro" w:eastAsia="Source Sans Pro" w:hAnsi="Source Sans Pro" w:cs="Source Sans Pro"/>
          <w:b/>
          <w:color w:val="096EB3"/>
          <w:sz w:val="28"/>
          <w:szCs w:val="28"/>
        </w:rPr>
      </w:pPr>
    </w:p>
    <w:tbl>
      <w:tblPr>
        <w:tblStyle w:val="af0"/>
        <w:tblW w:w="9000"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000"/>
      </w:tblGrid>
      <w:tr w:rsidR="002F7564" w14:paraId="03B63731" w14:textId="77777777">
        <w:tc>
          <w:tcPr>
            <w:tcW w:w="9000" w:type="dxa"/>
            <w:shd w:val="clear" w:color="auto" w:fill="096EB3"/>
            <w:tcMar>
              <w:top w:w="100" w:type="dxa"/>
              <w:left w:w="100" w:type="dxa"/>
              <w:bottom w:w="100" w:type="dxa"/>
              <w:right w:w="100" w:type="dxa"/>
            </w:tcMar>
          </w:tcPr>
          <w:p w14:paraId="5953ECF4" w14:textId="77777777" w:rsidR="002F7564" w:rsidRDefault="00000000">
            <w:pPr>
              <w:pStyle w:val="Heading2"/>
              <w:spacing w:before="0" w:after="0"/>
              <w:ind w:right="-279"/>
              <w:outlineLvl w:val="1"/>
              <w:rPr>
                <w:color w:val="FFFFFF"/>
                <w:sz w:val="28"/>
                <w:szCs w:val="28"/>
              </w:rPr>
            </w:pPr>
            <w:bookmarkStart w:id="24" w:name="_1ci93xb" w:colFirst="0" w:colLast="0"/>
            <w:bookmarkEnd w:id="24"/>
            <w:r>
              <w:rPr>
                <w:color w:val="FFFFFF"/>
                <w:sz w:val="28"/>
                <w:szCs w:val="28"/>
              </w:rPr>
              <w:t>8.3. Razvijeno područje</w:t>
            </w:r>
          </w:p>
        </w:tc>
      </w:tr>
    </w:tbl>
    <w:p w14:paraId="00701185" w14:textId="77777777" w:rsidR="002F7564" w:rsidRDefault="00000000">
      <w:pPr>
        <w:jc w:val="both"/>
        <w:rPr>
          <w:rFonts w:ascii="Source Sans Pro" w:eastAsia="Source Sans Pro" w:hAnsi="Source Sans Pro" w:cs="Source Sans Pro"/>
          <w:sz w:val="28"/>
          <w:szCs w:val="28"/>
        </w:rPr>
      </w:pPr>
      <w:r>
        <w:rPr>
          <w:noProof/>
        </w:rPr>
        <w:drawing>
          <wp:anchor distT="114300" distB="114300" distL="114300" distR="114300" simplePos="0" relativeHeight="251661312" behindDoc="0" locked="0" layoutInCell="1" hidden="0" allowOverlap="1" wp14:anchorId="466BE186" wp14:editId="33B7A97F">
            <wp:simplePos x="0" y="0"/>
            <wp:positionH relativeFrom="column">
              <wp:posOffset>19052</wp:posOffset>
            </wp:positionH>
            <wp:positionV relativeFrom="paragraph">
              <wp:posOffset>276069</wp:posOffset>
            </wp:positionV>
            <wp:extent cx="1885950" cy="1897260"/>
            <wp:effectExtent l="0" t="0" r="0" b="0"/>
            <wp:wrapSquare wrapText="bothSides" distT="114300" distB="114300" distL="114300" distR="114300"/>
            <wp:docPr id="1"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17"/>
                    <a:srcRect l="29234" t="28373" r="37873" b="12914"/>
                    <a:stretch>
                      <a:fillRect/>
                    </a:stretch>
                  </pic:blipFill>
                  <pic:spPr>
                    <a:xfrm>
                      <a:off x="0" y="0"/>
                      <a:ext cx="1885950" cy="1897260"/>
                    </a:xfrm>
                    <a:prstGeom prst="rect">
                      <a:avLst/>
                    </a:prstGeom>
                    <a:ln/>
                  </pic:spPr>
                </pic:pic>
              </a:graphicData>
            </a:graphic>
          </wp:anchor>
        </w:drawing>
      </w:r>
    </w:p>
    <w:p w14:paraId="665CD010"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Razvijeno Urbano područje Koprivnica 2027. godine gospodarski je snažno i zeleno područje. Konkurentno gospodarstvo i promicanje načela održivog rasta dvije su osnovne karakteristike razvijenog područja koje se prilagođava dinamičnim  promjenama na globalnoj razini.</w:t>
      </w:r>
    </w:p>
    <w:p w14:paraId="11A6F139" w14:textId="77777777" w:rsidR="002F7564" w:rsidRDefault="002F7564">
      <w:pPr>
        <w:jc w:val="both"/>
        <w:rPr>
          <w:rFonts w:ascii="Source Sans Pro" w:eastAsia="Source Sans Pro" w:hAnsi="Source Sans Pro" w:cs="Source Sans Pro"/>
        </w:rPr>
      </w:pPr>
    </w:p>
    <w:p w14:paraId="4C80DCDE"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Iako je industrija zamašnjak gospodarskog razvoja područja, a malo i srednje poduzetništvo njegov vitalni segment, u idućem razdoblju Urbano područje Koprivnica za svoj razvojni iskorak oslonit će se i poljoprivredu kao tradicionalnu važnu djelatnost u ruralnim područjima te turizam - sektor u razvoju.</w:t>
      </w:r>
    </w:p>
    <w:p w14:paraId="06A5FD3B" w14:textId="77777777" w:rsidR="002F7564" w:rsidRDefault="002F7564">
      <w:pPr>
        <w:jc w:val="both"/>
        <w:rPr>
          <w:rFonts w:ascii="Source Sans Pro" w:eastAsia="Source Sans Pro" w:hAnsi="Source Sans Pro" w:cs="Source Sans Pro"/>
        </w:rPr>
      </w:pPr>
    </w:p>
    <w:p w14:paraId="28F065F9"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lastRenderedPageBreak/>
        <w:t xml:space="preserve">Prvi korak ka razvijenom području je </w:t>
      </w:r>
      <w:r>
        <w:rPr>
          <w:rFonts w:ascii="Source Sans Pro" w:eastAsia="Source Sans Pro" w:hAnsi="Source Sans Pro" w:cs="Source Sans Pro"/>
          <w:b/>
          <w:color w:val="096EB3"/>
        </w:rPr>
        <w:t>potaknuti nove ideje u razvoju lokalne ekonomije</w:t>
      </w:r>
      <w:r>
        <w:rPr>
          <w:rFonts w:ascii="Source Sans Pro" w:eastAsia="Source Sans Pro" w:hAnsi="Source Sans Pro" w:cs="Source Sans Pro"/>
        </w:rPr>
        <w:t xml:space="preserve">. Povećanje konkurentnosti industrije izravno je povezano s tehnološkom modernizacijom te zelenom i digitalnom tranzicijom, a za jačanje uloge malih i srednjih poduzeća uspostavit će se cjeloviti gospodarski ekosustav koji podrazumijeva kvalitetnu poduzetničku infrastrukturu, učinkovite potporne institucije, razvijenu suradnju sa znanstveno-istraživačkim institucijama i podršku u razvoju inovacija. Jačanje tehnološke opremljenosti i modernizacija prioriteti su koji će omogućiti iskorištavanje potencijala poljoprivrednog sektora, gdje je za povećanje konkurentnosti ključno olakšati tržišno pozicioniranje lokalnih proizvođača i ojačati kapacitete proizvodnje u tržišnim nišama koje kontinuirano bilježe porast potražnje, kao što je ekološka poljoprivreda. Potencijal sektora očituje se i u povezivanju s turizmom, gdje će osiguravanjem integracije lokalnih poljoprivrednih proizvoda u turističku i ugostiteljsku ponudu, lokalni lanci vrijednosti biti ojačani. Završno, kulturni i prirodni resursi kao ključni segmenti resursno-atrakcijske turističke osnove objedinjavanjem u kvalitetan i cjelovit turistički proizvod područja povećat će konkurentnost sektora koji, kako u središtu Urbanog područja, tako i izvan može predstavljati značajnu dodanu vrijednost lokalnom gospodarstvu. </w:t>
      </w:r>
    </w:p>
    <w:p w14:paraId="2984DB5F" w14:textId="77777777" w:rsidR="002F7564" w:rsidRDefault="002F7564">
      <w:pPr>
        <w:jc w:val="both"/>
        <w:rPr>
          <w:rFonts w:ascii="Source Sans Pro" w:eastAsia="Source Sans Pro" w:hAnsi="Source Sans Pro" w:cs="Source Sans Pro"/>
        </w:rPr>
      </w:pPr>
    </w:p>
    <w:p w14:paraId="68E0A426"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Komplementarnost povećanja konkurentnosti gospodarstva i mjera zelenog rasta, kao kombinacije koja osigurava održiv socio-ekonomski razvoj područja u cjelini, očituje se u implementaciji koncepta kružne ekonomije i investicija u energetsku i ekološku tranziciju. </w:t>
      </w:r>
      <w:r>
        <w:rPr>
          <w:rFonts w:ascii="Source Sans Pro" w:eastAsia="Source Sans Pro" w:hAnsi="Source Sans Pro" w:cs="Source Sans Pro"/>
          <w:b/>
          <w:color w:val="096EB3"/>
        </w:rPr>
        <w:t xml:space="preserve">Pratiti trendove zelenog i održivog razvoja </w:t>
      </w:r>
      <w:r>
        <w:rPr>
          <w:rFonts w:ascii="Source Sans Pro" w:eastAsia="Source Sans Pro" w:hAnsi="Source Sans Pro" w:cs="Source Sans Pro"/>
        </w:rPr>
        <w:t xml:space="preserve">drugi je cilj, a energetska tranzicija djelomično se odnosi na gospodarski sektor i promicanje čistih industrija, ali podrazumijeva implementaciju mjera energetske učinkovitosti i promicanje obnovljivih izvora energije u širem smislu. Promicanje načela zelenog rasta i povećanje kvalitete okoliša u urbanom okruženju kroz ostvarenje energetskih i financijskih ušteda bit će osnova održivog gospodarskog razvoja.  </w:t>
      </w:r>
    </w:p>
    <w:p w14:paraId="0D064171" w14:textId="77777777" w:rsidR="002F7564" w:rsidRDefault="002F7564">
      <w:pPr>
        <w:jc w:val="both"/>
        <w:rPr>
          <w:rFonts w:ascii="Source Sans Pro" w:eastAsia="Source Sans Pro" w:hAnsi="Source Sans Pro" w:cs="Source Sans Pro"/>
        </w:rPr>
      </w:pPr>
    </w:p>
    <w:p w14:paraId="4409344A"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Održivi rast i otpornost regionalnog gospodarstva izravno su povezani sa sposobnostima regionalnog gospodarstva za preobrazbu i prilagodbu konkurentnom i dinamičnom okruženju, za što je iskorištavanje novih izvora rasta poput zelenog gospodarstva jedan od ključnih segmenata.</w:t>
      </w:r>
    </w:p>
    <w:p w14:paraId="3027C31D" w14:textId="77777777" w:rsidR="002F7564" w:rsidRDefault="002F7564">
      <w:pPr>
        <w:jc w:val="both"/>
        <w:rPr>
          <w:rFonts w:ascii="Source Sans Pro" w:eastAsia="Source Sans Pro" w:hAnsi="Source Sans Pro" w:cs="Source Sans Pro"/>
        </w:rPr>
      </w:pPr>
    </w:p>
    <w:tbl>
      <w:tblPr>
        <w:tblStyle w:val="af1"/>
        <w:tblW w:w="8010" w:type="dxa"/>
        <w:tblInd w:w="1133"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600" w:firstRow="0" w:lastRow="0" w:firstColumn="0" w:lastColumn="0" w:noHBand="1" w:noVBand="1"/>
      </w:tblPr>
      <w:tblGrid>
        <w:gridCol w:w="8010"/>
      </w:tblGrid>
      <w:tr w:rsidR="002F7564" w14:paraId="258AF2D3" w14:textId="77777777">
        <w:tc>
          <w:tcPr>
            <w:tcW w:w="8010" w:type="dxa"/>
            <w:shd w:val="clear" w:color="auto" w:fill="096EB3"/>
            <w:tcMar>
              <w:top w:w="100" w:type="dxa"/>
              <w:left w:w="100" w:type="dxa"/>
              <w:bottom w:w="100" w:type="dxa"/>
              <w:right w:w="100" w:type="dxa"/>
            </w:tcMar>
          </w:tcPr>
          <w:p w14:paraId="00750D46"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ciljevi</w:t>
            </w:r>
          </w:p>
        </w:tc>
      </w:tr>
      <w:tr w:rsidR="002F7564" w14:paraId="2D69C086" w14:textId="77777777">
        <w:tc>
          <w:tcPr>
            <w:tcW w:w="8010" w:type="dxa"/>
            <w:shd w:val="clear" w:color="auto" w:fill="F3F3F3"/>
            <w:tcMar>
              <w:top w:w="100" w:type="dxa"/>
              <w:left w:w="100" w:type="dxa"/>
              <w:bottom w:w="100" w:type="dxa"/>
              <w:right w:w="100" w:type="dxa"/>
            </w:tcMar>
          </w:tcPr>
          <w:p w14:paraId="5E924B9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3.1. Potaknuti nove ideje u razvoju lokalne zajednice</w:t>
            </w:r>
          </w:p>
        </w:tc>
      </w:tr>
      <w:tr w:rsidR="002F7564" w14:paraId="4FD4C84C" w14:textId="77777777">
        <w:tc>
          <w:tcPr>
            <w:tcW w:w="8010" w:type="dxa"/>
            <w:shd w:val="clear" w:color="auto" w:fill="F3F3F3"/>
            <w:tcMar>
              <w:top w:w="100" w:type="dxa"/>
              <w:left w:w="100" w:type="dxa"/>
              <w:bottom w:w="100" w:type="dxa"/>
              <w:right w:w="100" w:type="dxa"/>
            </w:tcMar>
          </w:tcPr>
          <w:p w14:paraId="4D0B915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3.2. Pratiti trendove zelenog i održivog razvoja</w:t>
            </w:r>
          </w:p>
        </w:tc>
      </w:tr>
    </w:tbl>
    <w:p w14:paraId="3114DCD5" w14:textId="77777777" w:rsidR="002F7564" w:rsidRDefault="002F7564">
      <w:pPr>
        <w:rPr>
          <w:rFonts w:ascii="Source Sans Pro" w:eastAsia="Source Sans Pro" w:hAnsi="Source Sans Pro" w:cs="Source Sans Pro"/>
        </w:rPr>
      </w:pPr>
    </w:p>
    <w:p w14:paraId="0868AD53" w14:textId="77777777" w:rsidR="002F7564" w:rsidRDefault="002F7564">
      <w:pPr>
        <w:rPr>
          <w:rFonts w:ascii="Source Sans Pro" w:eastAsia="Source Sans Pro" w:hAnsi="Source Sans Pro" w:cs="Source Sans Pro"/>
        </w:rPr>
      </w:pPr>
    </w:p>
    <w:p w14:paraId="32CE09BE" w14:textId="77777777" w:rsidR="002F7564" w:rsidRDefault="002F7564">
      <w:pPr>
        <w:rPr>
          <w:rFonts w:ascii="Source Sans Pro" w:eastAsia="Source Sans Pro" w:hAnsi="Source Sans Pro" w:cs="Source Sans Pro"/>
        </w:rPr>
      </w:pPr>
    </w:p>
    <w:p w14:paraId="25588788" w14:textId="77777777" w:rsidR="002F7564" w:rsidRDefault="002F7564">
      <w:pPr>
        <w:rPr>
          <w:rFonts w:ascii="Source Sans Pro" w:eastAsia="Source Sans Pro" w:hAnsi="Source Sans Pro" w:cs="Source Sans Pro"/>
        </w:rPr>
      </w:pPr>
    </w:p>
    <w:p w14:paraId="50542726" w14:textId="77777777" w:rsidR="002F7564" w:rsidRDefault="002F7564">
      <w:pPr>
        <w:rPr>
          <w:rFonts w:ascii="Source Sans Pro" w:eastAsia="Source Sans Pro" w:hAnsi="Source Sans Pro" w:cs="Source Sans Pro"/>
        </w:rPr>
      </w:pPr>
    </w:p>
    <w:p w14:paraId="476EC63B" w14:textId="77777777" w:rsidR="002F7564" w:rsidRDefault="002F7564">
      <w:pPr>
        <w:rPr>
          <w:rFonts w:ascii="Source Sans Pro" w:eastAsia="Source Sans Pro" w:hAnsi="Source Sans Pro" w:cs="Source Sans Pro"/>
        </w:rPr>
      </w:pPr>
    </w:p>
    <w:p w14:paraId="7FB78EB6" w14:textId="77777777" w:rsidR="002F7564" w:rsidRDefault="002F7564">
      <w:pPr>
        <w:rPr>
          <w:rFonts w:ascii="Source Sans Pro" w:eastAsia="Source Sans Pro" w:hAnsi="Source Sans Pro" w:cs="Source Sans Pro"/>
        </w:rPr>
      </w:pPr>
    </w:p>
    <w:p w14:paraId="3FEACEAF" w14:textId="77777777" w:rsidR="002F7564" w:rsidRDefault="002F7564">
      <w:pPr>
        <w:rPr>
          <w:rFonts w:ascii="Source Sans Pro" w:eastAsia="Source Sans Pro" w:hAnsi="Source Sans Pro" w:cs="Source Sans Pro"/>
        </w:rPr>
      </w:pPr>
    </w:p>
    <w:p w14:paraId="2E07DF13" w14:textId="77777777" w:rsidR="002F7564" w:rsidRDefault="002F7564">
      <w:pPr>
        <w:rPr>
          <w:rFonts w:ascii="Source Sans Pro" w:eastAsia="Source Sans Pro" w:hAnsi="Source Sans Pro" w:cs="Source Sans Pro"/>
        </w:rPr>
      </w:pPr>
    </w:p>
    <w:tbl>
      <w:tblPr>
        <w:tblStyle w:val="af2"/>
        <w:tblW w:w="9315" w:type="dxa"/>
        <w:tblInd w:w="-9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315"/>
      </w:tblGrid>
      <w:tr w:rsidR="002F7564" w14:paraId="177EFE31" w14:textId="77777777">
        <w:tc>
          <w:tcPr>
            <w:tcW w:w="9315" w:type="dxa"/>
            <w:tcBorders>
              <w:top w:val="single" w:sz="12" w:space="0" w:color="FFFFFF"/>
              <w:left w:val="single" w:sz="12" w:space="0" w:color="FFFFFF"/>
              <w:bottom w:val="single" w:sz="12" w:space="0" w:color="FFFFFF"/>
              <w:right w:val="single" w:sz="12" w:space="0" w:color="FFFFFF"/>
            </w:tcBorders>
            <w:shd w:val="clear" w:color="auto" w:fill="096EB3"/>
            <w:tcMar>
              <w:top w:w="100" w:type="dxa"/>
              <w:left w:w="100" w:type="dxa"/>
              <w:bottom w:w="100" w:type="dxa"/>
              <w:right w:w="100" w:type="dxa"/>
            </w:tcMar>
          </w:tcPr>
          <w:p w14:paraId="7F05AB06" w14:textId="77777777" w:rsidR="002F7564" w:rsidRDefault="00000000">
            <w:pPr>
              <w:pStyle w:val="Heading2"/>
              <w:spacing w:before="0" w:after="0"/>
              <w:outlineLvl w:val="1"/>
              <w:rPr>
                <w:color w:val="FFFFFF"/>
              </w:rPr>
            </w:pPr>
            <w:bookmarkStart w:id="25" w:name="_3whwml4" w:colFirst="0" w:colLast="0"/>
            <w:bookmarkEnd w:id="25"/>
            <w:r>
              <w:rPr>
                <w:color w:val="FFFFFF"/>
                <w:sz w:val="28"/>
                <w:szCs w:val="28"/>
              </w:rPr>
              <w:lastRenderedPageBreak/>
              <w:t>8.4. Sadržajno područje</w:t>
            </w:r>
          </w:p>
        </w:tc>
      </w:tr>
    </w:tbl>
    <w:p w14:paraId="7DEA5EC3" w14:textId="77777777" w:rsidR="002F7564" w:rsidRDefault="002F7564">
      <w:pPr>
        <w:widowControl w:val="0"/>
        <w:rPr>
          <w:rFonts w:ascii="Source Sans Pro" w:eastAsia="Source Sans Pro" w:hAnsi="Source Sans Pro" w:cs="Source Sans Pro"/>
        </w:rPr>
      </w:pPr>
    </w:p>
    <w:p w14:paraId="23424B30"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Značaj gospodarskog razvoja područja, osim bez komponente održivosti u smislu energetske i ekološke tranzicije, neodrživ je i bez prelijevanja pozitivnih gospodarskih učinaka na razinu kvalitete života. Stanovnici područja temeljni su resurs razvoja, pa su i svi prioriteti javnih politika usmjereni ka podizanju životnog standarda i razvijenosti područja. Adekvatna infrastruktura i razvijeno gospodarstvo jedni su od čimbenika, a uspostava sadržajnog područja - s kvalitetnim i dostupnim društvenim sadržajima pretpostavka su održivog razvoja lokalne zajednice.</w:t>
      </w:r>
      <w:r>
        <w:rPr>
          <w:noProof/>
        </w:rPr>
        <w:drawing>
          <wp:anchor distT="114300" distB="114300" distL="114300" distR="114300" simplePos="0" relativeHeight="251662336" behindDoc="0" locked="0" layoutInCell="1" hidden="0" allowOverlap="1" wp14:anchorId="27EE427B" wp14:editId="7A793E40">
            <wp:simplePos x="0" y="0"/>
            <wp:positionH relativeFrom="column">
              <wp:posOffset>19052</wp:posOffset>
            </wp:positionH>
            <wp:positionV relativeFrom="paragraph">
              <wp:posOffset>114300</wp:posOffset>
            </wp:positionV>
            <wp:extent cx="1771650" cy="1805913"/>
            <wp:effectExtent l="0" t="0" r="0" b="0"/>
            <wp:wrapSquare wrapText="bothSides" distT="114300" distB="114300" distL="114300" distR="114300"/>
            <wp:docPr id="8"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18"/>
                    <a:srcRect l="31063" t="29674" r="38038" b="14301"/>
                    <a:stretch>
                      <a:fillRect/>
                    </a:stretch>
                  </pic:blipFill>
                  <pic:spPr>
                    <a:xfrm>
                      <a:off x="0" y="0"/>
                      <a:ext cx="1771650" cy="1805913"/>
                    </a:xfrm>
                    <a:prstGeom prst="rect">
                      <a:avLst/>
                    </a:prstGeom>
                    <a:ln/>
                  </pic:spPr>
                </pic:pic>
              </a:graphicData>
            </a:graphic>
          </wp:anchor>
        </w:drawing>
      </w:r>
    </w:p>
    <w:p w14:paraId="414B3D17" w14:textId="77777777" w:rsidR="002F7564" w:rsidRDefault="002F7564">
      <w:pPr>
        <w:widowControl w:val="0"/>
        <w:jc w:val="both"/>
        <w:rPr>
          <w:rFonts w:ascii="Source Sans Pro" w:eastAsia="Source Sans Pro" w:hAnsi="Source Sans Pro" w:cs="Source Sans Pro"/>
        </w:rPr>
      </w:pPr>
    </w:p>
    <w:p w14:paraId="7E736E39"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Kulturna i sportska ponuda, uz aktivnosti civilnog društva čini sadržajno Urbano područje Koprivnica. Prvi cilj u nadolazećem razdoblju je </w:t>
      </w:r>
      <w:r>
        <w:rPr>
          <w:rFonts w:ascii="Source Sans Pro" w:eastAsia="Source Sans Pro" w:hAnsi="Source Sans Pro" w:cs="Source Sans Pro"/>
          <w:b/>
          <w:color w:val="096EB3"/>
        </w:rPr>
        <w:t xml:space="preserve">osigurati raznoliku kulturnu ponudu i pripadajuću infrastrukturu. </w:t>
      </w:r>
      <w:r>
        <w:rPr>
          <w:rFonts w:ascii="Source Sans Pro" w:eastAsia="Source Sans Pro" w:hAnsi="Source Sans Pro" w:cs="Source Sans Pro"/>
        </w:rPr>
        <w:t xml:space="preserve">Bogata i raznolika kulturna ponuda uobičajeno je karakteristika velikih urbanih središta, a kroz povećanje kvalitete kulturnih sadržaja i relevantnu, suvremenu kulturnu produkciju u Urbanom području Koprivnica doprinijet će se </w:t>
      </w:r>
      <w:r>
        <w:rPr>
          <w:rFonts w:ascii="Source Sans Pro" w:eastAsia="Source Sans Pro" w:hAnsi="Source Sans Pro" w:cs="Source Sans Pro"/>
          <w:i/>
        </w:rPr>
        <w:t xml:space="preserve">odgoju </w:t>
      </w:r>
      <w:r>
        <w:rPr>
          <w:rFonts w:ascii="Source Sans Pro" w:eastAsia="Source Sans Pro" w:hAnsi="Source Sans Pro" w:cs="Source Sans Pro"/>
        </w:rPr>
        <w:t xml:space="preserve">publike i prepoznatljivosti kulturnih sadržaja na lokalnoj razini. Isto tako, bogat baštinski segment kulture kroz revitalizaciju i valorizaciju kako materijalne, tako i nematerijalne baštine u idućem razdoblju bit će okosnica kulturne, ali i turističke ponude područja. </w:t>
      </w:r>
    </w:p>
    <w:p w14:paraId="2D587CDD" w14:textId="77777777" w:rsidR="002F7564" w:rsidRDefault="002F7564">
      <w:pPr>
        <w:widowControl w:val="0"/>
        <w:jc w:val="both"/>
        <w:rPr>
          <w:rFonts w:ascii="Source Sans Pro" w:eastAsia="Source Sans Pro" w:hAnsi="Source Sans Pro" w:cs="Source Sans Pro"/>
        </w:rPr>
      </w:pPr>
    </w:p>
    <w:p w14:paraId="36BB0360"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Uz jačanje kulturne ponude, drugi cilj stvaranja sadržajno bogatog područja je </w:t>
      </w:r>
      <w:r>
        <w:rPr>
          <w:rFonts w:ascii="Source Sans Pro" w:eastAsia="Source Sans Pro" w:hAnsi="Source Sans Pro" w:cs="Source Sans Pro"/>
          <w:b/>
          <w:color w:val="096EB3"/>
        </w:rPr>
        <w:t xml:space="preserve">osigurati dostupnost sportskih i ostalih društvenih sadržaja. </w:t>
      </w:r>
      <w:r>
        <w:rPr>
          <w:rFonts w:ascii="Source Sans Pro" w:eastAsia="Source Sans Pro" w:hAnsi="Source Sans Pro" w:cs="Source Sans Pro"/>
        </w:rPr>
        <w:t xml:space="preserve">Socijalna, ali i gospodarska dimenzija sporta, povezanost sa zdravljem, socijalnom uključenosti i obrazovanjem faktori su zbog kojih je prepoznata važnost ulaganja u osiguravanje dostupnosti sportskih sadržaja - kroz investicije u sportsku infrastrukturu ali i kroz poticanje organizirane sportske aktivnosti svih generacija. Ključan preduvjet sadržajnog područja u tom je kontekstu osigurati ravnomjernu dostupnost sportskih aktivnosti na cijelom Urbanom području, prije svega kroz uvođenje novih sportskih sadržaja u ruralnim područjima. </w:t>
      </w:r>
    </w:p>
    <w:p w14:paraId="3F7D5297" w14:textId="77777777" w:rsidR="002F7564" w:rsidRDefault="002F7564">
      <w:pPr>
        <w:widowControl w:val="0"/>
        <w:jc w:val="both"/>
        <w:rPr>
          <w:rFonts w:ascii="Source Sans Pro" w:eastAsia="Source Sans Pro" w:hAnsi="Source Sans Pro" w:cs="Source Sans Pro"/>
        </w:rPr>
      </w:pPr>
    </w:p>
    <w:p w14:paraId="45D64718"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Kvaliteta i sveobuhvatnost društvenih sadržaja koji su na raspolaganju stanovnicima izravno su povezani s kvalitetom života i zadovoljstvom stanovnika, pa time i s prosperitetom zajednice. U idućem razdoblju, za realizaciju predmetnog prioriteta jednako će važna biti uloga institucionalnih kao i izvan institucionalnih dionika. Uloga prvih ključna je prvenstveno u stvaranju preduvjeta - u kontekstu kulture revitalizaciji i valorizaciji kulturne baštine, a u kontekstu sporta u ulaganjima u sportsku infrastrukturu, dok je uloga izvan institucionalnog sektora važna u produkciji i provođenju samih sadržaja i usluga, s obzirom na izraženu ulogu civilnog društva i volonterstva u oba sektora. </w:t>
      </w:r>
    </w:p>
    <w:tbl>
      <w:tblPr>
        <w:tblStyle w:val="af3"/>
        <w:tblW w:w="7920" w:type="dxa"/>
        <w:tblInd w:w="1133"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600" w:firstRow="0" w:lastRow="0" w:firstColumn="0" w:lastColumn="0" w:noHBand="1" w:noVBand="1"/>
      </w:tblPr>
      <w:tblGrid>
        <w:gridCol w:w="7920"/>
      </w:tblGrid>
      <w:tr w:rsidR="002F7564" w14:paraId="5F632322" w14:textId="77777777">
        <w:tc>
          <w:tcPr>
            <w:tcW w:w="7920" w:type="dxa"/>
            <w:shd w:val="clear" w:color="auto" w:fill="096EB3"/>
            <w:tcMar>
              <w:top w:w="100" w:type="dxa"/>
              <w:left w:w="100" w:type="dxa"/>
              <w:bottom w:w="100" w:type="dxa"/>
              <w:right w:w="100" w:type="dxa"/>
            </w:tcMar>
          </w:tcPr>
          <w:p w14:paraId="48722E33"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ciljevi</w:t>
            </w:r>
          </w:p>
        </w:tc>
      </w:tr>
      <w:tr w:rsidR="002F7564" w14:paraId="4D40EDD3" w14:textId="77777777">
        <w:tc>
          <w:tcPr>
            <w:tcW w:w="7920" w:type="dxa"/>
            <w:shd w:val="clear" w:color="auto" w:fill="F3F3F3"/>
            <w:tcMar>
              <w:top w:w="100" w:type="dxa"/>
              <w:left w:w="100" w:type="dxa"/>
              <w:bottom w:w="100" w:type="dxa"/>
              <w:right w:w="100" w:type="dxa"/>
            </w:tcMar>
          </w:tcPr>
          <w:p w14:paraId="7947A99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3.1. Osigurati raznoliku kulturnu ponudu i pripadajuću infrastrukturu</w:t>
            </w:r>
          </w:p>
        </w:tc>
      </w:tr>
      <w:tr w:rsidR="002F7564" w14:paraId="00A54272" w14:textId="77777777">
        <w:tc>
          <w:tcPr>
            <w:tcW w:w="7920" w:type="dxa"/>
            <w:shd w:val="clear" w:color="auto" w:fill="F3F3F3"/>
            <w:tcMar>
              <w:top w:w="100" w:type="dxa"/>
              <w:left w:w="100" w:type="dxa"/>
              <w:bottom w:w="100" w:type="dxa"/>
              <w:right w:w="100" w:type="dxa"/>
            </w:tcMar>
          </w:tcPr>
          <w:p w14:paraId="4EF0A2E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3.2. Osigurati dostupnost sportskih i ostalih društvenih sadržaja</w:t>
            </w:r>
          </w:p>
        </w:tc>
      </w:tr>
    </w:tbl>
    <w:p w14:paraId="5EF2C570" w14:textId="77777777" w:rsidR="002F7564" w:rsidRDefault="00000000">
      <w:pPr>
        <w:rPr>
          <w:rFonts w:ascii="Source Sans Pro" w:eastAsia="Source Sans Pro" w:hAnsi="Source Sans Pro" w:cs="Source Sans Pro"/>
        </w:rPr>
      </w:pPr>
      <w:r>
        <w:rPr>
          <w:rFonts w:ascii="Source Sans Pro" w:eastAsia="Source Sans Pro" w:hAnsi="Source Sans Pro" w:cs="Source Sans Pro"/>
        </w:rPr>
        <w:lastRenderedPageBreak/>
        <w:t>Sažetak prioriteta javnih politika s popisom pripadajućih posebnih ciljeva prikazan je u tablici niže:</w:t>
      </w:r>
    </w:p>
    <w:p w14:paraId="228D321B" w14:textId="77777777" w:rsidR="002F7564" w:rsidRDefault="002F7564">
      <w:pPr>
        <w:rPr>
          <w:rFonts w:ascii="Source Sans Pro" w:eastAsia="Source Sans Pro" w:hAnsi="Source Sans Pro" w:cs="Source Sans Pro"/>
        </w:rPr>
      </w:pPr>
    </w:p>
    <w:p w14:paraId="1DC801A3" w14:textId="77777777" w:rsidR="002F7564" w:rsidRDefault="00000000">
      <w:pPr>
        <w:rPr>
          <w:rFonts w:ascii="Source Sans Pro" w:eastAsia="Source Sans Pro" w:hAnsi="Source Sans Pro" w:cs="Source Sans Pro"/>
          <w:sz w:val="20"/>
          <w:szCs w:val="20"/>
        </w:rPr>
      </w:pPr>
      <w:r>
        <w:rPr>
          <w:rFonts w:ascii="Source Sans Pro" w:eastAsia="Source Sans Pro" w:hAnsi="Source Sans Pro" w:cs="Source Sans Pro"/>
          <w:sz w:val="20"/>
          <w:szCs w:val="20"/>
        </w:rPr>
        <w:t>Tablica 4 Sažetak strateškog okvira Strategije razvoja Urbanog područja Koprivnica za razdoblje 2021.-2027.</w:t>
      </w:r>
    </w:p>
    <w:tbl>
      <w:tblPr>
        <w:tblStyle w:val="af4"/>
        <w:tblW w:w="9029" w:type="dxa"/>
        <w:tblInd w:w="-100"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600" w:firstRow="0" w:lastRow="0" w:firstColumn="0" w:lastColumn="0" w:noHBand="1" w:noVBand="1"/>
      </w:tblPr>
      <w:tblGrid>
        <w:gridCol w:w="2258"/>
        <w:gridCol w:w="2257"/>
        <w:gridCol w:w="2257"/>
        <w:gridCol w:w="2257"/>
      </w:tblGrid>
      <w:tr w:rsidR="002F7564" w14:paraId="48E10AA8" w14:textId="77777777">
        <w:trPr>
          <w:trHeight w:val="420"/>
        </w:trPr>
        <w:tc>
          <w:tcPr>
            <w:tcW w:w="9029" w:type="dxa"/>
            <w:gridSpan w:val="4"/>
            <w:shd w:val="clear" w:color="auto" w:fill="EFEFEF"/>
            <w:tcMar>
              <w:top w:w="100" w:type="dxa"/>
              <w:left w:w="100" w:type="dxa"/>
              <w:bottom w:w="100" w:type="dxa"/>
              <w:right w:w="100" w:type="dxa"/>
            </w:tcMar>
          </w:tcPr>
          <w:p w14:paraId="1CF39D2A" w14:textId="77777777" w:rsidR="002F7564" w:rsidRDefault="00000000">
            <w:pPr>
              <w:widowControl w:val="0"/>
              <w:jc w:val="center"/>
              <w:rPr>
                <w:rFonts w:ascii="Source Sans Pro" w:eastAsia="Source Sans Pro" w:hAnsi="Source Sans Pro" w:cs="Source Sans Pro"/>
                <w:b/>
                <w:sz w:val="24"/>
                <w:szCs w:val="24"/>
              </w:rPr>
            </w:pPr>
            <w:r>
              <w:rPr>
                <w:rFonts w:ascii="Source Sans Pro" w:eastAsia="Source Sans Pro" w:hAnsi="Source Sans Pro" w:cs="Source Sans Pro"/>
                <w:b/>
                <w:sz w:val="24"/>
                <w:szCs w:val="24"/>
              </w:rPr>
              <w:t>Vizija</w:t>
            </w:r>
          </w:p>
        </w:tc>
      </w:tr>
      <w:tr w:rsidR="002F7564" w14:paraId="6F378D37" w14:textId="77777777">
        <w:trPr>
          <w:trHeight w:val="420"/>
        </w:trPr>
        <w:tc>
          <w:tcPr>
            <w:tcW w:w="9029" w:type="dxa"/>
            <w:gridSpan w:val="4"/>
            <w:shd w:val="clear" w:color="auto" w:fill="EFEFEF"/>
            <w:tcMar>
              <w:top w:w="100" w:type="dxa"/>
              <w:left w:w="100" w:type="dxa"/>
              <w:bottom w:w="100" w:type="dxa"/>
              <w:right w:w="100" w:type="dxa"/>
            </w:tcMar>
          </w:tcPr>
          <w:p w14:paraId="7C62A3EC" w14:textId="77777777" w:rsidR="002F7564" w:rsidRDefault="00000000">
            <w:pPr>
              <w:widowControl w:val="0"/>
              <w:jc w:val="center"/>
              <w:rPr>
                <w:rFonts w:ascii="Source Sans Pro" w:eastAsia="Source Sans Pro" w:hAnsi="Source Sans Pro" w:cs="Source Sans Pro"/>
                <w:sz w:val="24"/>
                <w:szCs w:val="24"/>
              </w:rPr>
            </w:pPr>
            <w:r>
              <w:rPr>
                <w:rFonts w:ascii="Source Sans Pro" w:eastAsia="Source Sans Pro" w:hAnsi="Source Sans Pro" w:cs="Source Sans Pro"/>
                <w:sz w:val="24"/>
                <w:szCs w:val="24"/>
              </w:rPr>
              <w:t>Srce Podravine u novom ruhu - progresivno, povezano i razvijeno, kaj got ‘ko rekel!</w:t>
            </w:r>
          </w:p>
        </w:tc>
      </w:tr>
      <w:tr w:rsidR="002F7564" w14:paraId="222912A6" w14:textId="77777777">
        <w:trPr>
          <w:trHeight w:val="420"/>
        </w:trPr>
        <w:tc>
          <w:tcPr>
            <w:tcW w:w="9029" w:type="dxa"/>
            <w:gridSpan w:val="4"/>
            <w:shd w:val="clear" w:color="auto" w:fill="EFEFEF"/>
            <w:tcMar>
              <w:top w:w="100" w:type="dxa"/>
              <w:left w:w="100" w:type="dxa"/>
              <w:bottom w:w="100" w:type="dxa"/>
              <w:right w:w="100" w:type="dxa"/>
            </w:tcMar>
          </w:tcPr>
          <w:p w14:paraId="41317A2E" w14:textId="77777777" w:rsidR="002F7564" w:rsidRDefault="00000000">
            <w:pPr>
              <w:widowControl w:val="0"/>
              <w:jc w:val="center"/>
              <w:rPr>
                <w:rFonts w:ascii="Source Sans Pro" w:eastAsia="Source Sans Pro" w:hAnsi="Source Sans Pro" w:cs="Source Sans Pro"/>
                <w:b/>
                <w:sz w:val="24"/>
                <w:szCs w:val="24"/>
              </w:rPr>
            </w:pPr>
            <w:r>
              <w:rPr>
                <w:rFonts w:ascii="Source Sans Pro" w:eastAsia="Source Sans Pro" w:hAnsi="Source Sans Pro" w:cs="Source Sans Pro"/>
                <w:b/>
                <w:sz w:val="24"/>
                <w:szCs w:val="24"/>
              </w:rPr>
              <w:t>Prioriteti javnih politika</w:t>
            </w:r>
          </w:p>
        </w:tc>
      </w:tr>
      <w:tr w:rsidR="002F7564" w14:paraId="1D8D24EC" w14:textId="77777777">
        <w:tc>
          <w:tcPr>
            <w:tcW w:w="2258" w:type="dxa"/>
            <w:shd w:val="clear" w:color="auto" w:fill="F3F3F3"/>
            <w:tcMar>
              <w:top w:w="100" w:type="dxa"/>
              <w:left w:w="100" w:type="dxa"/>
              <w:bottom w:w="100" w:type="dxa"/>
              <w:right w:w="100" w:type="dxa"/>
            </w:tcMar>
          </w:tcPr>
          <w:p w14:paraId="1CBD3F47"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Vitalno područje</w:t>
            </w:r>
          </w:p>
        </w:tc>
        <w:tc>
          <w:tcPr>
            <w:tcW w:w="2257" w:type="dxa"/>
            <w:shd w:val="clear" w:color="auto" w:fill="F3F3F3"/>
            <w:tcMar>
              <w:top w:w="100" w:type="dxa"/>
              <w:left w:w="100" w:type="dxa"/>
              <w:bottom w:w="100" w:type="dxa"/>
              <w:right w:w="100" w:type="dxa"/>
            </w:tcMar>
          </w:tcPr>
          <w:p w14:paraId="23313986"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Funkcionalno područje</w:t>
            </w:r>
          </w:p>
        </w:tc>
        <w:tc>
          <w:tcPr>
            <w:tcW w:w="2257" w:type="dxa"/>
            <w:shd w:val="clear" w:color="auto" w:fill="F3F3F3"/>
            <w:tcMar>
              <w:top w:w="100" w:type="dxa"/>
              <w:left w:w="100" w:type="dxa"/>
              <w:bottom w:w="100" w:type="dxa"/>
              <w:right w:w="100" w:type="dxa"/>
            </w:tcMar>
          </w:tcPr>
          <w:p w14:paraId="32787C08"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Razvijeno područje</w:t>
            </w:r>
          </w:p>
        </w:tc>
        <w:tc>
          <w:tcPr>
            <w:tcW w:w="2257" w:type="dxa"/>
            <w:shd w:val="clear" w:color="auto" w:fill="F3F3F3"/>
            <w:tcMar>
              <w:top w:w="100" w:type="dxa"/>
              <w:left w:w="100" w:type="dxa"/>
              <w:bottom w:w="100" w:type="dxa"/>
              <w:right w:w="100" w:type="dxa"/>
            </w:tcMar>
          </w:tcPr>
          <w:p w14:paraId="533B1B24"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 xml:space="preserve">Sadržajno područje </w:t>
            </w:r>
          </w:p>
        </w:tc>
      </w:tr>
      <w:tr w:rsidR="002F7564" w14:paraId="4286A7D7" w14:textId="77777777">
        <w:tc>
          <w:tcPr>
            <w:tcW w:w="2258" w:type="dxa"/>
            <w:shd w:val="clear" w:color="auto" w:fill="FFFFFF"/>
            <w:tcMar>
              <w:top w:w="100" w:type="dxa"/>
              <w:left w:w="100" w:type="dxa"/>
              <w:bottom w:w="100" w:type="dxa"/>
              <w:right w:w="100" w:type="dxa"/>
            </w:tcMar>
          </w:tcPr>
          <w:p w14:paraId="4ACE3A57" w14:textId="77777777" w:rsidR="002F7564" w:rsidRDefault="00000000">
            <w:pPr>
              <w:widowControl w:val="0"/>
              <w:jc w:val="center"/>
              <w:rPr>
                <w:rFonts w:ascii="Source Sans Pro" w:eastAsia="Source Sans Pro" w:hAnsi="Source Sans Pro" w:cs="Source Sans Pro"/>
                <w:sz w:val="24"/>
                <w:szCs w:val="24"/>
              </w:rPr>
            </w:pPr>
            <w:r>
              <w:rPr>
                <w:rFonts w:ascii="Source Sans Pro" w:eastAsia="Source Sans Pro" w:hAnsi="Source Sans Pro" w:cs="Source Sans Pro"/>
                <w:noProof/>
                <w:sz w:val="24"/>
                <w:szCs w:val="24"/>
              </w:rPr>
              <w:drawing>
                <wp:inline distT="19050" distB="19050" distL="19050" distR="19050" wp14:anchorId="185607BA" wp14:editId="37732265">
                  <wp:extent cx="907400" cy="907400"/>
                  <wp:effectExtent l="0" t="0" r="0" b="0"/>
                  <wp:docPr id="1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9"/>
                          <a:srcRect/>
                          <a:stretch>
                            <a:fillRect/>
                          </a:stretch>
                        </pic:blipFill>
                        <pic:spPr>
                          <a:xfrm>
                            <a:off x="0" y="0"/>
                            <a:ext cx="907400" cy="907400"/>
                          </a:xfrm>
                          <a:prstGeom prst="rect">
                            <a:avLst/>
                          </a:prstGeom>
                          <a:ln/>
                        </pic:spPr>
                      </pic:pic>
                    </a:graphicData>
                  </a:graphic>
                </wp:inline>
              </w:drawing>
            </w:r>
          </w:p>
        </w:tc>
        <w:tc>
          <w:tcPr>
            <w:tcW w:w="2257" w:type="dxa"/>
            <w:shd w:val="clear" w:color="auto" w:fill="FFFFFF"/>
            <w:tcMar>
              <w:top w:w="100" w:type="dxa"/>
              <w:left w:w="100" w:type="dxa"/>
              <w:bottom w:w="100" w:type="dxa"/>
              <w:right w:w="100" w:type="dxa"/>
            </w:tcMar>
          </w:tcPr>
          <w:p w14:paraId="64A0F5D1" w14:textId="77777777" w:rsidR="002F7564" w:rsidRDefault="00000000">
            <w:pPr>
              <w:widowControl w:val="0"/>
              <w:jc w:val="center"/>
              <w:rPr>
                <w:rFonts w:ascii="Source Sans Pro" w:eastAsia="Source Sans Pro" w:hAnsi="Source Sans Pro" w:cs="Source Sans Pro"/>
                <w:sz w:val="24"/>
                <w:szCs w:val="24"/>
              </w:rPr>
            </w:pPr>
            <w:r>
              <w:rPr>
                <w:rFonts w:ascii="Source Sans Pro" w:eastAsia="Source Sans Pro" w:hAnsi="Source Sans Pro" w:cs="Source Sans Pro"/>
                <w:noProof/>
                <w:sz w:val="24"/>
                <w:szCs w:val="24"/>
              </w:rPr>
              <w:drawing>
                <wp:inline distT="19050" distB="19050" distL="19050" distR="19050" wp14:anchorId="56FB3C87" wp14:editId="7F4DFDF3">
                  <wp:extent cx="948725" cy="948725"/>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0"/>
                          <a:srcRect/>
                          <a:stretch>
                            <a:fillRect/>
                          </a:stretch>
                        </pic:blipFill>
                        <pic:spPr>
                          <a:xfrm>
                            <a:off x="0" y="0"/>
                            <a:ext cx="948725" cy="948725"/>
                          </a:xfrm>
                          <a:prstGeom prst="rect">
                            <a:avLst/>
                          </a:prstGeom>
                          <a:ln/>
                        </pic:spPr>
                      </pic:pic>
                    </a:graphicData>
                  </a:graphic>
                </wp:inline>
              </w:drawing>
            </w:r>
          </w:p>
        </w:tc>
        <w:tc>
          <w:tcPr>
            <w:tcW w:w="2257" w:type="dxa"/>
            <w:shd w:val="clear" w:color="auto" w:fill="FFFFFF"/>
            <w:tcMar>
              <w:top w:w="100" w:type="dxa"/>
              <w:left w:w="100" w:type="dxa"/>
              <w:bottom w:w="100" w:type="dxa"/>
              <w:right w:w="100" w:type="dxa"/>
            </w:tcMar>
          </w:tcPr>
          <w:p w14:paraId="0E034771"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noProof/>
              </w:rPr>
              <w:drawing>
                <wp:inline distT="19050" distB="19050" distL="19050" distR="19050" wp14:anchorId="6E145D98" wp14:editId="1E57760C">
                  <wp:extent cx="999075" cy="999075"/>
                  <wp:effectExtent l="0" t="0" r="0" b="0"/>
                  <wp:docPr id="10"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1"/>
                          <a:srcRect/>
                          <a:stretch>
                            <a:fillRect/>
                          </a:stretch>
                        </pic:blipFill>
                        <pic:spPr>
                          <a:xfrm>
                            <a:off x="0" y="0"/>
                            <a:ext cx="999075" cy="999075"/>
                          </a:xfrm>
                          <a:prstGeom prst="rect">
                            <a:avLst/>
                          </a:prstGeom>
                          <a:ln/>
                        </pic:spPr>
                      </pic:pic>
                    </a:graphicData>
                  </a:graphic>
                </wp:inline>
              </w:drawing>
            </w:r>
          </w:p>
        </w:tc>
        <w:tc>
          <w:tcPr>
            <w:tcW w:w="2257" w:type="dxa"/>
            <w:shd w:val="clear" w:color="auto" w:fill="FFFFFF"/>
            <w:tcMar>
              <w:top w:w="100" w:type="dxa"/>
              <w:left w:w="100" w:type="dxa"/>
              <w:bottom w:w="100" w:type="dxa"/>
              <w:right w:w="100" w:type="dxa"/>
            </w:tcMar>
          </w:tcPr>
          <w:p w14:paraId="2ED87ED6"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noProof/>
              </w:rPr>
              <w:drawing>
                <wp:inline distT="19050" distB="19050" distL="19050" distR="19050" wp14:anchorId="1C587E82" wp14:editId="09F9F408">
                  <wp:extent cx="1038400" cy="1038400"/>
                  <wp:effectExtent l="0" t="0" r="0" b="0"/>
                  <wp:docPr id="1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
                          <a:srcRect/>
                          <a:stretch>
                            <a:fillRect/>
                          </a:stretch>
                        </pic:blipFill>
                        <pic:spPr>
                          <a:xfrm>
                            <a:off x="0" y="0"/>
                            <a:ext cx="1038400" cy="1038400"/>
                          </a:xfrm>
                          <a:prstGeom prst="rect">
                            <a:avLst/>
                          </a:prstGeom>
                          <a:ln/>
                        </pic:spPr>
                      </pic:pic>
                    </a:graphicData>
                  </a:graphic>
                </wp:inline>
              </w:drawing>
            </w:r>
          </w:p>
        </w:tc>
      </w:tr>
      <w:tr w:rsidR="002F7564" w14:paraId="6A1A3613" w14:textId="77777777">
        <w:trPr>
          <w:trHeight w:val="640"/>
        </w:trPr>
        <w:tc>
          <w:tcPr>
            <w:tcW w:w="9029" w:type="dxa"/>
            <w:gridSpan w:val="4"/>
            <w:shd w:val="clear" w:color="auto" w:fill="F3F3F3"/>
            <w:tcMar>
              <w:top w:w="100" w:type="dxa"/>
              <w:left w:w="100" w:type="dxa"/>
              <w:bottom w:w="100" w:type="dxa"/>
              <w:right w:w="100" w:type="dxa"/>
            </w:tcMar>
            <w:vAlign w:val="center"/>
          </w:tcPr>
          <w:p w14:paraId="42E1C39D" w14:textId="77777777" w:rsidR="002F7564" w:rsidRDefault="00000000">
            <w:pPr>
              <w:widowControl w:val="0"/>
              <w:jc w:val="center"/>
              <w:rPr>
                <w:rFonts w:ascii="Source Sans Pro" w:eastAsia="Source Sans Pro" w:hAnsi="Source Sans Pro" w:cs="Source Sans Pro"/>
                <w:b/>
                <w:sz w:val="24"/>
                <w:szCs w:val="24"/>
              </w:rPr>
            </w:pPr>
            <w:r>
              <w:rPr>
                <w:rFonts w:ascii="Source Sans Pro" w:eastAsia="Source Sans Pro" w:hAnsi="Source Sans Pro" w:cs="Source Sans Pro"/>
                <w:b/>
                <w:sz w:val="24"/>
                <w:szCs w:val="24"/>
              </w:rPr>
              <w:t>Posebni ciljevi</w:t>
            </w:r>
          </w:p>
        </w:tc>
      </w:tr>
      <w:tr w:rsidR="002F7564" w14:paraId="6953E99F" w14:textId="77777777">
        <w:trPr>
          <w:trHeight w:val="640"/>
        </w:trPr>
        <w:tc>
          <w:tcPr>
            <w:tcW w:w="2258" w:type="dxa"/>
            <w:shd w:val="clear" w:color="auto" w:fill="F3F3F3"/>
            <w:tcMar>
              <w:top w:w="100" w:type="dxa"/>
              <w:left w:w="100" w:type="dxa"/>
              <w:bottom w:w="100" w:type="dxa"/>
              <w:right w:w="100" w:type="dxa"/>
            </w:tcMar>
            <w:vAlign w:val="center"/>
          </w:tcPr>
          <w:p w14:paraId="0A996127"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Uspostavit cjelovit, pristupačan i kvalitetan sustava odgoja i obrazovanja</w:t>
            </w:r>
          </w:p>
        </w:tc>
        <w:tc>
          <w:tcPr>
            <w:tcW w:w="2257" w:type="dxa"/>
            <w:shd w:val="clear" w:color="auto" w:fill="F3F3F3"/>
            <w:tcMar>
              <w:top w:w="100" w:type="dxa"/>
              <w:left w:w="100" w:type="dxa"/>
              <w:bottom w:w="100" w:type="dxa"/>
              <w:right w:w="100" w:type="dxa"/>
            </w:tcMar>
            <w:vAlign w:val="center"/>
          </w:tcPr>
          <w:p w14:paraId="3930DE60"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Uspostaviti održiv sustav prijevoza</w:t>
            </w:r>
          </w:p>
        </w:tc>
        <w:tc>
          <w:tcPr>
            <w:tcW w:w="2257" w:type="dxa"/>
            <w:shd w:val="clear" w:color="auto" w:fill="F3F3F3"/>
            <w:tcMar>
              <w:top w:w="100" w:type="dxa"/>
              <w:left w:w="100" w:type="dxa"/>
              <w:bottom w:w="100" w:type="dxa"/>
              <w:right w:w="100" w:type="dxa"/>
            </w:tcMar>
            <w:vAlign w:val="center"/>
          </w:tcPr>
          <w:p w14:paraId="22CFCE1C"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Potaknuti nove ideje u razvoju lokalne ekonomije</w:t>
            </w:r>
          </w:p>
        </w:tc>
        <w:tc>
          <w:tcPr>
            <w:tcW w:w="2257" w:type="dxa"/>
            <w:shd w:val="clear" w:color="auto" w:fill="F3F3F3"/>
            <w:tcMar>
              <w:top w:w="100" w:type="dxa"/>
              <w:left w:w="100" w:type="dxa"/>
              <w:bottom w:w="100" w:type="dxa"/>
              <w:right w:w="100" w:type="dxa"/>
            </w:tcMar>
            <w:vAlign w:val="center"/>
          </w:tcPr>
          <w:p w14:paraId="1922DBB8"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Osigurati raznoliku kulturnu ponudu i pripadajuću infrastrukturu</w:t>
            </w:r>
          </w:p>
        </w:tc>
      </w:tr>
      <w:tr w:rsidR="002F7564" w14:paraId="64A05D6F" w14:textId="77777777">
        <w:trPr>
          <w:trHeight w:val="466"/>
        </w:trPr>
        <w:tc>
          <w:tcPr>
            <w:tcW w:w="2258" w:type="dxa"/>
            <w:shd w:val="clear" w:color="auto" w:fill="F3F3F3"/>
            <w:tcMar>
              <w:top w:w="100" w:type="dxa"/>
              <w:left w:w="100" w:type="dxa"/>
              <w:bottom w:w="100" w:type="dxa"/>
              <w:right w:w="100" w:type="dxa"/>
            </w:tcMar>
            <w:vAlign w:val="center"/>
          </w:tcPr>
          <w:p w14:paraId="5336796A"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 xml:space="preserve">Potaknuti demografsku revitalizaciju </w:t>
            </w:r>
          </w:p>
        </w:tc>
        <w:tc>
          <w:tcPr>
            <w:tcW w:w="2257" w:type="dxa"/>
            <w:shd w:val="clear" w:color="auto" w:fill="F3F3F3"/>
            <w:tcMar>
              <w:top w:w="100" w:type="dxa"/>
              <w:left w:w="100" w:type="dxa"/>
              <w:bottom w:w="100" w:type="dxa"/>
              <w:right w:w="100" w:type="dxa"/>
            </w:tcMar>
            <w:vAlign w:val="center"/>
          </w:tcPr>
          <w:p w14:paraId="6BDCACA0"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Pratiti trendove razvoja digitalne povezivosti</w:t>
            </w:r>
          </w:p>
        </w:tc>
        <w:tc>
          <w:tcPr>
            <w:tcW w:w="2257" w:type="dxa"/>
            <w:shd w:val="clear" w:color="auto" w:fill="F3F3F3"/>
            <w:tcMar>
              <w:top w:w="100" w:type="dxa"/>
              <w:left w:w="100" w:type="dxa"/>
              <w:bottom w:w="100" w:type="dxa"/>
              <w:right w:w="100" w:type="dxa"/>
            </w:tcMar>
            <w:vAlign w:val="center"/>
          </w:tcPr>
          <w:p w14:paraId="0BD75D28"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 xml:space="preserve">Pratiti trendove zelenog i održivog razvoja </w:t>
            </w:r>
          </w:p>
        </w:tc>
        <w:tc>
          <w:tcPr>
            <w:tcW w:w="2257" w:type="dxa"/>
            <w:shd w:val="clear" w:color="auto" w:fill="F3F3F3"/>
            <w:tcMar>
              <w:top w:w="100" w:type="dxa"/>
              <w:left w:w="100" w:type="dxa"/>
              <w:bottom w:w="100" w:type="dxa"/>
              <w:right w:w="100" w:type="dxa"/>
            </w:tcMar>
            <w:vAlign w:val="center"/>
          </w:tcPr>
          <w:p w14:paraId="601D71B7"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 xml:space="preserve">Osigurati dostupnost sportskih i ostalih društvenih sadržaja </w:t>
            </w:r>
          </w:p>
        </w:tc>
      </w:tr>
      <w:tr w:rsidR="002F7564" w14:paraId="64A29849" w14:textId="77777777">
        <w:trPr>
          <w:trHeight w:val="813"/>
        </w:trPr>
        <w:tc>
          <w:tcPr>
            <w:tcW w:w="2258" w:type="dxa"/>
            <w:shd w:val="clear" w:color="auto" w:fill="F3F3F3"/>
            <w:tcMar>
              <w:top w:w="100" w:type="dxa"/>
              <w:left w:w="100" w:type="dxa"/>
              <w:bottom w:w="100" w:type="dxa"/>
              <w:right w:w="100" w:type="dxa"/>
            </w:tcMar>
            <w:vAlign w:val="center"/>
          </w:tcPr>
          <w:p w14:paraId="772D5100"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 xml:space="preserve">Ojačati društvenu inkluziju i skrb za stanovnike </w:t>
            </w:r>
          </w:p>
        </w:tc>
        <w:tc>
          <w:tcPr>
            <w:tcW w:w="2257" w:type="dxa"/>
            <w:shd w:val="clear" w:color="auto" w:fill="F3F3F3"/>
            <w:tcMar>
              <w:top w:w="100" w:type="dxa"/>
              <w:left w:w="100" w:type="dxa"/>
              <w:bottom w:w="100" w:type="dxa"/>
              <w:right w:w="100" w:type="dxa"/>
            </w:tcMar>
            <w:vAlign w:val="center"/>
          </w:tcPr>
          <w:p w14:paraId="20895980"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Unaprijediti infrastrukturne sustave i uspostaviti cjelovit sustav za gospodarenje otpadom</w:t>
            </w:r>
          </w:p>
        </w:tc>
        <w:tc>
          <w:tcPr>
            <w:tcW w:w="2257" w:type="dxa"/>
            <w:shd w:val="clear" w:color="auto" w:fill="FFFFFF"/>
            <w:tcMar>
              <w:top w:w="100" w:type="dxa"/>
              <w:left w:w="100" w:type="dxa"/>
              <w:bottom w:w="100" w:type="dxa"/>
              <w:right w:w="100" w:type="dxa"/>
            </w:tcMar>
            <w:vAlign w:val="center"/>
          </w:tcPr>
          <w:p w14:paraId="503B3793" w14:textId="77777777" w:rsidR="002F7564" w:rsidRDefault="002F7564">
            <w:pPr>
              <w:widowControl w:val="0"/>
              <w:jc w:val="center"/>
              <w:rPr>
                <w:rFonts w:ascii="Source Sans Pro" w:eastAsia="Source Sans Pro" w:hAnsi="Source Sans Pro" w:cs="Source Sans Pro"/>
              </w:rPr>
            </w:pPr>
          </w:p>
        </w:tc>
        <w:tc>
          <w:tcPr>
            <w:tcW w:w="2257" w:type="dxa"/>
            <w:shd w:val="clear" w:color="auto" w:fill="FFFFFF"/>
            <w:tcMar>
              <w:top w:w="100" w:type="dxa"/>
              <w:left w:w="100" w:type="dxa"/>
              <w:bottom w:w="100" w:type="dxa"/>
              <w:right w:w="100" w:type="dxa"/>
            </w:tcMar>
            <w:vAlign w:val="center"/>
          </w:tcPr>
          <w:p w14:paraId="0ACFE576" w14:textId="77777777" w:rsidR="002F7564" w:rsidRDefault="002F7564">
            <w:pPr>
              <w:widowControl w:val="0"/>
              <w:jc w:val="center"/>
              <w:rPr>
                <w:rFonts w:ascii="Source Sans Pro" w:eastAsia="Source Sans Pro" w:hAnsi="Source Sans Pro" w:cs="Source Sans Pro"/>
              </w:rPr>
            </w:pPr>
          </w:p>
        </w:tc>
      </w:tr>
    </w:tbl>
    <w:p w14:paraId="4CB9201B" w14:textId="77777777" w:rsidR="002F7564" w:rsidRDefault="002F7564">
      <w:pPr>
        <w:rPr>
          <w:rFonts w:ascii="Source Sans Pro" w:eastAsia="Source Sans Pro" w:hAnsi="Source Sans Pro" w:cs="Source Sans Pro"/>
        </w:rPr>
      </w:pPr>
    </w:p>
    <w:p w14:paraId="751181C0" w14:textId="77777777" w:rsidR="002F7564" w:rsidRDefault="00000000">
      <w:pPr>
        <w:jc w:val="both"/>
        <w:rPr>
          <w:rFonts w:ascii="Source Sans Pro" w:eastAsia="Source Sans Pro" w:hAnsi="Source Sans Pro" w:cs="Source Sans Pro"/>
          <w:i/>
          <w:sz w:val="20"/>
          <w:szCs w:val="20"/>
        </w:rPr>
      </w:pPr>
      <w:r>
        <w:rPr>
          <w:rFonts w:ascii="Source Sans Pro" w:eastAsia="Source Sans Pro" w:hAnsi="Source Sans Pro" w:cs="Source Sans Pro"/>
          <w:i/>
          <w:sz w:val="20"/>
          <w:szCs w:val="20"/>
        </w:rPr>
        <w:t>Izvor: izrada autora</w:t>
      </w:r>
    </w:p>
    <w:p w14:paraId="3BAB89B4" w14:textId="77777777" w:rsidR="002F7564" w:rsidRDefault="002F7564">
      <w:pPr>
        <w:jc w:val="both"/>
        <w:rPr>
          <w:rFonts w:ascii="Source Sans Pro" w:eastAsia="Source Sans Pro" w:hAnsi="Source Sans Pro" w:cs="Source Sans Pro"/>
        </w:rPr>
      </w:pPr>
    </w:p>
    <w:p w14:paraId="3ECE880C" w14:textId="77777777" w:rsidR="002F7564" w:rsidRDefault="002F7564">
      <w:pPr>
        <w:jc w:val="both"/>
        <w:rPr>
          <w:rFonts w:ascii="Source Sans Pro" w:eastAsia="Source Sans Pro" w:hAnsi="Source Sans Pro" w:cs="Source Sans Pro"/>
        </w:rPr>
      </w:pPr>
    </w:p>
    <w:p w14:paraId="1445FD0B" w14:textId="77777777" w:rsidR="002F7564" w:rsidRDefault="002F7564">
      <w:pPr>
        <w:jc w:val="both"/>
        <w:rPr>
          <w:rFonts w:ascii="Source Sans Pro" w:eastAsia="Source Sans Pro" w:hAnsi="Source Sans Pro" w:cs="Source Sans Pro"/>
        </w:rPr>
      </w:pPr>
    </w:p>
    <w:p w14:paraId="5C0949D0" w14:textId="77777777" w:rsidR="002F7564" w:rsidRDefault="002F7564">
      <w:pPr>
        <w:jc w:val="both"/>
        <w:rPr>
          <w:rFonts w:ascii="Source Sans Pro" w:eastAsia="Source Sans Pro" w:hAnsi="Source Sans Pro" w:cs="Source Sans Pro"/>
        </w:rPr>
      </w:pPr>
    </w:p>
    <w:p w14:paraId="6B61A0F4" w14:textId="77777777" w:rsidR="002F7564" w:rsidRDefault="002F7564">
      <w:pPr>
        <w:jc w:val="both"/>
        <w:rPr>
          <w:rFonts w:ascii="Source Sans Pro" w:eastAsia="Source Sans Pro" w:hAnsi="Source Sans Pro" w:cs="Source Sans Pro"/>
        </w:rPr>
      </w:pPr>
    </w:p>
    <w:p w14:paraId="1B689C2A" w14:textId="77777777" w:rsidR="002F7564" w:rsidRDefault="002F7564">
      <w:pPr>
        <w:jc w:val="both"/>
        <w:rPr>
          <w:rFonts w:ascii="Source Sans Pro" w:eastAsia="Source Sans Pro" w:hAnsi="Source Sans Pro" w:cs="Source Sans Pro"/>
        </w:rPr>
      </w:pPr>
    </w:p>
    <w:p w14:paraId="6AD79483" w14:textId="77777777" w:rsidR="002F7564" w:rsidRDefault="00000000">
      <w:pPr>
        <w:pStyle w:val="Heading1"/>
        <w:ind w:firstLine="720"/>
        <w:jc w:val="both"/>
      </w:pPr>
      <w:bookmarkStart w:id="26" w:name="_2bn6wsx" w:colFirst="0" w:colLast="0"/>
      <w:bookmarkEnd w:id="26"/>
      <w:r>
        <w:lastRenderedPageBreak/>
        <w:t>9. Popis posebnih ciljeva i ključnih pokazatelja ishoda</w:t>
      </w:r>
    </w:p>
    <w:p w14:paraId="6B6961BE" w14:textId="77777777" w:rsidR="002F7564" w:rsidRDefault="002F7564">
      <w:pPr>
        <w:spacing w:line="240" w:lineRule="auto"/>
        <w:jc w:val="both"/>
        <w:rPr>
          <w:rFonts w:ascii="Source Sans Pro" w:eastAsia="Source Sans Pro" w:hAnsi="Source Sans Pro" w:cs="Source Sans Pro"/>
        </w:rPr>
      </w:pPr>
    </w:p>
    <w:p w14:paraId="44D7B57A"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Popis posebnih ciljeva Strategije razvoja Urbanog područja Koprivnica za razdoblje 2021.-2027. uparen s doprinosom koji isti ostvaruju u kontekstu strateških ciljeva Nacionalne razvojne strategije do 2030. prikazan je u tablici niže. </w:t>
      </w:r>
    </w:p>
    <w:p w14:paraId="2259E21D"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Sadržaj tablice usklađen je sa Smjernicama, te redom prikazuje:</w:t>
      </w:r>
    </w:p>
    <w:p w14:paraId="6D442F60" w14:textId="77777777" w:rsidR="002F7564" w:rsidRDefault="00000000">
      <w:pPr>
        <w:numPr>
          <w:ilvl w:val="0"/>
          <w:numId w:val="11"/>
        </w:numPr>
        <w:jc w:val="both"/>
        <w:rPr>
          <w:rFonts w:ascii="Source Sans Pro" w:eastAsia="Source Sans Pro" w:hAnsi="Source Sans Pro" w:cs="Source Sans Pro"/>
        </w:rPr>
      </w:pPr>
      <w:r>
        <w:rPr>
          <w:rFonts w:ascii="Source Sans Pro" w:eastAsia="Source Sans Pro" w:hAnsi="Source Sans Pro" w:cs="Source Sans Pro"/>
        </w:rPr>
        <w:t>strateški cilj NRS-a 2030.</w:t>
      </w:r>
    </w:p>
    <w:p w14:paraId="6BDA6298" w14:textId="77777777" w:rsidR="002F7564" w:rsidRDefault="00000000">
      <w:pPr>
        <w:numPr>
          <w:ilvl w:val="0"/>
          <w:numId w:val="11"/>
        </w:numPr>
        <w:jc w:val="both"/>
        <w:rPr>
          <w:rFonts w:ascii="Source Sans Pro" w:eastAsia="Source Sans Pro" w:hAnsi="Source Sans Pro" w:cs="Source Sans Pro"/>
        </w:rPr>
      </w:pPr>
      <w:r>
        <w:rPr>
          <w:rFonts w:ascii="Source Sans Pro" w:eastAsia="Source Sans Pro" w:hAnsi="Source Sans Pro" w:cs="Source Sans Pro"/>
        </w:rPr>
        <w:t>pokazatelj učinka strateškog cilja NRS-a</w:t>
      </w:r>
    </w:p>
    <w:p w14:paraId="340550A3" w14:textId="77777777" w:rsidR="002F7564" w:rsidRDefault="00000000">
      <w:pPr>
        <w:numPr>
          <w:ilvl w:val="0"/>
          <w:numId w:val="11"/>
        </w:numPr>
        <w:jc w:val="both"/>
        <w:rPr>
          <w:rFonts w:ascii="Source Sans Pro" w:eastAsia="Source Sans Pro" w:hAnsi="Source Sans Pro" w:cs="Source Sans Pro"/>
        </w:rPr>
      </w:pPr>
      <w:r>
        <w:rPr>
          <w:rFonts w:ascii="Source Sans Pro" w:eastAsia="Source Sans Pro" w:hAnsi="Source Sans Pro" w:cs="Source Sans Pro"/>
        </w:rPr>
        <w:t>poseban cilj SRUP-a koji izravno doprinosi provedbi gore navedenog strateškog cilja NRS-a 2030.</w:t>
      </w:r>
    </w:p>
    <w:p w14:paraId="4AF35AF3" w14:textId="77777777" w:rsidR="002F7564" w:rsidRDefault="00000000">
      <w:pPr>
        <w:numPr>
          <w:ilvl w:val="0"/>
          <w:numId w:val="11"/>
        </w:numPr>
        <w:jc w:val="both"/>
        <w:rPr>
          <w:rFonts w:ascii="Source Sans Pro" w:eastAsia="Source Sans Pro" w:hAnsi="Source Sans Pro" w:cs="Source Sans Pro"/>
        </w:rPr>
      </w:pPr>
      <w:r>
        <w:rPr>
          <w:rFonts w:ascii="Source Sans Pro" w:eastAsia="Source Sans Pro" w:hAnsi="Source Sans Pro" w:cs="Source Sans Pro"/>
        </w:rPr>
        <w:t>pokazatelj ishoda posebnog cilja SRUP-a</w:t>
      </w:r>
    </w:p>
    <w:p w14:paraId="74F4FF08" w14:textId="77777777" w:rsidR="002F7564" w:rsidRDefault="002F7564">
      <w:pPr>
        <w:jc w:val="both"/>
        <w:rPr>
          <w:rFonts w:ascii="Source Sans Pro" w:eastAsia="Source Sans Pro" w:hAnsi="Source Sans Pro" w:cs="Source Sans Pro"/>
        </w:rPr>
      </w:pPr>
    </w:p>
    <w:p w14:paraId="75E8BF2D" w14:textId="77777777" w:rsidR="002F7564" w:rsidRDefault="00000000">
      <w:pPr>
        <w:spacing w:line="240" w:lineRule="auto"/>
        <w:jc w:val="both"/>
        <w:rPr>
          <w:rFonts w:ascii="Source Sans Pro" w:eastAsia="Source Sans Pro" w:hAnsi="Source Sans Pro" w:cs="Source Sans Pro"/>
        </w:rPr>
      </w:pPr>
      <w:r>
        <w:rPr>
          <w:rFonts w:ascii="Source Sans Pro" w:eastAsia="Source Sans Pro" w:hAnsi="Source Sans Pro" w:cs="Source Sans Pro"/>
          <w:sz w:val="20"/>
          <w:szCs w:val="20"/>
        </w:rPr>
        <w:t>Tablica 5 Popis posebnih ciljeva i ključnih pokazatelja</w:t>
      </w:r>
      <w:r>
        <w:rPr>
          <w:rFonts w:ascii="Source Sans Pro" w:eastAsia="Source Sans Pro" w:hAnsi="Source Sans Pro" w:cs="Source Sans Pro"/>
        </w:rPr>
        <w:t xml:space="preserve"> </w:t>
      </w:r>
    </w:p>
    <w:tbl>
      <w:tblPr>
        <w:tblStyle w:val="af5"/>
        <w:tblW w:w="9090" w:type="dxa"/>
        <w:tblInd w:w="-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5"/>
        <w:gridCol w:w="4920"/>
        <w:gridCol w:w="1815"/>
        <w:gridCol w:w="1920"/>
      </w:tblGrid>
      <w:tr w:rsidR="002F7564" w14:paraId="4A73A243" w14:textId="77777777">
        <w:trPr>
          <w:trHeight w:val="420"/>
        </w:trPr>
        <w:tc>
          <w:tcPr>
            <w:tcW w:w="9090" w:type="dxa"/>
            <w:gridSpan w:val="4"/>
            <w:shd w:val="clear" w:color="auto" w:fill="666666"/>
            <w:tcMar>
              <w:top w:w="100" w:type="dxa"/>
              <w:left w:w="100" w:type="dxa"/>
              <w:bottom w:w="100" w:type="dxa"/>
              <w:right w:w="100" w:type="dxa"/>
            </w:tcMar>
          </w:tcPr>
          <w:p w14:paraId="7CFB297D"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Strateški cilj NRS-a</w:t>
            </w:r>
          </w:p>
        </w:tc>
      </w:tr>
      <w:tr w:rsidR="002F7564" w14:paraId="08648A9D" w14:textId="77777777">
        <w:trPr>
          <w:trHeight w:val="420"/>
        </w:trPr>
        <w:tc>
          <w:tcPr>
            <w:tcW w:w="9090" w:type="dxa"/>
            <w:gridSpan w:val="4"/>
            <w:shd w:val="clear" w:color="auto" w:fill="EFEFEF"/>
            <w:tcMar>
              <w:top w:w="100" w:type="dxa"/>
              <w:left w:w="100" w:type="dxa"/>
              <w:bottom w:w="100" w:type="dxa"/>
              <w:right w:w="100" w:type="dxa"/>
            </w:tcMar>
            <w:vAlign w:val="center"/>
          </w:tcPr>
          <w:p w14:paraId="5124B5F0"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1. Konkurentno i inovativno gospodarstvo</w:t>
            </w:r>
          </w:p>
        </w:tc>
      </w:tr>
      <w:tr w:rsidR="002F7564" w14:paraId="4D5D0DE2" w14:textId="77777777">
        <w:trPr>
          <w:trHeight w:val="420"/>
        </w:trPr>
        <w:tc>
          <w:tcPr>
            <w:tcW w:w="5355" w:type="dxa"/>
            <w:gridSpan w:val="2"/>
            <w:shd w:val="clear" w:color="auto" w:fill="666666"/>
            <w:tcMar>
              <w:top w:w="100" w:type="dxa"/>
              <w:left w:w="100" w:type="dxa"/>
              <w:bottom w:w="100" w:type="dxa"/>
              <w:right w:w="100" w:type="dxa"/>
            </w:tcMar>
            <w:vAlign w:val="center"/>
          </w:tcPr>
          <w:p w14:paraId="14265505"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1D986C32" w14:textId="77777777" w:rsidR="002F7564" w:rsidRDefault="00000000">
            <w:pPr>
              <w:widowControl w:val="0"/>
              <w:pBdr>
                <w:top w:val="nil"/>
                <w:left w:val="nil"/>
                <w:bottom w:val="nil"/>
                <w:right w:val="nil"/>
                <w:between w:val="nil"/>
              </w:pBdr>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7B7B89A9" w14:textId="77777777" w:rsidR="002F7564" w:rsidRDefault="00000000">
            <w:pPr>
              <w:widowControl w:val="0"/>
              <w:pBdr>
                <w:top w:val="nil"/>
                <w:left w:val="nil"/>
                <w:bottom w:val="nil"/>
                <w:right w:val="nil"/>
                <w:between w:val="nil"/>
              </w:pBdr>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2030.:</w:t>
            </w:r>
          </w:p>
        </w:tc>
      </w:tr>
      <w:tr w:rsidR="002F7564" w14:paraId="4202A4D7" w14:textId="77777777">
        <w:trPr>
          <w:trHeight w:val="420"/>
        </w:trPr>
        <w:tc>
          <w:tcPr>
            <w:tcW w:w="5355" w:type="dxa"/>
            <w:gridSpan w:val="2"/>
            <w:shd w:val="clear" w:color="auto" w:fill="EFEFEF"/>
            <w:tcMar>
              <w:top w:w="100" w:type="dxa"/>
              <w:left w:w="100" w:type="dxa"/>
              <w:bottom w:w="100" w:type="dxa"/>
              <w:right w:w="100" w:type="dxa"/>
            </w:tcMar>
            <w:vAlign w:val="center"/>
          </w:tcPr>
          <w:p w14:paraId="05EA69C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BDP po stanovniku prema paritetu kupovne moći, u % prosjeka EU</w:t>
            </w:r>
          </w:p>
        </w:tc>
        <w:tc>
          <w:tcPr>
            <w:tcW w:w="1815" w:type="dxa"/>
            <w:shd w:val="clear" w:color="auto" w:fill="F3F3F3"/>
            <w:tcMar>
              <w:top w:w="100" w:type="dxa"/>
              <w:left w:w="100" w:type="dxa"/>
              <w:bottom w:w="100" w:type="dxa"/>
              <w:right w:w="100" w:type="dxa"/>
            </w:tcMar>
            <w:vAlign w:val="center"/>
          </w:tcPr>
          <w:p w14:paraId="0CE7ABA4"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65% (2019.)</w:t>
            </w:r>
          </w:p>
        </w:tc>
        <w:tc>
          <w:tcPr>
            <w:tcW w:w="1920" w:type="dxa"/>
            <w:shd w:val="clear" w:color="auto" w:fill="F3F3F3"/>
            <w:tcMar>
              <w:top w:w="100" w:type="dxa"/>
              <w:left w:w="100" w:type="dxa"/>
              <w:bottom w:w="100" w:type="dxa"/>
              <w:right w:w="100" w:type="dxa"/>
            </w:tcMar>
            <w:vAlign w:val="center"/>
          </w:tcPr>
          <w:p w14:paraId="2EB07198"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75%</w:t>
            </w:r>
          </w:p>
        </w:tc>
      </w:tr>
      <w:tr w:rsidR="002F7564" w14:paraId="1AAAB74D" w14:textId="77777777">
        <w:trPr>
          <w:trHeight w:val="420"/>
        </w:trPr>
        <w:tc>
          <w:tcPr>
            <w:tcW w:w="5355" w:type="dxa"/>
            <w:gridSpan w:val="2"/>
            <w:shd w:val="clear" w:color="auto" w:fill="EFEFEF"/>
            <w:tcMar>
              <w:top w:w="100" w:type="dxa"/>
              <w:left w:w="100" w:type="dxa"/>
              <w:bottom w:w="100" w:type="dxa"/>
              <w:right w:w="100" w:type="dxa"/>
            </w:tcMar>
            <w:vAlign w:val="center"/>
          </w:tcPr>
          <w:p w14:paraId="7A7AB70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Vrijednost izvoza roba i usluga, u % BDP-a</w:t>
            </w:r>
          </w:p>
        </w:tc>
        <w:tc>
          <w:tcPr>
            <w:tcW w:w="1815" w:type="dxa"/>
            <w:shd w:val="clear" w:color="auto" w:fill="F3F3F3"/>
            <w:tcMar>
              <w:top w:w="100" w:type="dxa"/>
              <w:left w:w="100" w:type="dxa"/>
              <w:bottom w:w="100" w:type="dxa"/>
              <w:right w:w="100" w:type="dxa"/>
            </w:tcMar>
            <w:vAlign w:val="center"/>
          </w:tcPr>
          <w:p w14:paraId="50CC6919"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52,30% (2019.)</w:t>
            </w:r>
          </w:p>
        </w:tc>
        <w:tc>
          <w:tcPr>
            <w:tcW w:w="1920" w:type="dxa"/>
            <w:shd w:val="clear" w:color="auto" w:fill="F3F3F3"/>
            <w:tcMar>
              <w:top w:w="100" w:type="dxa"/>
              <w:left w:w="100" w:type="dxa"/>
              <w:bottom w:w="100" w:type="dxa"/>
              <w:right w:w="100" w:type="dxa"/>
            </w:tcMar>
            <w:vAlign w:val="center"/>
          </w:tcPr>
          <w:p w14:paraId="4CE8D11A"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70%</w:t>
            </w:r>
          </w:p>
        </w:tc>
      </w:tr>
      <w:tr w:rsidR="002F7564" w14:paraId="0318AED6"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2246CB2F" w14:textId="77777777" w:rsidR="002F7564" w:rsidRDefault="002F7564">
            <w:pPr>
              <w:widowControl w:val="0"/>
              <w:pBdr>
                <w:top w:val="nil"/>
                <w:left w:val="nil"/>
                <w:bottom w:val="nil"/>
                <w:right w:val="nil"/>
                <w:between w:val="nil"/>
              </w:pBdr>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10ED851F"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2F7564" w14:paraId="4D509915" w14:textId="77777777">
        <w:trPr>
          <w:trHeight w:val="420"/>
        </w:trPr>
        <w:tc>
          <w:tcPr>
            <w:tcW w:w="435" w:type="dxa"/>
            <w:vMerge/>
            <w:shd w:val="clear" w:color="auto" w:fill="7CA361"/>
            <w:tcMar>
              <w:top w:w="100" w:type="dxa"/>
              <w:left w:w="100" w:type="dxa"/>
              <w:bottom w:w="100" w:type="dxa"/>
              <w:right w:w="100" w:type="dxa"/>
            </w:tcMar>
            <w:vAlign w:val="center"/>
          </w:tcPr>
          <w:p w14:paraId="64F80089" w14:textId="77777777" w:rsidR="002F7564" w:rsidRDefault="002F7564">
            <w:pPr>
              <w:widowControl w:val="0"/>
              <w:pBdr>
                <w:top w:val="nil"/>
                <w:left w:val="nil"/>
                <w:bottom w:val="nil"/>
                <w:right w:val="nil"/>
                <w:between w:val="nil"/>
              </w:pBdr>
              <w:jc w:val="center"/>
              <w:rPr>
                <w:rFonts w:ascii="Source Sans Pro" w:eastAsia="Source Sans Pro" w:hAnsi="Source Sans Pro" w:cs="Source Sans Pro"/>
              </w:rPr>
            </w:pPr>
          </w:p>
        </w:tc>
        <w:tc>
          <w:tcPr>
            <w:tcW w:w="8655" w:type="dxa"/>
            <w:gridSpan w:val="3"/>
            <w:shd w:val="clear" w:color="auto" w:fill="D9EAD3"/>
            <w:tcMar>
              <w:top w:w="100" w:type="dxa"/>
              <w:left w:w="100" w:type="dxa"/>
              <w:bottom w:w="100" w:type="dxa"/>
              <w:right w:w="100" w:type="dxa"/>
            </w:tcMar>
            <w:vAlign w:val="center"/>
          </w:tcPr>
          <w:p w14:paraId="19397BD7"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rPr>
            </w:pPr>
            <w:r>
              <w:rPr>
                <w:rFonts w:ascii="Source Sans Pro" w:eastAsia="Source Sans Pro" w:hAnsi="Source Sans Pro" w:cs="Source Sans Pro"/>
              </w:rPr>
              <w:t>3.1. Potaknuti nove ideje u razvoju lokalne ekonomije</w:t>
            </w:r>
          </w:p>
        </w:tc>
      </w:tr>
      <w:tr w:rsidR="002F7564" w14:paraId="745D6474" w14:textId="77777777">
        <w:trPr>
          <w:trHeight w:val="420"/>
        </w:trPr>
        <w:tc>
          <w:tcPr>
            <w:tcW w:w="435" w:type="dxa"/>
            <w:vMerge/>
            <w:shd w:val="clear" w:color="auto" w:fill="7CA361"/>
            <w:tcMar>
              <w:top w:w="100" w:type="dxa"/>
              <w:left w:w="100" w:type="dxa"/>
              <w:bottom w:w="100" w:type="dxa"/>
              <w:right w:w="100" w:type="dxa"/>
            </w:tcMar>
            <w:vAlign w:val="center"/>
          </w:tcPr>
          <w:p w14:paraId="280D9A64" w14:textId="77777777" w:rsidR="002F7564" w:rsidRDefault="002F7564">
            <w:pPr>
              <w:widowControl w:val="0"/>
              <w:pBdr>
                <w:top w:val="nil"/>
                <w:left w:val="nil"/>
                <w:bottom w:val="nil"/>
                <w:right w:val="nil"/>
                <w:between w:val="nil"/>
              </w:pBdr>
              <w:jc w:val="center"/>
              <w:rPr>
                <w:rFonts w:ascii="Source Sans Pro" w:eastAsia="Source Sans Pro" w:hAnsi="Source Sans Pro" w:cs="Source Sans Pro"/>
              </w:rPr>
            </w:pPr>
          </w:p>
        </w:tc>
        <w:tc>
          <w:tcPr>
            <w:tcW w:w="8655" w:type="dxa"/>
            <w:gridSpan w:val="3"/>
            <w:shd w:val="clear" w:color="auto" w:fill="D9EAD3"/>
            <w:tcMar>
              <w:top w:w="100" w:type="dxa"/>
              <w:left w:w="100" w:type="dxa"/>
              <w:bottom w:w="100" w:type="dxa"/>
              <w:right w:w="100" w:type="dxa"/>
            </w:tcMar>
            <w:vAlign w:val="center"/>
          </w:tcPr>
          <w:p w14:paraId="2CE8A70D"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rPr>
            </w:pPr>
            <w:r>
              <w:rPr>
                <w:rFonts w:ascii="Source Sans Pro" w:eastAsia="Source Sans Pro" w:hAnsi="Source Sans Pro" w:cs="Source Sans Pro"/>
              </w:rPr>
              <w:t>4.1. Osigurati raznoliku kulturnu ponudu i pripadajuću infrastrukturu</w:t>
            </w:r>
          </w:p>
        </w:tc>
      </w:tr>
      <w:tr w:rsidR="002F7564" w14:paraId="75011060"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3DE3A1F7" w14:textId="77777777" w:rsidR="002F7564" w:rsidRDefault="002F7564">
            <w:pPr>
              <w:widowControl w:val="0"/>
              <w:pBdr>
                <w:top w:val="nil"/>
                <w:left w:val="nil"/>
                <w:bottom w:val="nil"/>
                <w:right w:val="nil"/>
                <w:between w:val="nil"/>
              </w:pBdr>
              <w:rPr>
                <w:rFonts w:ascii="Source Sans Pro" w:eastAsia="Source Sans Pro" w:hAnsi="Source Sans Pro" w:cs="Source Sans Pro"/>
                <w:b/>
                <w:color w:val="FFFFFF"/>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60C942E4" w14:textId="77777777" w:rsidR="002F7564" w:rsidRDefault="00000000">
            <w:pPr>
              <w:widowControl w:val="0"/>
              <w:pBdr>
                <w:top w:val="nil"/>
                <w:left w:val="nil"/>
                <w:bottom w:val="nil"/>
                <w:right w:val="nil"/>
                <w:between w:val="nil"/>
              </w:pBdr>
              <w:rPr>
                <w:rFonts w:ascii="Source Sans Pro" w:eastAsia="Source Sans Pro" w:hAnsi="Source Sans Pro" w:cs="Source Sans Pro"/>
                <w:b/>
                <w:color w:val="FFFFFF"/>
              </w:rPr>
            </w:pPr>
            <w:r>
              <w:rPr>
                <w:rFonts w:ascii="Source Sans Pro" w:eastAsia="Source Sans Pro" w:hAnsi="Source Sans Pro" w:cs="Source Sans Pro"/>
                <w:b/>
                <w:color w:val="FFFFFF"/>
              </w:rPr>
              <w:t>Pokazatelj ishoda</w:t>
            </w:r>
          </w:p>
        </w:tc>
        <w:tc>
          <w:tcPr>
            <w:tcW w:w="1815" w:type="dxa"/>
            <w:shd w:val="clear" w:color="auto" w:fill="7CA361"/>
            <w:tcMar>
              <w:top w:w="100" w:type="dxa"/>
              <w:left w:w="100" w:type="dxa"/>
              <w:bottom w:w="100" w:type="dxa"/>
              <w:right w:w="100" w:type="dxa"/>
            </w:tcMar>
            <w:vAlign w:val="center"/>
          </w:tcPr>
          <w:p w14:paraId="24180D94" w14:textId="77777777" w:rsidR="002F7564" w:rsidRDefault="00000000">
            <w:pPr>
              <w:widowControl w:val="0"/>
              <w:pBdr>
                <w:top w:val="nil"/>
                <w:left w:val="nil"/>
                <w:bottom w:val="nil"/>
                <w:right w:val="nil"/>
                <w:between w:val="nil"/>
              </w:pBdr>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49CDBE0F" w14:textId="77777777" w:rsidR="002F7564" w:rsidRDefault="00000000">
            <w:pPr>
              <w:widowControl w:val="0"/>
              <w:pBdr>
                <w:top w:val="nil"/>
                <w:left w:val="nil"/>
                <w:bottom w:val="nil"/>
                <w:right w:val="nil"/>
                <w:between w:val="nil"/>
              </w:pBdr>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2F7564" w14:paraId="4C7A9255" w14:textId="77777777">
        <w:trPr>
          <w:trHeight w:val="420"/>
        </w:trPr>
        <w:tc>
          <w:tcPr>
            <w:tcW w:w="435" w:type="dxa"/>
            <w:vMerge/>
            <w:shd w:val="clear" w:color="auto" w:fill="7CA361"/>
            <w:tcMar>
              <w:top w:w="100" w:type="dxa"/>
              <w:left w:w="100" w:type="dxa"/>
              <w:bottom w:w="100" w:type="dxa"/>
              <w:right w:w="100" w:type="dxa"/>
            </w:tcMar>
            <w:vAlign w:val="center"/>
          </w:tcPr>
          <w:p w14:paraId="44DE254A" w14:textId="77777777" w:rsidR="002F7564" w:rsidRDefault="002F7564">
            <w:pPr>
              <w:widowControl w:val="0"/>
              <w:rPr>
                <w:rFonts w:ascii="Source Sans Pro" w:eastAsia="Source Sans Pro" w:hAnsi="Source Sans Pro" w:cs="Source Sans Pro"/>
                <w:b/>
              </w:rPr>
            </w:pPr>
          </w:p>
        </w:tc>
        <w:tc>
          <w:tcPr>
            <w:tcW w:w="4920" w:type="dxa"/>
            <w:shd w:val="clear" w:color="auto" w:fill="D9EAD3"/>
            <w:tcMar>
              <w:top w:w="100" w:type="dxa"/>
              <w:left w:w="100" w:type="dxa"/>
              <w:bottom w:w="100" w:type="dxa"/>
              <w:right w:w="100" w:type="dxa"/>
            </w:tcMar>
            <w:vAlign w:val="center"/>
          </w:tcPr>
          <w:p w14:paraId="19496FD0"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rPr>
              <w:t>Udio zaposlenih u mikro, malim i srednjim poduzećima u ukupnom broju zaposlenih (OI.02.1.31)</w:t>
            </w:r>
          </w:p>
        </w:tc>
        <w:tc>
          <w:tcPr>
            <w:tcW w:w="1815" w:type="dxa"/>
            <w:shd w:val="clear" w:color="auto" w:fill="D9EAD3"/>
            <w:tcMar>
              <w:top w:w="100" w:type="dxa"/>
              <w:left w:w="100" w:type="dxa"/>
              <w:bottom w:w="100" w:type="dxa"/>
              <w:right w:w="100" w:type="dxa"/>
            </w:tcMar>
            <w:vAlign w:val="center"/>
          </w:tcPr>
          <w:p w14:paraId="31532F9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51,99% (2020.)</w:t>
            </w:r>
          </w:p>
        </w:tc>
        <w:tc>
          <w:tcPr>
            <w:tcW w:w="1920" w:type="dxa"/>
            <w:shd w:val="clear" w:color="auto" w:fill="D9EAD3"/>
            <w:tcMar>
              <w:top w:w="100" w:type="dxa"/>
              <w:left w:w="100" w:type="dxa"/>
              <w:bottom w:w="100" w:type="dxa"/>
              <w:right w:w="100" w:type="dxa"/>
            </w:tcMar>
            <w:vAlign w:val="center"/>
          </w:tcPr>
          <w:p w14:paraId="5F549F9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55%</w:t>
            </w:r>
          </w:p>
        </w:tc>
      </w:tr>
      <w:tr w:rsidR="002F7564" w14:paraId="042F13C5" w14:textId="77777777">
        <w:trPr>
          <w:trHeight w:val="420"/>
        </w:trPr>
        <w:tc>
          <w:tcPr>
            <w:tcW w:w="435" w:type="dxa"/>
            <w:vMerge/>
            <w:shd w:val="clear" w:color="auto" w:fill="7CA361"/>
            <w:tcMar>
              <w:top w:w="100" w:type="dxa"/>
              <w:left w:w="100" w:type="dxa"/>
              <w:bottom w:w="100" w:type="dxa"/>
              <w:right w:w="100" w:type="dxa"/>
            </w:tcMar>
            <w:vAlign w:val="center"/>
          </w:tcPr>
          <w:p w14:paraId="154CAF1B" w14:textId="77777777" w:rsidR="002F7564" w:rsidRDefault="002F7564">
            <w:pPr>
              <w:widowControl w:val="0"/>
              <w:rPr>
                <w:rFonts w:ascii="Source Sans Pro" w:eastAsia="Source Sans Pro" w:hAnsi="Source Sans Pro" w:cs="Source Sans Pro"/>
                <w:b/>
              </w:rPr>
            </w:pPr>
          </w:p>
        </w:tc>
        <w:tc>
          <w:tcPr>
            <w:tcW w:w="4920" w:type="dxa"/>
            <w:shd w:val="clear" w:color="auto" w:fill="D9EAD3"/>
            <w:tcMar>
              <w:top w:w="100" w:type="dxa"/>
              <w:left w:w="100" w:type="dxa"/>
              <w:bottom w:w="100" w:type="dxa"/>
              <w:right w:w="100" w:type="dxa"/>
            </w:tcMar>
            <w:vAlign w:val="center"/>
          </w:tcPr>
          <w:p w14:paraId="39E66BB0"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rPr>
              <w:t>Dolasci u turističke smještajne objekta (OI.02.8.01)</w:t>
            </w:r>
          </w:p>
        </w:tc>
        <w:tc>
          <w:tcPr>
            <w:tcW w:w="1815" w:type="dxa"/>
            <w:shd w:val="clear" w:color="auto" w:fill="D9EAD3"/>
            <w:tcMar>
              <w:top w:w="100" w:type="dxa"/>
              <w:left w:w="100" w:type="dxa"/>
              <w:bottom w:w="100" w:type="dxa"/>
              <w:right w:w="100" w:type="dxa"/>
            </w:tcMar>
            <w:vAlign w:val="center"/>
          </w:tcPr>
          <w:p w14:paraId="57BE005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2.919 (2020.)</w:t>
            </w:r>
          </w:p>
        </w:tc>
        <w:tc>
          <w:tcPr>
            <w:tcW w:w="1920" w:type="dxa"/>
            <w:shd w:val="clear" w:color="auto" w:fill="D9EAD3"/>
            <w:tcMar>
              <w:top w:w="100" w:type="dxa"/>
              <w:left w:w="100" w:type="dxa"/>
              <w:bottom w:w="100" w:type="dxa"/>
              <w:right w:w="100" w:type="dxa"/>
            </w:tcMar>
            <w:vAlign w:val="center"/>
          </w:tcPr>
          <w:p w14:paraId="2F20462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12.445</w:t>
            </w:r>
          </w:p>
        </w:tc>
      </w:tr>
      <w:tr w:rsidR="002F7564" w14:paraId="62B769CC" w14:textId="77777777">
        <w:trPr>
          <w:trHeight w:val="420"/>
        </w:trPr>
        <w:tc>
          <w:tcPr>
            <w:tcW w:w="435" w:type="dxa"/>
            <w:vMerge/>
            <w:shd w:val="clear" w:color="auto" w:fill="7CA361"/>
            <w:tcMar>
              <w:top w:w="100" w:type="dxa"/>
              <w:left w:w="100" w:type="dxa"/>
              <w:bottom w:w="100" w:type="dxa"/>
              <w:right w:w="100" w:type="dxa"/>
            </w:tcMar>
            <w:vAlign w:val="center"/>
          </w:tcPr>
          <w:p w14:paraId="1D160D63" w14:textId="77777777" w:rsidR="002F7564" w:rsidRDefault="002F7564">
            <w:pPr>
              <w:widowControl w:val="0"/>
              <w:rPr>
                <w:rFonts w:ascii="Source Sans Pro" w:eastAsia="Source Sans Pro" w:hAnsi="Source Sans Pro" w:cs="Source Sans Pro"/>
                <w:b/>
              </w:rPr>
            </w:pPr>
          </w:p>
        </w:tc>
        <w:tc>
          <w:tcPr>
            <w:tcW w:w="4920" w:type="dxa"/>
            <w:shd w:val="clear" w:color="auto" w:fill="D9EAD3"/>
            <w:tcMar>
              <w:top w:w="100" w:type="dxa"/>
              <w:left w:w="100" w:type="dxa"/>
              <w:bottom w:w="100" w:type="dxa"/>
              <w:right w:w="100" w:type="dxa"/>
            </w:tcMar>
            <w:vAlign w:val="center"/>
          </w:tcPr>
          <w:p w14:paraId="720C57DE"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rPr>
              <w:t>Rashodi za kulturu JLP(R)S, po stanovniku (OI.02.8.48)</w:t>
            </w:r>
          </w:p>
        </w:tc>
        <w:tc>
          <w:tcPr>
            <w:tcW w:w="1815" w:type="dxa"/>
            <w:shd w:val="clear" w:color="auto" w:fill="D9EAD3"/>
            <w:tcMar>
              <w:top w:w="100" w:type="dxa"/>
              <w:left w:w="100" w:type="dxa"/>
              <w:bottom w:w="100" w:type="dxa"/>
              <w:right w:w="100" w:type="dxa"/>
            </w:tcMar>
            <w:vAlign w:val="center"/>
          </w:tcPr>
          <w:p w14:paraId="5E93D5B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289 HRK (2021.)</w:t>
            </w:r>
          </w:p>
        </w:tc>
        <w:tc>
          <w:tcPr>
            <w:tcW w:w="1920" w:type="dxa"/>
            <w:shd w:val="clear" w:color="auto" w:fill="D9EAD3"/>
            <w:tcMar>
              <w:top w:w="100" w:type="dxa"/>
              <w:left w:w="100" w:type="dxa"/>
              <w:bottom w:w="100" w:type="dxa"/>
              <w:right w:w="100" w:type="dxa"/>
            </w:tcMar>
            <w:vAlign w:val="center"/>
          </w:tcPr>
          <w:p w14:paraId="687B715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339 HRK</w:t>
            </w:r>
          </w:p>
        </w:tc>
      </w:tr>
      <w:tr w:rsidR="002F7564" w14:paraId="2F8D32DC" w14:textId="77777777">
        <w:trPr>
          <w:trHeight w:val="420"/>
        </w:trPr>
        <w:tc>
          <w:tcPr>
            <w:tcW w:w="9090" w:type="dxa"/>
            <w:gridSpan w:val="4"/>
            <w:tcMar>
              <w:top w:w="100" w:type="dxa"/>
              <w:left w:w="100" w:type="dxa"/>
              <w:bottom w:w="100" w:type="dxa"/>
              <w:right w:w="100" w:type="dxa"/>
            </w:tcMar>
            <w:vAlign w:val="center"/>
          </w:tcPr>
          <w:p w14:paraId="31629F7C" w14:textId="77777777" w:rsidR="002F7564" w:rsidRDefault="002F7564"/>
        </w:tc>
      </w:tr>
      <w:tr w:rsidR="002F7564" w14:paraId="2A75AFAF" w14:textId="77777777">
        <w:trPr>
          <w:trHeight w:val="420"/>
        </w:trPr>
        <w:tc>
          <w:tcPr>
            <w:tcW w:w="9090" w:type="dxa"/>
            <w:gridSpan w:val="4"/>
            <w:shd w:val="clear" w:color="auto" w:fill="666666"/>
            <w:tcMar>
              <w:top w:w="100" w:type="dxa"/>
              <w:left w:w="100" w:type="dxa"/>
              <w:bottom w:w="100" w:type="dxa"/>
              <w:right w:w="100" w:type="dxa"/>
            </w:tcMar>
            <w:vAlign w:val="center"/>
          </w:tcPr>
          <w:p w14:paraId="56E50174"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lastRenderedPageBreak/>
              <w:t>Strateški cilj NRS-a</w:t>
            </w:r>
          </w:p>
        </w:tc>
      </w:tr>
      <w:tr w:rsidR="002F7564" w14:paraId="0DB74DD3" w14:textId="77777777">
        <w:trPr>
          <w:trHeight w:val="420"/>
        </w:trPr>
        <w:tc>
          <w:tcPr>
            <w:tcW w:w="9090" w:type="dxa"/>
            <w:gridSpan w:val="4"/>
            <w:shd w:val="clear" w:color="auto" w:fill="EFEFEF"/>
            <w:tcMar>
              <w:top w:w="100" w:type="dxa"/>
              <w:left w:w="100" w:type="dxa"/>
              <w:bottom w:w="100" w:type="dxa"/>
              <w:right w:w="100" w:type="dxa"/>
            </w:tcMar>
            <w:vAlign w:val="center"/>
          </w:tcPr>
          <w:p w14:paraId="7FE19FAB"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2. Obrazovani i zaposleni ljudi</w:t>
            </w:r>
          </w:p>
        </w:tc>
      </w:tr>
      <w:tr w:rsidR="002F7564" w14:paraId="09915790" w14:textId="77777777">
        <w:trPr>
          <w:trHeight w:val="420"/>
        </w:trPr>
        <w:tc>
          <w:tcPr>
            <w:tcW w:w="5355" w:type="dxa"/>
            <w:gridSpan w:val="2"/>
            <w:shd w:val="clear" w:color="auto" w:fill="666666"/>
            <w:tcMar>
              <w:top w:w="100" w:type="dxa"/>
              <w:left w:w="100" w:type="dxa"/>
              <w:bottom w:w="100" w:type="dxa"/>
              <w:right w:w="100" w:type="dxa"/>
            </w:tcMar>
            <w:vAlign w:val="center"/>
          </w:tcPr>
          <w:p w14:paraId="4C313DF1"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1822196D"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6F361A06"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2030.:</w:t>
            </w:r>
          </w:p>
        </w:tc>
      </w:tr>
      <w:tr w:rsidR="002F7564" w14:paraId="0EE3A3A6" w14:textId="77777777">
        <w:trPr>
          <w:trHeight w:val="420"/>
        </w:trPr>
        <w:tc>
          <w:tcPr>
            <w:tcW w:w="5355" w:type="dxa"/>
            <w:gridSpan w:val="2"/>
            <w:shd w:val="clear" w:color="auto" w:fill="EFEFEF"/>
            <w:tcMar>
              <w:top w:w="100" w:type="dxa"/>
              <w:left w:w="100" w:type="dxa"/>
              <w:bottom w:w="100" w:type="dxa"/>
              <w:right w:w="100" w:type="dxa"/>
            </w:tcMar>
            <w:vAlign w:val="center"/>
          </w:tcPr>
          <w:p w14:paraId="27D8DAB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Obuhvat djece od 4 godine do početka obveznog obrazovanja (predškolski odgoj)</w:t>
            </w:r>
          </w:p>
        </w:tc>
        <w:tc>
          <w:tcPr>
            <w:tcW w:w="1815" w:type="dxa"/>
            <w:shd w:val="clear" w:color="auto" w:fill="F3F3F3"/>
            <w:tcMar>
              <w:top w:w="100" w:type="dxa"/>
              <w:left w:w="100" w:type="dxa"/>
              <w:bottom w:w="100" w:type="dxa"/>
              <w:right w:w="100" w:type="dxa"/>
            </w:tcMar>
            <w:vAlign w:val="center"/>
          </w:tcPr>
          <w:p w14:paraId="454ABF06"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83% (2019.)</w:t>
            </w:r>
          </w:p>
        </w:tc>
        <w:tc>
          <w:tcPr>
            <w:tcW w:w="1920" w:type="dxa"/>
            <w:shd w:val="clear" w:color="auto" w:fill="F3F3F3"/>
            <w:tcMar>
              <w:top w:w="100" w:type="dxa"/>
              <w:left w:w="100" w:type="dxa"/>
              <w:bottom w:w="100" w:type="dxa"/>
              <w:right w:w="100" w:type="dxa"/>
            </w:tcMar>
            <w:vAlign w:val="center"/>
          </w:tcPr>
          <w:p w14:paraId="5F8F1348"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&gt; 97%</w:t>
            </w:r>
          </w:p>
        </w:tc>
      </w:tr>
      <w:tr w:rsidR="002F7564" w14:paraId="211A2A5C" w14:textId="77777777">
        <w:trPr>
          <w:trHeight w:val="420"/>
        </w:trPr>
        <w:tc>
          <w:tcPr>
            <w:tcW w:w="5355" w:type="dxa"/>
            <w:gridSpan w:val="2"/>
            <w:shd w:val="clear" w:color="auto" w:fill="EFEFEF"/>
            <w:tcMar>
              <w:top w:w="100" w:type="dxa"/>
              <w:left w:w="100" w:type="dxa"/>
              <w:bottom w:w="100" w:type="dxa"/>
              <w:right w:w="100" w:type="dxa"/>
            </w:tcMar>
            <w:vAlign w:val="center"/>
          </w:tcPr>
          <w:p w14:paraId="4E09DFC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Stopa zaposlenosti (dobna skupina 20 - 64 godine)</w:t>
            </w:r>
          </w:p>
        </w:tc>
        <w:tc>
          <w:tcPr>
            <w:tcW w:w="1815" w:type="dxa"/>
            <w:shd w:val="clear" w:color="auto" w:fill="F3F3F3"/>
            <w:tcMar>
              <w:top w:w="100" w:type="dxa"/>
              <w:left w:w="100" w:type="dxa"/>
              <w:bottom w:w="100" w:type="dxa"/>
              <w:right w:w="100" w:type="dxa"/>
            </w:tcMar>
            <w:vAlign w:val="center"/>
          </w:tcPr>
          <w:p w14:paraId="6BDA081D"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66,70% (2019.)</w:t>
            </w:r>
          </w:p>
        </w:tc>
        <w:tc>
          <w:tcPr>
            <w:tcW w:w="1920" w:type="dxa"/>
            <w:shd w:val="clear" w:color="auto" w:fill="F3F3F3"/>
            <w:tcMar>
              <w:top w:w="100" w:type="dxa"/>
              <w:left w:w="100" w:type="dxa"/>
              <w:bottom w:w="100" w:type="dxa"/>
              <w:right w:w="100" w:type="dxa"/>
            </w:tcMar>
            <w:vAlign w:val="center"/>
          </w:tcPr>
          <w:p w14:paraId="26763D4B" w14:textId="77777777" w:rsidR="002F7564" w:rsidRDefault="00000000">
            <w:pPr>
              <w:widowControl w:val="0"/>
              <w:pBdr>
                <w:top w:val="nil"/>
                <w:left w:val="nil"/>
                <w:bottom w:val="nil"/>
                <w:right w:val="nil"/>
                <w:between w:val="nil"/>
              </w:pBdr>
              <w:rPr>
                <w:rFonts w:ascii="Source Sans Pro" w:eastAsia="Source Sans Pro" w:hAnsi="Source Sans Pro" w:cs="Source Sans Pro"/>
              </w:rPr>
            </w:pPr>
            <w:r>
              <w:rPr>
                <w:rFonts w:ascii="Source Sans Pro" w:eastAsia="Source Sans Pro" w:hAnsi="Source Sans Pro" w:cs="Source Sans Pro"/>
              </w:rPr>
              <w:t>75%</w:t>
            </w:r>
          </w:p>
        </w:tc>
      </w:tr>
      <w:tr w:rsidR="002F7564" w14:paraId="1B70D13B"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03D7C32C" w14:textId="77777777" w:rsidR="002F7564" w:rsidRDefault="002F7564">
            <w:pPr>
              <w:widowControl w:val="0"/>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076727DC"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2F7564" w14:paraId="21617D9B" w14:textId="77777777">
        <w:trPr>
          <w:trHeight w:val="420"/>
        </w:trPr>
        <w:tc>
          <w:tcPr>
            <w:tcW w:w="435" w:type="dxa"/>
            <w:vMerge/>
            <w:shd w:val="clear" w:color="auto" w:fill="7CA361"/>
            <w:tcMar>
              <w:top w:w="100" w:type="dxa"/>
              <w:left w:w="100" w:type="dxa"/>
              <w:bottom w:w="100" w:type="dxa"/>
              <w:right w:w="100" w:type="dxa"/>
            </w:tcMar>
            <w:vAlign w:val="center"/>
          </w:tcPr>
          <w:p w14:paraId="521781A6" w14:textId="77777777" w:rsidR="002F7564" w:rsidRDefault="002F7564">
            <w:pPr>
              <w:widowControl w:val="0"/>
              <w:jc w:val="center"/>
              <w:rPr>
                <w:rFonts w:ascii="Source Sans Pro" w:eastAsia="Source Sans Pro" w:hAnsi="Source Sans Pro" w:cs="Source Sans Pro"/>
              </w:rPr>
            </w:pPr>
          </w:p>
        </w:tc>
        <w:tc>
          <w:tcPr>
            <w:tcW w:w="8655" w:type="dxa"/>
            <w:gridSpan w:val="3"/>
            <w:shd w:val="clear" w:color="auto" w:fill="D9EAD3"/>
            <w:tcMar>
              <w:top w:w="100" w:type="dxa"/>
              <w:left w:w="100" w:type="dxa"/>
              <w:bottom w:w="100" w:type="dxa"/>
              <w:right w:w="100" w:type="dxa"/>
            </w:tcMar>
            <w:vAlign w:val="center"/>
          </w:tcPr>
          <w:p w14:paraId="6AD5A680"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1.1. Uspostaviti cjelovit, pristupačan i kvalitetan sustav odgoja i obrazovanja</w:t>
            </w:r>
          </w:p>
        </w:tc>
      </w:tr>
      <w:tr w:rsidR="002F7564" w14:paraId="3DF491E4"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341C5596" w14:textId="77777777" w:rsidR="002F7564" w:rsidRDefault="002F7564">
            <w:pPr>
              <w:widowControl w:val="0"/>
              <w:rPr>
                <w:rFonts w:ascii="Source Sans Pro" w:eastAsia="Source Sans Pro" w:hAnsi="Source Sans Pro" w:cs="Source Sans Pro"/>
                <w:b/>
                <w:color w:val="FFFFFF"/>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3E0C30C3"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ishoda</w:t>
            </w:r>
          </w:p>
        </w:tc>
        <w:tc>
          <w:tcPr>
            <w:tcW w:w="1815" w:type="dxa"/>
            <w:shd w:val="clear" w:color="auto" w:fill="7CA361"/>
            <w:tcMar>
              <w:top w:w="100" w:type="dxa"/>
              <w:left w:w="100" w:type="dxa"/>
              <w:bottom w:w="100" w:type="dxa"/>
              <w:right w:w="100" w:type="dxa"/>
            </w:tcMar>
            <w:vAlign w:val="center"/>
          </w:tcPr>
          <w:p w14:paraId="74B77770"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3D6DF248"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2F7564" w14:paraId="48224537" w14:textId="77777777">
        <w:trPr>
          <w:trHeight w:val="420"/>
        </w:trPr>
        <w:tc>
          <w:tcPr>
            <w:tcW w:w="435" w:type="dxa"/>
            <w:vMerge/>
            <w:shd w:val="clear" w:color="auto" w:fill="7CA361"/>
            <w:tcMar>
              <w:top w:w="100" w:type="dxa"/>
              <w:left w:w="100" w:type="dxa"/>
              <w:bottom w:w="100" w:type="dxa"/>
              <w:right w:w="100" w:type="dxa"/>
            </w:tcMar>
            <w:vAlign w:val="center"/>
          </w:tcPr>
          <w:p w14:paraId="6A8DBA95" w14:textId="77777777" w:rsidR="002F7564" w:rsidRDefault="002F7564">
            <w:pPr>
              <w:widowControl w:val="0"/>
              <w:rPr>
                <w:rFonts w:ascii="Source Sans Pro" w:eastAsia="Source Sans Pro" w:hAnsi="Source Sans Pro" w:cs="Source Sans Pro"/>
                <w:b/>
              </w:rPr>
            </w:pPr>
          </w:p>
        </w:tc>
        <w:tc>
          <w:tcPr>
            <w:tcW w:w="4920" w:type="dxa"/>
            <w:shd w:val="clear" w:color="auto" w:fill="D9EAD3"/>
            <w:tcMar>
              <w:top w:w="100" w:type="dxa"/>
              <w:left w:w="100" w:type="dxa"/>
              <w:bottom w:w="100" w:type="dxa"/>
              <w:right w:w="100" w:type="dxa"/>
            </w:tcMar>
            <w:vAlign w:val="center"/>
          </w:tcPr>
          <w:p w14:paraId="5A3BCF67"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rPr>
              <w:t>Rashodi za odgojno-obrazovni sustav JLP(R)S, po stanovniku  (OI.02.2.58)</w:t>
            </w:r>
          </w:p>
        </w:tc>
        <w:tc>
          <w:tcPr>
            <w:tcW w:w="1815" w:type="dxa"/>
            <w:shd w:val="clear" w:color="auto" w:fill="D9EAD3"/>
            <w:tcMar>
              <w:top w:w="100" w:type="dxa"/>
              <w:left w:w="100" w:type="dxa"/>
              <w:bottom w:w="100" w:type="dxa"/>
              <w:right w:w="100" w:type="dxa"/>
            </w:tcMar>
            <w:vAlign w:val="center"/>
          </w:tcPr>
          <w:p w14:paraId="4390842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2.657,00 HRK (2021.)</w:t>
            </w:r>
          </w:p>
        </w:tc>
        <w:tc>
          <w:tcPr>
            <w:tcW w:w="1920" w:type="dxa"/>
            <w:shd w:val="clear" w:color="auto" w:fill="D9EAD3"/>
            <w:tcMar>
              <w:top w:w="100" w:type="dxa"/>
              <w:left w:w="100" w:type="dxa"/>
              <w:bottom w:w="100" w:type="dxa"/>
              <w:right w:w="100" w:type="dxa"/>
            </w:tcMar>
            <w:vAlign w:val="center"/>
          </w:tcPr>
          <w:p w14:paraId="1A29941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2.707,00 HRK</w:t>
            </w:r>
          </w:p>
        </w:tc>
      </w:tr>
      <w:tr w:rsidR="002F7564" w14:paraId="779389B0" w14:textId="77777777">
        <w:trPr>
          <w:trHeight w:val="420"/>
        </w:trPr>
        <w:tc>
          <w:tcPr>
            <w:tcW w:w="435" w:type="dxa"/>
            <w:vMerge/>
            <w:shd w:val="clear" w:color="auto" w:fill="7CA361"/>
            <w:tcMar>
              <w:top w:w="100" w:type="dxa"/>
              <w:left w:w="100" w:type="dxa"/>
              <w:bottom w:w="100" w:type="dxa"/>
              <w:right w:w="100" w:type="dxa"/>
            </w:tcMar>
            <w:vAlign w:val="center"/>
          </w:tcPr>
          <w:p w14:paraId="65C61E2D" w14:textId="77777777" w:rsidR="002F7564" w:rsidRDefault="002F7564">
            <w:pPr>
              <w:widowControl w:val="0"/>
              <w:rPr>
                <w:rFonts w:ascii="Source Sans Pro" w:eastAsia="Source Sans Pro" w:hAnsi="Source Sans Pro" w:cs="Source Sans Pro"/>
                <w:b/>
              </w:rPr>
            </w:pPr>
          </w:p>
        </w:tc>
        <w:tc>
          <w:tcPr>
            <w:tcW w:w="4920" w:type="dxa"/>
            <w:shd w:val="clear" w:color="auto" w:fill="D9EAD3"/>
            <w:tcMar>
              <w:top w:w="100" w:type="dxa"/>
              <w:left w:w="100" w:type="dxa"/>
              <w:bottom w:w="100" w:type="dxa"/>
              <w:right w:w="100" w:type="dxa"/>
            </w:tcMar>
            <w:vAlign w:val="center"/>
          </w:tcPr>
          <w:p w14:paraId="7C80A452"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rPr>
              <w:t>Broj dječjih vrtića i drugih pravnih osoba koje ostvaruju program predškolskog odgoja (OI.02.2.61)</w:t>
            </w:r>
          </w:p>
        </w:tc>
        <w:tc>
          <w:tcPr>
            <w:tcW w:w="1815" w:type="dxa"/>
            <w:shd w:val="clear" w:color="auto" w:fill="D9EAD3"/>
            <w:tcMar>
              <w:top w:w="100" w:type="dxa"/>
              <w:left w:w="100" w:type="dxa"/>
              <w:bottom w:w="100" w:type="dxa"/>
              <w:right w:w="100" w:type="dxa"/>
            </w:tcMar>
            <w:vAlign w:val="center"/>
          </w:tcPr>
          <w:p w14:paraId="6E2CE74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23 (2021.)</w:t>
            </w:r>
          </w:p>
        </w:tc>
        <w:tc>
          <w:tcPr>
            <w:tcW w:w="1920" w:type="dxa"/>
            <w:shd w:val="clear" w:color="auto" w:fill="D9EAD3"/>
            <w:tcMar>
              <w:top w:w="100" w:type="dxa"/>
              <w:left w:w="100" w:type="dxa"/>
              <w:bottom w:w="100" w:type="dxa"/>
              <w:right w:w="100" w:type="dxa"/>
            </w:tcMar>
            <w:vAlign w:val="center"/>
          </w:tcPr>
          <w:p w14:paraId="4BB19AF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25</w:t>
            </w:r>
          </w:p>
        </w:tc>
      </w:tr>
      <w:tr w:rsidR="002F7564" w14:paraId="5681C910" w14:textId="77777777">
        <w:trPr>
          <w:trHeight w:val="420"/>
        </w:trPr>
        <w:tc>
          <w:tcPr>
            <w:tcW w:w="9090" w:type="dxa"/>
            <w:gridSpan w:val="4"/>
            <w:tcMar>
              <w:top w:w="100" w:type="dxa"/>
              <w:left w:w="100" w:type="dxa"/>
              <w:bottom w:w="100" w:type="dxa"/>
              <w:right w:w="100" w:type="dxa"/>
            </w:tcMar>
            <w:vAlign w:val="center"/>
          </w:tcPr>
          <w:p w14:paraId="72162476" w14:textId="77777777" w:rsidR="002F7564" w:rsidRDefault="002F7564">
            <w:pPr>
              <w:widowControl w:val="0"/>
              <w:jc w:val="center"/>
              <w:rPr>
                <w:rFonts w:ascii="Source Sans Pro" w:eastAsia="Source Sans Pro" w:hAnsi="Source Sans Pro" w:cs="Source Sans Pro"/>
                <w:b/>
                <w:color w:val="FFFFFF"/>
              </w:rPr>
            </w:pPr>
          </w:p>
        </w:tc>
      </w:tr>
      <w:tr w:rsidR="002F7564" w14:paraId="692CF721" w14:textId="77777777">
        <w:trPr>
          <w:trHeight w:val="420"/>
        </w:trPr>
        <w:tc>
          <w:tcPr>
            <w:tcW w:w="9090" w:type="dxa"/>
            <w:gridSpan w:val="4"/>
            <w:shd w:val="clear" w:color="auto" w:fill="666666"/>
            <w:tcMar>
              <w:top w:w="100" w:type="dxa"/>
              <w:left w:w="100" w:type="dxa"/>
              <w:bottom w:w="100" w:type="dxa"/>
              <w:right w:w="100" w:type="dxa"/>
            </w:tcMar>
            <w:vAlign w:val="center"/>
          </w:tcPr>
          <w:p w14:paraId="4C0B50F0"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Strateški cilj NRS-a</w:t>
            </w:r>
          </w:p>
        </w:tc>
      </w:tr>
      <w:tr w:rsidR="002F7564" w14:paraId="26906C1E" w14:textId="77777777">
        <w:trPr>
          <w:trHeight w:val="441"/>
        </w:trPr>
        <w:tc>
          <w:tcPr>
            <w:tcW w:w="9090" w:type="dxa"/>
            <w:gridSpan w:val="4"/>
            <w:shd w:val="clear" w:color="auto" w:fill="EFEFEF"/>
            <w:tcMar>
              <w:top w:w="100" w:type="dxa"/>
              <w:left w:w="100" w:type="dxa"/>
              <w:bottom w:w="100" w:type="dxa"/>
              <w:right w:w="100" w:type="dxa"/>
            </w:tcMar>
            <w:vAlign w:val="center"/>
          </w:tcPr>
          <w:p w14:paraId="7D11950F"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 xml:space="preserve">3. Učinkovito i djelotvorno pravosuđe, javna uprava i upravljanje državnom imovinom </w:t>
            </w:r>
          </w:p>
        </w:tc>
      </w:tr>
      <w:tr w:rsidR="002F7564" w14:paraId="39971F92" w14:textId="77777777">
        <w:trPr>
          <w:trHeight w:val="420"/>
        </w:trPr>
        <w:tc>
          <w:tcPr>
            <w:tcW w:w="5355" w:type="dxa"/>
            <w:gridSpan w:val="2"/>
            <w:shd w:val="clear" w:color="auto" w:fill="666666"/>
            <w:tcMar>
              <w:top w:w="100" w:type="dxa"/>
              <w:left w:w="100" w:type="dxa"/>
              <w:bottom w:w="100" w:type="dxa"/>
              <w:right w:w="100" w:type="dxa"/>
            </w:tcMar>
            <w:vAlign w:val="center"/>
          </w:tcPr>
          <w:p w14:paraId="0D90848E"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7C3A0443"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58C285E2"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2030.:</w:t>
            </w:r>
          </w:p>
        </w:tc>
      </w:tr>
      <w:tr w:rsidR="002F7564" w14:paraId="34778FC1" w14:textId="77777777">
        <w:trPr>
          <w:trHeight w:val="420"/>
        </w:trPr>
        <w:tc>
          <w:tcPr>
            <w:tcW w:w="5355" w:type="dxa"/>
            <w:gridSpan w:val="2"/>
            <w:shd w:val="clear" w:color="auto" w:fill="EFEFEF"/>
            <w:tcMar>
              <w:top w:w="100" w:type="dxa"/>
              <w:left w:w="100" w:type="dxa"/>
              <w:bottom w:w="100" w:type="dxa"/>
              <w:right w:w="100" w:type="dxa"/>
            </w:tcMar>
            <w:vAlign w:val="center"/>
          </w:tcPr>
          <w:p w14:paraId="75A2F02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Indeks globalne konkurentnosti (GCI) -</w:t>
            </w:r>
          </w:p>
          <w:p w14:paraId="06E46A1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Stup 1. „Institucije”</w:t>
            </w:r>
          </w:p>
        </w:tc>
        <w:tc>
          <w:tcPr>
            <w:tcW w:w="1815" w:type="dxa"/>
            <w:shd w:val="clear" w:color="auto" w:fill="F3F3F3"/>
            <w:tcMar>
              <w:top w:w="100" w:type="dxa"/>
              <w:left w:w="100" w:type="dxa"/>
              <w:bottom w:w="100" w:type="dxa"/>
              <w:right w:w="100" w:type="dxa"/>
            </w:tcMar>
            <w:vAlign w:val="center"/>
          </w:tcPr>
          <w:p w14:paraId="03C64D9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77. mjesto (2019)</w:t>
            </w:r>
          </w:p>
        </w:tc>
        <w:tc>
          <w:tcPr>
            <w:tcW w:w="1920" w:type="dxa"/>
            <w:shd w:val="clear" w:color="auto" w:fill="F3F3F3"/>
            <w:tcMar>
              <w:top w:w="100" w:type="dxa"/>
              <w:left w:w="100" w:type="dxa"/>
              <w:bottom w:w="100" w:type="dxa"/>
              <w:right w:w="100" w:type="dxa"/>
            </w:tcMar>
            <w:vAlign w:val="center"/>
          </w:tcPr>
          <w:p w14:paraId="699C83C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&lt; 60. mjesta</w:t>
            </w:r>
          </w:p>
        </w:tc>
      </w:tr>
      <w:tr w:rsidR="002F7564" w14:paraId="665915D7"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69D2B6A1" w14:textId="77777777" w:rsidR="002F7564" w:rsidRDefault="002F7564">
            <w:pPr>
              <w:widowControl w:val="0"/>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53B51E52"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2F7564" w14:paraId="7ABA44CB" w14:textId="77777777">
        <w:trPr>
          <w:trHeight w:val="420"/>
        </w:trPr>
        <w:tc>
          <w:tcPr>
            <w:tcW w:w="435" w:type="dxa"/>
            <w:vMerge/>
            <w:shd w:val="clear" w:color="auto" w:fill="7CA361"/>
            <w:tcMar>
              <w:top w:w="100" w:type="dxa"/>
              <w:left w:w="100" w:type="dxa"/>
              <w:bottom w:w="100" w:type="dxa"/>
              <w:right w:w="100" w:type="dxa"/>
            </w:tcMar>
            <w:vAlign w:val="center"/>
          </w:tcPr>
          <w:p w14:paraId="02A7C216" w14:textId="77777777" w:rsidR="002F7564" w:rsidRDefault="002F7564">
            <w:pPr>
              <w:widowControl w:val="0"/>
              <w:jc w:val="center"/>
              <w:rPr>
                <w:rFonts w:ascii="Source Sans Pro" w:eastAsia="Source Sans Pro" w:hAnsi="Source Sans Pro" w:cs="Source Sans Pro"/>
              </w:rPr>
            </w:pPr>
          </w:p>
        </w:tc>
        <w:tc>
          <w:tcPr>
            <w:tcW w:w="8655" w:type="dxa"/>
            <w:gridSpan w:val="3"/>
            <w:shd w:val="clear" w:color="auto" w:fill="D9EAD3"/>
            <w:tcMar>
              <w:top w:w="100" w:type="dxa"/>
              <w:left w:w="100" w:type="dxa"/>
              <w:bottom w:w="100" w:type="dxa"/>
              <w:right w:w="100" w:type="dxa"/>
            </w:tcMar>
            <w:vAlign w:val="center"/>
          </w:tcPr>
          <w:p w14:paraId="78CD6575"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2.2. Pratiti trendove razvoja digitalne povezivosti</w:t>
            </w:r>
          </w:p>
        </w:tc>
      </w:tr>
      <w:tr w:rsidR="002F7564" w14:paraId="3D779249"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56EE2A4A" w14:textId="77777777" w:rsidR="002F7564" w:rsidRDefault="002F7564">
            <w:pPr>
              <w:widowControl w:val="0"/>
              <w:rPr>
                <w:rFonts w:ascii="Source Sans Pro" w:eastAsia="Source Sans Pro" w:hAnsi="Source Sans Pro" w:cs="Source Sans Pro"/>
                <w:b/>
                <w:color w:val="FFFFFF"/>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09D92D2E"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ishoda</w:t>
            </w:r>
          </w:p>
        </w:tc>
        <w:tc>
          <w:tcPr>
            <w:tcW w:w="1815" w:type="dxa"/>
            <w:shd w:val="clear" w:color="auto" w:fill="7CA361"/>
            <w:tcMar>
              <w:top w:w="100" w:type="dxa"/>
              <w:left w:w="100" w:type="dxa"/>
              <w:bottom w:w="100" w:type="dxa"/>
              <w:right w:w="100" w:type="dxa"/>
            </w:tcMar>
            <w:vAlign w:val="center"/>
          </w:tcPr>
          <w:p w14:paraId="6BA6FE72"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007C5939"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2F7564" w14:paraId="21EB6789" w14:textId="77777777">
        <w:trPr>
          <w:trHeight w:val="420"/>
        </w:trPr>
        <w:tc>
          <w:tcPr>
            <w:tcW w:w="435" w:type="dxa"/>
            <w:vMerge/>
            <w:shd w:val="clear" w:color="auto" w:fill="7CA361"/>
            <w:tcMar>
              <w:top w:w="100" w:type="dxa"/>
              <w:left w:w="100" w:type="dxa"/>
              <w:bottom w:w="100" w:type="dxa"/>
              <w:right w:w="100" w:type="dxa"/>
            </w:tcMar>
            <w:vAlign w:val="center"/>
          </w:tcPr>
          <w:p w14:paraId="2F33C54D" w14:textId="77777777" w:rsidR="002F7564" w:rsidRDefault="002F7564">
            <w:pPr>
              <w:widowControl w:val="0"/>
              <w:rPr>
                <w:rFonts w:ascii="Source Sans Pro" w:eastAsia="Source Sans Pro" w:hAnsi="Source Sans Pro" w:cs="Source Sans Pro"/>
                <w:b/>
              </w:rPr>
            </w:pPr>
          </w:p>
        </w:tc>
        <w:tc>
          <w:tcPr>
            <w:tcW w:w="4920" w:type="dxa"/>
            <w:shd w:val="clear" w:color="auto" w:fill="D9EAD3"/>
            <w:tcMar>
              <w:top w:w="100" w:type="dxa"/>
              <w:left w:w="100" w:type="dxa"/>
              <w:bottom w:w="100" w:type="dxa"/>
              <w:right w:w="100" w:type="dxa"/>
            </w:tcMar>
            <w:vAlign w:val="center"/>
          </w:tcPr>
          <w:p w14:paraId="7024E48D"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rPr>
              <w:t>Broj novih e-usluga za građane (OI.02.7.35)</w:t>
            </w:r>
          </w:p>
        </w:tc>
        <w:tc>
          <w:tcPr>
            <w:tcW w:w="1815" w:type="dxa"/>
            <w:shd w:val="clear" w:color="auto" w:fill="D9EAD3"/>
            <w:tcMar>
              <w:top w:w="100" w:type="dxa"/>
              <w:left w:w="100" w:type="dxa"/>
              <w:bottom w:w="100" w:type="dxa"/>
              <w:right w:w="100" w:type="dxa"/>
            </w:tcMar>
            <w:vAlign w:val="center"/>
          </w:tcPr>
          <w:p w14:paraId="5260DD4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 xml:space="preserve">0 </w:t>
            </w:r>
          </w:p>
        </w:tc>
        <w:tc>
          <w:tcPr>
            <w:tcW w:w="1920" w:type="dxa"/>
            <w:shd w:val="clear" w:color="auto" w:fill="D9EAD3"/>
            <w:tcMar>
              <w:top w:w="100" w:type="dxa"/>
              <w:left w:w="100" w:type="dxa"/>
              <w:bottom w:w="100" w:type="dxa"/>
              <w:right w:w="100" w:type="dxa"/>
            </w:tcMar>
            <w:vAlign w:val="center"/>
          </w:tcPr>
          <w:p w14:paraId="691691F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5</w:t>
            </w:r>
          </w:p>
        </w:tc>
      </w:tr>
      <w:tr w:rsidR="002F7564" w14:paraId="447E3143" w14:textId="77777777">
        <w:trPr>
          <w:trHeight w:val="420"/>
        </w:trPr>
        <w:tc>
          <w:tcPr>
            <w:tcW w:w="435" w:type="dxa"/>
            <w:vMerge/>
            <w:shd w:val="clear" w:color="auto" w:fill="7CA361"/>
            <w:tcMar>
              <w:top w:w="100" w:type="dxa"/>
              <w:left w:w="100" w:type="dxa"/>
              <w:bottom w:w="100" w:type="dxa"/>
              <w:right w:w="100" w:type="dxa"/>
            </w:tcMar>
            <w:vAlign w:val="center"/>
          </w:tcPr>
          <w:p w14:paraId="5EEFB754" w14:textId="77777777" w:rsidR="002F7564" w:rsidRDefault="002F7564">
            <w:pPr>
              <w:widowControl w:val="0"/>
              <w:rPr>
                <w:rFonts w:ascii="Source Sans Pro" w:eastAsia="Source Sans Pro" w:hAnsi="Source Sans Pro" w:cs="Source Sans Pro"/>
              </w:rPr>
            </w:pPr>
          </w:p>
        </w:tc>
        <w:tc>
          <w:tcPr>
            <w:tcW w:w="4920" w:type="dxa"/>
            <w:shd w:val="clear" w:color="auto" w:fill="D9EAD3"/>
            <w:tcMar>
              <w:top w:w="100" w:type="dxa"/>
              <w:left w:w="100" w:type="dxa"/>
              <w:bottom w:w="100" w:type="dxa"/>
              <w:right w:w="100" w:type="dxa"/>
            </w:tcMar>
            <w:vAlign w:val="center"/>
          </w:tcPr>
          <w:p w14:paraId="2D58F31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w:t>
            </w:r>
          </w:p>
        </w:tc>
        <w:tc>
          <w:tcPr>
            <w:tcW w:w="1815" w:type="dxa"/>
            <w:shd w:val="clear" w:color="auto" w:fill="D9EAD3"/>
            <w:tcMar>
              <w:top w:w="100" w:type="dxa"/>
              <w:left w:w="100" w:type="dxa"/>
              <w:bottom w:w="100" w:type="dxa"/>
              <w:right w:w="100" w:type="dxa"/>
            </w:tcMar>
            <w:vAlign w:val="center"/>
          </w:tcPr>
          <w:p w14:paraId="4871E66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w:t>
            </w:r>
          </w:p>
        </w:tc>
        <w:tc>
          <w:tcPr>
            <w:tcW w:w="1920" w:type="dxa"/>
            <w:shd w:val="clear" w:color="auto" w:fill="D9EAD3"/>
            <w:tcMar>
              <w:top w:w="100" w:type="dxa"/>
              <w:left w:w="100" w:type="dxa"/>
              <w:bottom w:w="100" w:type="dxa"/>
              <w:right w:w="100" w:type="dxa"/>
            </w:tcMar>
            <w:vAlign w:val="center"/>
          </w:tcPr>
          <w:p w14:paraId="54A1210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w:t>
            </w:r>
          </w:p>
        </w:tc>
      </w:tr>
      <w:tr w:rsidR="002F7564" w14:paraId="5983979D" w14:textId="77777777">
        <w:trPr>
          <w:trHeight w:val="420"/>
        </w:trPr>
        <w:tc>
          <w:tcPr>
            <w:tcW w:w="9090" w:type="dxa"/>
            <w:gridSpan w:val="4"/>
            <w:tcMar>
              <w:top w:w="100" w:type="dxa"/>
              <w:left w:w="100" w:type="dxa"/>
              <w:bottom w:w="100" w:type="dxa"/>
              <w:right w:w="100" w:type="dxa"/>
            </w:tcMar>
            <w:vAlign w:val="center"/>
          </w:tcPr>
          <w:p w14:paraId="3834B800" w14:textId="77777777" w:rsidR="002F7564" w:rsidRDefault="002F7564">
            <w:pPr>
              <w:widowControl w:val="0"/>
              <w:jc w:val="center"/>
              <w:rPr>
                <w:rFonts w:ascii="Source Sans Pro" w:eastAsia="Source Sans Pro" w:hAnsi="Source Sans Pro" w:cs="Source Sans Pro"/>
                <w:b/>
                <w:color w:val="FFFFFF"/>
              </w:rPr>
            </w:pPr>
          </w:p>
        </w:tc>
      </w:tr>
      <w:tr w:rsidR="002F7564" w14:paraId="76AB23F3" w14:textId="77777777">
        <w:trPr>
          <w:trHeight w:val="420"/>
        </w:trPr>
        <w:tc>
          <w:tcPr>
            <w:tcW w:w="9090" w:type="dxa"/>
            <w:gridSpan w:val="4"/>
            <w:shd w:val="clear" w:color="auto" w:fill="666666"/>
            <w:tcMar>
              <w:top w:w="100" w:type="dxa"/>
              <w:left w:w="100" w:type="dxa"/>
              <w:bottom w:w="100" w:type="dxa"/>
              <w:right w:w="100" w:type="dxa"/>
            </w:tcMar>
            <w:vAlign w:val="center"/>
          </w:tcPr>
          <w:p w14:paraId="285C440B"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 xml:space="preserve">Strateški cilj 5. </w:t>
            </w:r>
          </w:p>
        </w:tc>
      </w:tr>
      <w:tr w:rsidR="002F7564" w14:paraId="6FDF8D39" w14:textId="77777777">
        <w:trPr>
          <w:trHeight w:val="420"/>
        </w:trPr>
        <w:tc>
          <w:tcPr>
            <w:tcW w:w="9090" w:type="dxa"/>
            <w:gridSpan w:val="4"/>
            <w:shd w:val="clear" w:color="auto" w:fill="EFEFEF"/>
            <w:tcMar>
              <w:top w:w="100" w:type="dxa"/>
              <w:left w:w="100" w:type="dxa"/>
              <w:bottom w:w="100" w:type="dxa"/>
              <w:right w:w="100" w:type="dxa"/>
            </w:tcMar>
            <w:vAlign w:val="center"/>
          </w:tcPr>
          <w:p w14:paraId="1E8F05D5"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5. Zdrav, aktivan i kvalitetan život</w:t>
            </w:r>
          </w:p>
        </w:tc>
      </w:tr>
      <w:tr w:rsidR="002F7564" w14:paraId="4F7939CA" w14:textId="77777777">
        <w:trPr>
          <w:trHeight w:val="420"/>
        </w:trPr>
        <w:tc>
          <w:tcPr>
            <w:tcW w:w="5355" w:type="dxa"/>
            <w:gridSpan w:val="2"/>
            <w:shd w:val="clear" w:color="auto" w:fill="666666"/>
            <w:tcMar>
              <w:top w:w="100" w:type="dxa"/>
              <w:left w:w="100" w:type="dxa"/>
              <w:bottom w:w="100" w:type="dxa"/>
              <w:right w:w="100" w:type="dxa"/>
            </w:tcMar>
            <w:vAlign w:val="center"/>
          </w:tcPr>
          <w:p w14:paraId="6E39C388"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390F341D"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174F122E"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2030.:</w:t>
            </w:r>
          </w:p>
        </w:tc>
      </w:tr>
      <w:tr w:rsidR="002F7564" w14:paraId="44E3891E" w14:textId="77777777">
        <w:trPr>
          <w:trHeight w:val="420"/>
        </w:trPr>
        <w:tc>
          <w:tcPr>
            <w:tcW w:w="5355" w:type="dxa"/>
            <w:gridSpan w:val="2"/>
            <w:shd w:val="clear" w:color="auto" w:fill="EFEFEF"/>
            <w:tcMar>
              <w:top w:w="100" w:type="dxa"/>
              <w:left w:w="100" w:type="dxa"/>
              <w:bottom w:w="100" w:type="dxa"/>
              <w:right w:w="100" w:type="dxa"/>
            </w:tcMar>
            <w:vAlign w:val="center"/>
          </w:tcPr>
          <w:p w14:paraId="78AAD45E"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Očekivani broj godina zdravog života</w:t>
            </w:r>
          </w:p>
        </w:tc>
        <w:tc>
          <w:tcPr>
            <w:tcW w:w="1815" w:type="dxa"/>
            <w:shd w:val="clear" w:color="auto" w:fill="F3F3F3"/>
            <w:tcMar>
              <w:top w:w="100" w:type="dxa"/>
              <w:left w:w="100" w:type="dxa"/>
              <w:bottom w:w="100" w:type="dxa"/>
              <w:right w:w="100" w:type="dxa"/>
            </w:tcMar>
            <w:vAlign w:val="center"/>
          </w:tcPr>
          <w:p w14:paraId="4CA2201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58,5 godina - žene</w:t>
            </w:r>
            <w:r>
              <w:rPr>
                <w:rFonts w:ascii="Source Sans Pro" w:eastAsia="Source Sans Pro" w:hAnsi="Source Sans Pro" w:cs="Source Sans Pro"/>
              </w:rPr>
              <w:br/>
              <w:t>56,5 godina - muškarci</w:t>
            </w:r>
            <w:r>
              <w:rPr>
                <w:rFonts w:ascii="Source Sans Pro" w:eastAsia="Source Sans Pro" w:hAnsi="Source Sans Pro" w:cs="Source Sans Pro"/>
              </w:rPr>
              <w:br/>
              <w:t>(2018.)</w:t>
            </w:r>
          </w:p>
        </w:tc>
        <w:tc>
          <w:tcPr>
            <w:tcW w:w="1920" w:type="dxa"/>
            <w:shd w:val="clear" w:color="auto" w:fill="F3F3F3"/>
            <w:tcMar>
              <w:top w:w="100" w:type="dxa"/>
              <w:left w:w="100" w:type="dxa"/>
              <w:bottom w:w="100" w:type="dxa"/>
              <w:right w:w="100" w:type="dxa"/>
            </w:tcMar>
            <w:vAlign w:val="center"/>
          </w:tcPr>
          <w:p w14:paraId="02B7166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&gt; 64 godine žene</w:t>
            </w:r>
            <w:r>
              <w:rPr>
                <w:rFonts w:ascii="Source Sans Pro" w:eastAsia="Source Sans Pro" w:hAnsi="Source Sans Pro" w:cs="Source Sans Pro"/>
              </w:rPr>
              <w:br/>
              <w:t>&gt; 64 godine muškarci</w:t>
            </w:r>
          </w:p>
        </w:tc>
      </w:tr>
      <w:tr w:rsidR="002F7564" w14:paraId="48994E1E" w14:textId="77777777">
        <w:trPr>
          <w:trHeight w:val="420"/>
        </w:trPr>
        <w:tc>
          <w:tcPr>
            <w:tcW w:w="5355" w:type="dxa"/>
            <w:gridSpan w:val="2"/>
            <w:shd w:val="clear" w:color="auto" w:fill="EFEFEF"/>
            <w:tcMar>
              <w:top w:w="100" w:type="dxa"/>
              <w:left w:w="100" w:type="dxa"/>
              <w:bottom w:w="100" w:type="dxa"/>
              <w:right w:w="100" w:type="dxa"/>
            </w:tcMar>
            <w:vAlign w:val="center"/>
          </w:tcPr>
          <w:p w14:paraId="68102EF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Osobe u riziku od siromaštva i socijalne</w:t>
            </w:r>
          </w:p>
          <w:p w14:paraId="4FE6E69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isključenosti</w:t>
            </w:r>
          </w:p>
        </w:tc>
        <w:tc>
          <w:tcPr>
            <w:tcW w:w="1815" w:type="dxa"/>
            <w:shd w:val="clear" w:color="auto" w:fill="F3F3F3"/>
            <w:tcMar>
              <w:top w:w="100" w:type="dxa"/>
              <w:left w:w="100" w:type="dxa"/>
              <w:bottom w:w="100" w:type="dxa"/>
              <w:right w:w="100" w:type="dxa"/>
            </w:tcMar>
            <w:vAlign w:val="center"/>
          </w:tcPr>
          <w:p w14:paraId="68290A6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23,30% (2019.)</w:t>
            </w:r>
          </w:p>
        </w:tc>
        <w:tc>
          <w:tcPr>
            <w:tcW w:w="1920" w:type="dxa"/>
            <w:shd w:val="clear" w:color="auto" w:fill="F3F3F3"/>
            <w:tcMar>
              <w:top w:w="100" w:type="dxa"/>
              <w:left w:w="100" w:type="dxa"/>
              <w:bottom w:w="100" w:type="dxa"/>
              <w:right w:w="100" w:type="dxa"/>
            </w:tcMar>
            <w:vAlign w:val="center"/>
          </w:tcPr>
          <w:p w14:paraId="0981835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&lt; 15%</w:t>
            </w:r>
          </w:p>
        </w:tc>
      </w:tr>
      <w:tr w:rsidR="002F7564" w14:paraId="09E7BCA5"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3C56ABBE" w14:textId="77777777" w:rsidR="002F7564" w:rsidRDefault="002F7564">
            <w:pPr>
              <w:widowControl w:val="0"/>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64075F81"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2F7564" w14:paraId="536A11B8" w14:textId="77777777">
        <w:trPr>
          <w:trHeight w:val="420"/>
        </w:trPr>
        <w:tc>
          <w:tcPr>
            <w:tcW w:w="435" w:type="dxa"/>
            <w:vMerge/>
            <w:shd w:val="clear" w:color="auto" w:fill="7CA361"/>
            <w:tcMar>
              <w:top w:w="100" w:type="dxa"/>
              <w:left w:w="100" w:type="dxa"/>
              <w:bottom w:w="100" w:type="dxa"/>
              <w:right w:w="100" w:type="dxa"/>
            </w:tcMar>
            <w:vAlign w:val="center"/>
          </w:tcPr>
          <w:p w14:paraId="1A3CC52F" w14:textId="77777777" w:rsidR="002F7564" w:rsidRDefault="002F7564">
            <w:pPr>
              <w:widowControl w:val="0"/>
              <w:jc w:val="center"/>
              <w:rPr>
                <w:rFonts w:ascii="Source Sans Pro" w:eastAsia="Source Sans Pro" w:hAnsi="Source Sans Pro" w:cs="Source Sans Pro"/>
              </w:rPr>
            </w:pPr>
          </w:p>
        </w:tc>
        <w:tc>
          <w:tcPr>
            <w:tcW w:w="8655" w:type="dxa"/>
            <w:gridSpan w:val="3"/>
            <w:shd w:val="clear" w:color="auto" w:fill="D9EAD3"/>
            <w:tcMar>
              <w:top w:w="100" w:type="dxa"/>
              <w:left w:w="100" w:type="dxa"/>
              <w:bottom w:w="100" w:type="dxa"/>
              <w:right w:w="100" w:type="dxa"/>
            </w:tcMar>
            <w:vAlign w:val="center"/>
          </w:tcPr>
          <w:p w14:paraId="28655B3E"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 xml:space="preserve">1.3. Ojačati društvenu inkluziju i skrb za stanovnike </w:t>
            </w:r>
          </w:p>
        </w:tc>
      </w:tr>
      <w:tr w:rsidR="002F7564" w14:paraId="582F3960" w14:textId="77777777">
        <w:trPr>
          <w:trHeight w:val="420"/>
        </w:trPr>
        <w:tc>
          <w:tcPr>
            <w:tcW w:w="435" w:type="dxa"/>
            <w:vMerge/>
            <w:shd w:val="clear" w:color="auto" w:fill="7CA361"/>
            <w:tcMar>
              <w:top w:w="100" w:type="dxa"/>
              <w:left w:w="100" w:type="dxa"/>
              <w:bottom w:w="100" w:type="dxa"/>
              <w:right w:w="100" w:type="dxa"/>
            </w:tcMar>
            <w:vAlign w:val="center"/>
          </w:tcPr>
          <w:p w14:paraId="2736A287" w14:textId="77777777" w:rsidR="002F7564" w:rsidRDefault="002F7564">
            <w:pPr>
              <w:widowControl w:val="0"/>
              <w:jc w:val="center"/>
              <w:rPr>
                <w:rFonts w:ascii="Source Sans Pro" w:eastAsia="Source Sans Pro" w:hAnsi="Source Sans Pro" w:cs="Source Sans Pro"/>
              </w:rPr>
            </w:pPr>
          </w:p>
        </w:tc>
        <w:tc>
          <w:tcPr>
            <w:tcW w:w="8655" w:type="dxa"/>
            <w:gridSpan w:val="3"/>
            <w:shd w:val="clear" w:color="auto" w:fill="D9EAD3"/>
            <w:tcMar>
              <w:top w:w="100" w:type="dxa"/>
              <w:left w:w="100" w:type="dxa"/>
              <w:bottom w:w="100" w:type="dxa"/>
              <w:right w:w="100" w:type="dxa"/>
            </w:tcMar>
            <w:vAlign w:val="center"/>
          </w:tcPr>
          <w:p w14:paraId="7605D0FC"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4.2. Osigurati dostupnost sportskih i ostalih društvenih sadržaja</w:t>
            </w:r>
          </w:p>
        </w:tc>
      </w:tr>
      <w:tr w:rsidR="002F7564" w14:paraId="6932560E"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26B8EC05" w14:textId="77777777" w:rsidR="002F7564" w:rsidRDefault="002F7564">
            <w:pPr>
              <w:widowControl w:val="0"/>
              <w:rPr>
                <w:rFonts w:ascii="Source Sans Pro" w:eastAsia="Source Sans Pro" w:hAnsi="Source Sans Pro" w:cs="Source Sans Pro"/>
                <w:b/>
                <w:color w:val="FFFFFF"/>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1F4354FC"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ishoda</w:t>
            </w:r>
          </w:p>
        </w:tc>
        <w:tc>
          <w:tcPr>
            <w:tcW w:w="1815" w:type="dxa"/>
            <w:shd w:val="clear" w:color="auto" w:fill="7CA361"/>
            <w:tcMar>
              <w:top w:w="100" w:type="dxa"/>
              <w:left w:w="100" w:type="dxa"/>
              <w:bottom w:w="100" w:type="dxa"/>
              <w:right w:w="100" w:type="dxa"/>
            </w:tcMar>
            <w:vAlign w:val="center"/>
          </w:tcPr>
          <w:p w14:paraId="752000DD"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67CE1CC3"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2F7564" w14:paraId="2BCD4EFA" w14:textId="77777777">
        <w:trPr>
          <w:trHeight w:val="420"/>
        </w:trPr>
        <w:tc>
          <w:tcPr>
            <w:tcW w:w="435" w:type="dxa"/>
            <w:vMerge/>
            <w:shd w:val="clear" w:color="auto" w:fill="7CA361"/>
            <w:tcMar>
              <w:top w:w="100" w:type="dxa"/>
              <w:left w:w="100" w:type="dxa"/>
              <w:bottom w:w="100" w:type="dxa"/>
              <w:right w:w="100" w:type="dxa"/>
            </w:tcMar>
            <w:vAlign w:val="center"/>
          </w:tcPr>
          <w:p w14:paraId="4B1C4288" w14:textId="77777777" w:rsidR="002F7564" w:rsidRDefault="002F7564">
            <w:pPr>
              <w:widowControl w:val="0"/>
              <w:rPr>
                <w:rFonts w:ascii="Source Sans Pro" w:eastAsia="Source Sans Pro" w:hAnsi="Source Sans Pro" w:cs="Source Sans Pro"/>
                <w:b/>
              </w:rPr>
            </w:pPr>
          </w:p>
        </w:tc>
        <w:tc>
          <w:tcPr>
            <w:tcW w:w="4920" w:type="dxa"/>
            <w:shd w:val="clear" w:color="auto" w:fill="D9EAD3"/>
            <w:tcMar>
              <w:top w:w="100" w:type="dxa"/>
              <w:left w:w="100" w:type="dxa"/>
              <w:bottom w:w="100" w:type="dxa"/>
              <w:right w:w="100" w:type="dxa"/>
            </w:tcMar>
            <w:vAlign w:val="center"/>
          </w:tcPr>
          <w:p w14:paraId="16314761"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rPr>
              <w:t>Rashodi za socijalnu zaštitu JLP(R)S, po stanovniku (OI.02.3.63)</w:t>
            </w:r>
          </w:p>
        </w:tc>
        <w:tc>
          <w:tcPr>
            <w:tcW w:w="1815" w:type="dxa"/>
            <w:shd w:val="clear" w:color="auto" w:fill="D9EAD3"/>
            <w:tcMar>
              <w:top w:w="100" w:type="dxa"/>
              <w:left w:w="100" w:type="dxa"/>
              <w:bottom w:w="100" w:type="dxa"/>
              <w:right w:w="100" w:type="dxa"/>
            </w:tcMar>
            <w:vAlign w:val="center"/>
          </w:tcPr>
          <w:p w14:paraId="7B8C244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300,42 HRK (2021.)</w:t>
            </w:r>
          </w:p>
        </w:tc>
        <w:tc>
          <w:tcPr>
            <w:tcW w:w="1920" w:type="dxa"/>
            <w:shd w:val="clear" w:color="auto" w:fill="D9EAD3"/>
            <w:tcMar>
              <w:top w:w="100" w:type="dxa"/>
              <w:left w:w="100" w:type="dxa"/>
              <w:bottom w:w="100" w:type="dxa"/>
              <w:right w:w="100" w:type="dxa"/>
            </w:tcMar>
            <w:vAlign w:val="center"/>
          </w:tcPr>
          <w:p w14:paraId="4A57F7E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350,42 HRK</w:t>
            </w:r>
          </w:p>
        </w:tc>
      </w:tr>
      <w:tr w:rsidR="002F7564" w14:paraId="4A4F50EB" w14:textId="77777777">
        <w:trPr>
          <w:trHeight w:val="420"/>
        </w:trPr>
        <w:tc>
          <w:tcPr>
            <w:tcW w:w="435" w:type="dxa"/>
            <w:vMerge/>
            <w:shd w:val="clear" w:color="auto" w:fill="7CA361"/>
            <w:tcMar>
              <w:top w:w="100" w:type="dxa"/>
              <w:left w:w="100" w:type="dxa"/>
              <w:bottom w:w="100" w:type="dxa"/>
              <w:right w:w="100" w:type="dxa"/>
            </w:tcMar>
            <w:vAlign w:val="center"/>
          </w:tcPr>
          <w:p w14:paraId="7E5B974C" w14:textId="77777777" w:rsidR="002F7564" w:rsidRDefault="002F7564">
            <w:pPr>
              <w:widowControl w:val="0"/>
              <w:rPr>
                <w:rFonts w:ascii="Source Sans Pro" w:eastAsia="Source Sans Pro" w:hAnsi="Source Sans Pro" w:cs="Source Sans Pro"/>
                <w:b/>
              </w:rPr>
            </w:pPr>
          </w:p>
        </w:tc>
        <w:tc>
          <w:tcPr>
            <w:tcW w:w="4920" w:type="dxa"/>
            <w:shd w:val="clear" w:color="auto" w:fill="D9EAD3"/>
            <w:tcMar>
              <w:top w:w="100" w:type="dxa"/>
              <w:left w:w="100" w:type="dxa"/>
              <w:bottom w:w="100" w:type="dxa"/>
              <w:right w:w="100" w:type="dxa"/>
            </w:tcMar>
            <w:vAlign w:val="center"/>
          </w:tcPr>
          <w:p w14:paraId="1AC82D95"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rPr>
              <w:t>Broj udruga civilnog društva na 10.000 stanovnika (OI.02.13.30)</w:t>
            </w:r>
          </w:p>
        </w:tc>
        <w:tc>
          <w:tcPr>
            <w:tcW w:w="1815" w:type="dxa"/>
            <w:shd w:val="clear" w:color="auto" w:fill="D9EAD3"/>
            <w:tcMar>
              <w:top w:w="100" w:type="dxa"/>
              <w:left w:w="100" w:type="dxa"/>
              <w:bottom w:w="100" w:type="dxa"/>
              <w:right w:w="100" w:type="dxa"/>
            </w:tcMar>
            <w:vAlign w:val="center"/>
          </w:tcPr>
          <w:p w14:paraId="0C89610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126 (2021.)</w:t>
            </w:r>
          </w:p>
        </w:tc>
        <w:tc>
          <w:tcPr>
            <w:tcW w:w="1920" w:type="dxa"/>
            <w:shd w:val="clear" w:color="auto" w:fill="D9EAD3"/>
            <w:tcMar>
              <w:top w:w="100" w:type="dxa"/>
              <w:left w:w="100" w:type="dxa"/>
              <w:bottom w:w="100" w:type="dxa"/>
              <w:right w:w="100" w:type="dxa"/>
            </w:tcMar>
            <w:vAlign w:val="center"/>
          </w:tcPr>
          <w:p w14:paraId="0D5D2B3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131</w:t>
            </w:r>
          </w:p>
        </w:tc>
      </w:tr>
      <w:tr w:rsidR="002F7564" w14:paraId="32FF9675" w14:textId="77777777">
        <w:trPr>
          <w:trHeight w:val="420"/>
        </w:trPr>
        <w:tc>
          <w:tcPr>
            <w:tcW w:w="9090" w:type="dxa"/>
            <w:gridSpan w:val="4"/>
            <w:tcMar>
              <w:top w:w="100" w:type="dxa"/>
              <w:left w:w="100" w:type="dxa"/>
              <w:bottom w:w="100" w:type="dxa"/>
              <w:right w:w="100" w:type="dxa"/>
            </w:tcMar>
            <w:vAlign w:val="center"/>
          </w:tcPr>
          <w:p w14:paraId="5FE017D8" w14:textId="77777777" w:rsidR="002F7564" w:rsidRDefault="002F7564">
            <w:pPr>
              <w:widowControl w:val="0"/>
              <w:jc w:val="center"/>
              <w:rPr>
                <w:rFonts w:ascii="Source Sans Pro" w:eastAsia="Source Sans Pro" w:hAnsi="Source Sans Pro" w:cs="Source Sans Pro"/>
                <w:b/>
                <w:color w:val="FFFFFF"/>
              </w:rPr>
            </w:pPr>
          </w:p>
        </w:tc>
      </w:tr>
      <w:tr w:rsidR="002F7564" w14:paraId="1ABEE850" w14:textId="77777777">
        <w:trPr>
          <w:trHeight w:val="420"/>
        </w:trPr>
        <w:tc>
          <w:tcPr>
            <w:tcW w:w="9090" w:type="dxa"/>
            <w:gridSpan w:val="4"/>
            <w:shd w:val="clear" w:color="auto" w:fill="666666"/>
            <w:tcMar>
              <w:top w:w="100" w:type="dxa"/>
              <w:left w:w="100" w:type="dxa"/>
              <w:bottom w:w="100" w:type="dxa"/>
              <w:right w:w="100" w:type="dxa"/>
            </w:tcMar>
            <w:vAlign w:val="center"/>
          </w:tcPr>
          <w:p w14:paraId="123BC9F1"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Strateški cilj NRS-a</w:t>
            </w:r>
          </w:p>
        </w:tc>
      </w:tr>
      <w:tr w:rsidR="002F7564" w14:paraId="2703B0B2" w14:textId="77777777">
        <w:trPr>
          <w:trHeight w:val="420"/>
        </w:trPr>
        <w:tc>
          <w:tcPr>
            <w:tcW w:w="9090" w:type="dxa"/>
            <w:gridSpan w:val="4"/>
            <w:shd w:val="clear" w:color="auto" w:fill="EFEFEF"/>
            <w:tcMar>
              <w:top w:w="100" w:type="dxa"/>
              <w:left w:w="100" w:type="dxa"/>
              <w:bottom w:w="100" w:type="dxa"/>
              <w:right w:w="100" w:type="dxa"/>
            </w:tcMar>
            <w:vAlign w:val="center"/>
          </w:tcPr>
          <w:p w14:paraId="28E2FCA9"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6. Demografska revitalizacija i bolji položaj obitelji</w:t>
            </w:r>
          </w:p>
        </w:tc>
      </w:tr>
      <w:tr w:rsidR="002F7564" w14:paraId="6BC5C4C4" w14:textId="77777777">
        <w:trPr>
          <w:trHeight w:val="420"/>
        </w:trPr>
        <w:tc>
          <w:tcPr>
            <w:tcW w:w="5355" w:type="dxa"/>
            <w:gridSpan w:val="2"/>
            <w:shd w:val="clear" w:color="auto" w:fill="666666"/>
            <w:tcMar>
              <w:top w:w="100" w:type="dxa"/>
              <w:left w:w="100" w:type="dxa"/>
              <w:bottom w:w="100" w:type="dxa"/>
              <w:right w:w="100" w:type="dxa"/>
            </w:tcMar>
            <w:vAlign w:val="center"/>
          </w:tcPr>
          <w:p w14:paraId="539E5336"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7BEB2172"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066F02A9"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2030.:</w:t>
            </w:r>
          </w:p>
        </w:tc>
      </w:tr>
      <w:tr w:rsidR="002F7564" w14:paraId="55F910B9" w14:textId="77777777">
        <w:trPr>
          <w:trHeight w:val="420"/>
        </w:trPr>
        <w:tc>
          <w:tcPr>
            <w:tcW w:w="5355" w:type="dxa"/>
            <w:gridSpan w:val="2"/>
            <w:shd w:val="clear" w:color="auto" w:fill="EFEFEF"/>
            <w:tcMar>
              <w:top w:w="100" w:type="dxa"/>
              <w:left w:w="100" w:type="dxa"/>
              <w:bottom w:w="100" w:type="dxa"/>
              <w:right w:w="100" w:type="dxa"/>
            </w:tcMar>
            <w:vAlign w:val="center"/>
          </w:tcPr>
          <w:p w14:paraId="1D1A75F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Stopa totalnog fertiliteta</w:t>
            </w:r>
          </w:p>
        </w:tc>
        <w:tc>
          <w:tcPr>
            <w:tcW w:w="1815" w:type="dxa"/>
            <w:shd w:val="clear" w:color="auto" w:fill="F3F3F3"/>
            <w:tcMar>
              <w:top w:w="100" w:type="dxa"/>
              <w:left w:w="100" w:type="dxa"/>
              <w:bottom w:w="100" w:type="dxa"/>
              <w:right w:w="100" w:type="dxa"/>
            </w:tcMar>
            <w:vAlign w:val="center"/>
          </w:tcPr>
          <w:p w14:paraId="1B2C216E"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1,47 djece (2018.)</w:t>
            </w:r>
          </w:p>
        </w:tc>
        <w:tc>
          <w:tcPr>
            <w:tcW w:w="1920" w:type="dxa"/>
            <w:shd w:val="clear" w:color="auto" w:fill="F3F3F3"/>
            <w:tcMar>
              <w:top w:w="100" w:type="dxa"/>
              <w:left w:w="100" w:type="dxa"/>
              <w:bottom w:w="100" w:type="dxa"/>
              <w:right w:w="100" w:type="dxa"/>
            </w:tcMar>
            <w:vAlign w:val="center"/>
          </w:tcPr>
          <w:p w14:paraId="070B423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1,8 djece</w:t>
            </w:r>
          </w:p>
        </w:tc>
      </w:tr>
      <w:tr w:rsidR="002F7564" w14:paraId="2E297684"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4F037EFE" w14:textId="77777777" w:rsidR="002F7564" w:rsidRDefault="002F7564">
            <w:pPr>
              <w:widowControl w:val="0"/>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542BC4CB"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2F7564" w14:paraId="5B62F337" w14:textId="77777777">
        <w:trPr>
          <w:trHeight w:val="420"/>
        </w:trPr>
        <w:tc>
          <w:tcPr>
            <w:tcW w:w="435" w:type="dxa"/>
            <w:vMerge/>
            <w:shd w:val="clear" w:color="auto" w:fill="7CA361"/>
            <w:tcMar>
              <w:top w:w="100" w:type="dxa"/>
              <w:left w:w="100" w:type="dxa"/>
              <w:bottom w:w="100" w:type="dxa"/>
              <w:right w:w="100" w:type="dxa"/>
            </w:tcMar>
            <w:vAlign w:val="center"/>
          </w:tcPr>
          <w:p w14:paraId="07B46678" w14:textId="77777777" w:rsidR="002F7564" w:rsidRDefault="002F7564">
            <w:pPr>
              <w:widowControl w:val="0"/>
              <w:jc w:val="center"/>
              <w:rPr>
                <w:rFonts w:ascii="Source Sans Pro" w:eastAsia="Source Sans Pro" w:hAnsi="Source Sans Pro" w:cs="Source Sans Pro"/>
              </w:rPr>
            </w:pPr>
          </w:p>
        </w:tc>
        <w:tc>
          <w:tcPr>
            <w:tcW w:w="8655" w:type="dxa"/>
            <w:gridSpan w:val="3"/>
            <w:shd w:val="clear" w:color="auto" w:fill="D9EAD3"/>
            <w:tcMar>
              <w:top w:w="100" w:type="dxa"/>
              <w:left w:w="100" w:type="dxa"/>
              <w:bottom w:w="100" w:type="dxa"/>
              <w:right w:w="100" w:type="dxa"/>
            </w:tcMar>
            <w:vAlign w:val="center"/>
          </w:tcPr>
          <w:p w14:paraId="2ECBCC22"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1.2. Potaknuti demografsku revitalizaciju</w:t>
            </w:r>
          </w:p>
        </w:tc>
      </w:tr>
      <w:tr w:rsidR="002F7564" w14:paraId="6B4267F0"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7E196E07" w14:textId="77777777" w:rsidR="002F7564" w:rsidRDefault="002F7564">
            <w:pPr>
              <w:widowControl w:val="0"/>
              <w:rPr>
                <w:rFonts w:ascii="Source Sans Pro" w:eastAsia="Source Sans Pro" w:hAnsi="Source Sans Pro" w:cs="Source Sans Pro"/>
                <w:b/>
                <w:color w:val="FFFFFF"/>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309EF5B6"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ishoda</w:t>
            </w:r>
          </w:p>
        </w:tc>
        <w:tc>
          <w:tcPr>
            <w:tcW w:w="1815" w:type="dxa"/>
            <w:shd w:val="clear" w:color="auto" w:fill="7CA361"/>
            <w:tcMar>
              <w:top w:w="100" w:type="dxa"/>
              <w:left w:w="100" w:type="dxa"/>
              <w:bottom w:w="100" w:type="dxa"/>
              <w:right w:w="100" w:type="dxa"/>
            </w:tcMar>
            <w:vAlign w:val="center"/>
          </w:tcPr>
          <w:p w14:paraId="5D4501A2"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3B5C9EBC"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2F7564" w14:paraId="728E2CF1" w14:textId="77777777">
        <w:trPr>
          <w:trHeight w:val="420"/>
        </w:trPr>
        <w:tc>
          <w:tcPr>
            <w:tcW w:w="435" w:type="dxa"/>
            <w:vMerge/>
            <w:shd w:val="clear" w:color="auto" w:fill="7CA361"/>
            <w:tcMar>
              <w:top w:w="100" w:type="dxa"/>
              <w:left w:w="100" w:type="dxa"/>
              <w:bottom w:w="100" w:type="dxa"/>
              <w:right w:w="100" w:type="dxa"/>
            </w:tcMar>
            <w:vAlign w:val="center"/>
          </w:tcPr>
          <w:p w14:paraId="6D9A53A0" w14:textId="77777777" w:rsidR="002F7564" w:rsidRDefault="002F7564">
            <w:pPr>
              <w:widowControl w:val="0"/>
              <w:rPr>
                <w:rFonts w:ascii="Source Sans Pro" w:eastAsia="Source Sans Pro" w:hAnsi="Source Sans Pro" w:cs="Source Sans Pro"/>
                <w:b/>
              </w:rPr>
            </w:pPr>
          </w:p>
        </w:tc>
        <w:tc>
          <w:tcPr>
            <w:tcW w:w="4920" w:type="dxa"/>
            <w:shd w:val="clear" w:color="auto" w:fill="D9EAD3"/>
            <w:tcMar>
              <w:top w:w="100" w:type="dxa"/>
              <w:left w:w="100" w:type="dxa"/>
              <w:bottom w:w="100" w:type="dxa"/>
              <w:right w:w="100" w:type="dxa"/>
            </w:tcMar>
            <w:vAlign w:val="center"/>
          </w:tcPr>
          <w:p w14:paraId="548721A0"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rPr>
              <w:t>Postotak stanovništva od 0 do 14 godina u ukupnom stanovništvu (OI.02.3.04)</w:t>
            </w:r>
          </w:p>
        </w:tc>
        <w:tc>
          <w:tcPr>
            <w:tcW w:w="1815" w:type="dxa"/>
            <w:shd w:val="clear" w:color="auto" w:fill="D9EAD3"/>
            <w:tcMar>
              <w:top w:w="100" w:type="dxa"/>
              <w:left w:w="100" w:type="dxa"/>
              <w:bottom w:w="100" w:type="dxa"/>
              <w:right w:w="100" w:type="dxa"/>
            </w:tcMar>
            <w:vAlign w:val="center"/>
          </w:tcPr>
          <w:p w14:paraId="5F21E4BE"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15,25% (2011.)</w:t>
            </w:r>
          </w:p>
        </w:tc>
        <w:tc>
          <w:tcPr>
            <w:tcW w:w="1920" w:type="dxa"/>
            <w:shd w:val="clear" w:color="auto" w:fill="D9EAD3"/>
            <w:tcMar>
              <w:top w:w="100" w:type="dxa"/>
              <w:left w:w="100" w:type="dxa"/>
              <w:bottom w:w="100" w:type="dxa"/>
              <w:right w:w="100" w:type="dxa"/>
            </w:tcMar>
            <w:vAlign w:val="center"/>
          </w:tcPr>
          <w:p w14:paraId="3251434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15,50%</w:t>
            </w:r>
          </w:p>
        </w:tc>
      </w:tr>
      <w:tr w:rsidR="002F7564" w14:paraId="69D48331" w14:textId="77777777">
        <w:trPr>
          <w:trHeight w:val="420"/>
        </w:trPr>
        <w:tc>
          <w:tcPr>
            <w:tcW w:w="435" w:type="dxa"/>
            <w:vMerge/>
            <w:shd w:val="clear" w:color="auto" w:fill="7CA361"/>
            <w:tcMar>
              <w:top w:w="100" w:type="dxa"/>
              <w:left w:w="100" w:type="dxa"/>
              <w:bottom w:w="100" w:type="dxa"/>
              <w:right w:w="100" w:type="dxa"/>
            </w:tcMar>
            <w:vAlign w:val="center"/>
          </w:tcPr>
          <w:p w14:paraId="535EFDF4" w14:textId="77777777" w:rsidR="002F7564" w:rsidRDefault="002F7564">
            <w:pPr>
              <w:widowControl w:val="0"/>
              <w:rPr>
                <w:rFonts w:ascii="Source Sans Pro" w:eastAsia="Source Sans Pro" w:hAnsi="Source Sans Pro" w:cs="Source Sans Pro"/>
                <w:b/>
              </w:rPr>
            </w:pPr>
          </w:p>
        </w:tc>
        <w:tc>
          <w:tcPr>
            <w:tcW w:w="4920" w:type="dxa"/>
            <w:shd w:val="clear" w:color="auto" w:fill="D9EAD3"/>
            <w:tcMar>
              <w:top w:w="100" w:type="dxa"/>
              <w:left w:w="100" w:type="dxa"/>
              <w:bottom w:w="100" w:type="dxa"/>
              <w:right w:w="100" w:type="dxa"/>
            </w:tcMar>
            <w:vAlign w:val="center"/>
          </w:tcPr>
          <w:p w14:paraId="7E4162C3"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rPr>
              <w:t>Broj kućanstava i stambenih jedinica</w:t>
            </w:r>
          </w:p>
          <w:p w14:paraId="2D76CCF9"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rPr>
              <w:t>(OI.02.13.21 )</w:t>
            </w:r>
          </w:p>
        </w:tc>
        <w:tc>
          <w:tcPr>
            <w:tcW w:w="1815" w:type="dxa"/>
            <w:shd w:val="clear" w:color="auto" w:fill="D9EAD3"/>
            <w:tcMar>
              <w:top w:w="100" w:type="dxa"/>
              <w:left w:w="100" w:type="dxa"/>
              <w:bottom w:w="100" w:type="dxa"/>
              <w:right w:w="100" w:type="dxa"/>
            </w:tcMar>
            <w:vAlign w:val="center"/>
          </w:tcPr>
          <w:p w14:paraId="41A2494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16.519/26.798</w:t>
            </w:r>
          </w:p>
          <w:p w14:paraId="09E29E1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(2021.)</w:t>
            </w:r>
          </w:p>
        </w:tc>
        <w:tc>
          <w:tcPr>
            <w:tcW w:w="1920" w:type="dxa"/>
            <w:shd w:val="clear" w:color="auto" w:fill="D9EAD3"/>
            <w:tcMar>
              <w:top w:w="100" w:type="dxa"/>
              <w:left w:w="100" w:type="dxa"/>
              <w:bottom w:w="100" w:type="dxa"/>
              <w:right w:w="100" w:type="dxa"/>
            </w:tcMar>
            <w:vAlign w:val="center"/>
          </w:tcPr>
          <w:p w14:paraId="55D8662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15.937/27.338</w:t>
            </w:r>
          </w:p>
        </w:tc>
      </w:tr>
      <w:tr w:rsidR="002F7564" w14:paraId="2FD94D9F" w14:textId="77777777">
        <w:trPr>
          <w:trHeight w:val="420"/>
        </w:trPr>
        <w:tc>
          <w:tcPr>
            <w:tcW w:w="9090" w:type="dxa"/>
            <w:gridSpan w:val="4"/>
            <w:tcMar>
              <w:top w:w="100" w:type="dxa"/>
              <w:left w:w="100" w:type="dxa"/>
              <w:bottom w:w="100" w:type="dxa"/>
              <w:right w:w="100" w:type="dxa"/>
            </w:tcMar>
            <w:vAlign w:val="center"/>
          </w:tcPr>
          <w:p w14:paraId="18B9ED82" w14:textId="77777777" w:rsidR="002F7564" w:rsidRDefault="002F7564">
            <w:pPr>
              <w:widowControl w:val="0"/>
              <w:jc w:val="center"/>
              <w:rPr>
                <w:rFonts w:ascii="Source Sans Pro" w:eastAsia="Source Sans Pro" w:hAnsi="Source Sans Pro" w:cs="Source Sans Pro"/>
                <w:b/>
                <w:color w:val="FFFFFF"/>
              </w:rPr>
            </w:pPr>
          </w:p>
        </w:tc>
      </w:tr>
      <w:tr w:rsidR="002F7564" w14:paraId="5C646A90" w14:textId="77777777">
        <w:trPr>
          <w:trHeight w:val="420"/>
        </w:trPr>
        <w:tc>
          <w:tcPr>
            <w:tcW w:w="9090" w:type="dxa"/>
            <w:gridSpan w:val="4"/>
            <w:shd w:val="clear" w:color="auto" w:fill="666666"/>
            <w:tcMar>
              <w:top w:w="100" w:type="dxa"/>
              <w:left w:w="100" w:type="dxa"/>
              <w:bottom w:w="100" w:type="dxa"/>
              <w:right w:w="100" w:type="dxa"/>
            </w:tcMar>
            <w:vAlign w:val="center"/>
          </w:tcPr>
          <w:p w14:paraId="3E83ABD9"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Strateški cilj NRS-a</w:t>
            </w:r>
          </w:p>
        </w:tc>
      </w:tr>
      <w:tr w:rsidR="002F7564" w14:paraId="58B3BACD" w14:textId="77777777">
        <w:trPr>
          <w:trHeight w:val="420"/>
        </w:trPr>
        <w:tc>
          <w:tcPr>
            <w:tcW w:w="9090" w:type="dxa"/>
            <w:gridSpan w:val="4"/>
            <w:shd w:val="clear" w:color="auto" w:fill="EFEFEF"/>
            <w:tcMar>
              <w:top w:w="100" w:type="dxa"/>
              <w:left w:w="100" w:type="dxa"/>
              <w:bottom w:w="100" w:type="dxa"/>
              <w:right w:w="100" w:type="dxa"/>
            </w:tcMar>
            <w:vAlign w:val="center"/>
          </w:tcPr>
          <w:p w14:paraId="13590223"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8. Ekološka i energetska tranzicija za klimatsku neutralnost</w:t>
            </w:r>
          </w:p>
        </w:tc>
      </w:tr>
      <w:tr w:rsidR="002F7564" w14:paraId="186FBDA9" w14:textId="77777777">
        <w:trPr>
          <w:trHeight w:val="420"/>
        </w:trPr>
        <w:tc>
          <w:tcPr>
            <w:tcW w:w="5355" w:type="dxa"/>
            <w:gridSpan w:val="2"/>
            <w:shd w:val="clear" w:color="auto" w:fill="666666"/>
            <w:tcMar>
              <w:top w:w="100" w:type="dxa"/>
              <w:left w:w="100" w:type="dxa"/>
              <w:bottom w:w="100" w:type="dxa"/>
              <w:right w:w="100" w:type="dxa"/>
            </w:tcMar>
            <w:vAlign w:val="center"/>
          </w:tcPr>
          <w:p w14:paraId="02122C42"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0E389507"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2BB9F81A"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2030.:</w:t>
            </w:r>
          </w:p>
        </w:tc>
      </w:tr>
      <w:tr w:rsidR="002F7564" w14:paraId="1E01B81A" w14:textId="77777777">
        <w:trPr>
          <w:trHeight w:val="420"/>
        </w:trPr>
        <w:tc>
          <w:tcPr>
            <w:tcW w:w="5355" w:type="dxa"/>
            <w:gridSpan w:val="2"/>
            <w:shd w:val="clear" w:color="auto" w:fill="EFEFEF"/>
            <w:tcMar>
              <w:top w:w="100" w:type="dxa"/>
              <w:left w:w="100" w:type="dxa"/>
              <w:bottom w:w="100" w:type="dxa"/>
              <w:right w:w="100" w:type="dxa"/>
            </w:tcMar>
            <w:vAlign w:val="center"/>
          </w:tcPr>
          <w:p w14:paraId="11CBC96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Stopa recikliranja komunalnog otpada</w:t>
            </w:r>
          </w:p>
        </w:tc>
        <w:tc>
          <w:tcPr>
            <w:tcW w:w="1815" w:type="dxa"/>
            <w:shd w:val="clear" w:color="auto" w:fill="F3F3F3"/>
            <w:tcMar>
              <w:top w:w="100" w:type="dxa"/>
              <w:left w:w="100" w:type="dxa"/>
              <w:bottom w:w="100" w:type="dxa"/>
              <w:right w:w="100" w:type="dxa"/>
            </w:tcMar>
            <w:vAlign w:val="center"/>
          </w:tcPr>
          <w:p w14:paraId="51FB039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25,30% (2018.)</w:t>
            </w:r>
          </w:p>
        </w:tc>
        <w:tc>
          <w:tcPr>
            <w:tcW w:w="1920" w:type="dxa"/>
            <w:shd w:val="clear" w:color="auto" w:fill="F3F3F3"/>
            <w:tcMar>
              <w:top w:w="100" w:type="dxa"/>
              <w:left w:w="100" w:type="dxa"/>
              <w:bottom w:w="100" w:type="dxa"/>
              <w:right w:w="100" w:type="dxa"/>
            </w:tcMar>
            <w:vAlign w:val="center"/>
          </w:tcPr>
          <w:p w14:paraId="25C552A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55%</w:t>
            </w:r>
          </w:p>
        </w:tc>
      </w:tr>
      <w:tr w:rsidR="002F7564" w14:paraId="14CDA0CF" w14:textId="77777777">
        <w:trPr>
          <w:trHeight w:val="420"/>
        </w:trPr>
        <w:tc>
          <w:tcPr>
            <w:tcW w:w="5355" w:type="dxa"/>
            <w:gridSpan w:val="2"/>
            <w:shd w:val="clear" w:color="auto" w:fill="EFEFEF"/>
            <w:tcMar>
              <w:top w:w="100" w:type="dxa"/>
              <w:left w:w="100" w:type="dxa"/>
              <w:bottom w:w="100" w:type="dxa"/>
              <w:right w:w="100" w:type="dxa"/>
            </w:tcMar>
            <w:vAlign w:val="center"/>
          </w:tcPr>
          <w:p w14:paraId="43007D9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Udio obnovljivih izvora energije u bruto</w:t>
            </w:r>
          </w:p>
          <w:p w14:paraId="04DEA98E"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ukupnoj potrošnji energije</w:t>
            </w:r>
          </w:p>
        </w:tc>
        <w:tc>
          <w:tcPr>
            <w:tcW w:w="1815" w:type="dxa"/>
            <w:shd w:val="clear" w:color="auto" w:fill="F3F3F3"/>
            <w:tcMar>
              <w:top w:w="100" w:type="dxa"/>
              <w:left w:w="100" w:type="dxa"/>
              <w:bottom w:w="100" w:type="dxa"/>
              <w:right w:w="100" w:type="dxa"/>
            </w:tcMar>
            <w:vAlign w:val="center"/>
          </w:tcPr>
          <w:p w14:paraId="6D1B59B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28,02% (2018.)</w:t>
            </w:r>
          </w:p>
        </w:tc>
        <w:tc>
          <w:tcPr>
            <w:tcW w:w="1920" w:type="dxa"/>
            <w:shd w:val="clear" w:color="auto" w:fill="F3F3F3"/>
            <w:tcMar>
              <w:top w:w="100" w:type="dxa"/>
              <w:left w:w="100" w:type="dxa"/>
              <w:bottom w:w="100" w:type="dxa"/>
              <w:right w:w="100" w:type="dxa"/>
            </w:tcMar>
            <w:vAlign w:val="center"/>
          </w:tcPr>
          <w:p w14:paraId="4D4CC27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36,40%</w:t>
            </w:r>
          </w:p>
        </w:tc>
      </w:tr>
      <w:tr w:rsidR="002F7564" w14:paraId="4E77BCF9"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2F9EDA8D" w14:textId="77777777" w:rsidR="002F7564" w:rsidRDefault="002F7564">
            <w:pPr>
              <w:widowControl w:val="0"/>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7C331348"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2F7564" w14:paraId="3BA8F59C" w14:textId="77777777">
        <w:trPr>
          <w:trHeight w:val="420"/>
        </w:trPr>
        <w:tc>
          <w:tcPr>
            <w:tcW w:w="435" w:type="dxa"/>
            <w:vMerge/>
            <w:shd w:val="clear" w:color="auto" w:fill="7CA361"/>
            <w:tcMar>
              <w:top w:w="100" w:type="dxa"/>
              <w:left w:w="100" w:type="dxa"/>
              <w:bottom w:w="100" w:type="dxa"/>
              <w:right w:w="100" w:type="dxa"/>
            </w:tcMar>
            <w:vAlign w:val="center"/>
          </w:tcPr>
          <w:p w14:paraId="62997432" w14:textId="77777777" w:rsidR="002F7564" w:rsidRDefault="002F7564">
            <w:pPr>
              <w:jc w:val="center"/>
              <w:rPr>
                <w:rFonts w:ascii="Source Sans Pro" w:eastAsia="Source Sans Pro" w:hAnsi="Source Sans Pro" w:cs="Source Sans Pro"/>
              </w:rPr>
            </w:pPr>
          </w:p>
        </w:tc>
        <w:tc>
          <w:tcPr>
            <w:tcW w:w="8655" w:type="dxa"/>
            <w:gridSpan w:val="3"/>
            <w:shd w:val="clear" w:color="auto" w:fill="D9EAD3"/>
            <w:tcMar>
              <w:top w:w="100" w:type="dxa"/>
              <w:left w:w="100" w:type="dxa"/>
              <w:bottom w:w="100" w:type="dxa"/>
              <w:right w:w="100" w:type="dxa"/>
            </w:tcMar>
            <w:vAlign w:val="center"/>
          </w:tcPr>
          <w:p w14:paraId="340B96E7" w14:textId="77777777" w:rsidR="002F7564" w:rsidRDefault="00000000">
            <w:pPr>
              <w:jc w:val="center"/>
              <w:rPr>
                <w:rFonts w:ascii="Source Sans Pro" w:eastAsia="Source Sans Pro" w:hAnsi="Source Sans Pro" w:cs="Source Sans Pro"/>
              </w:rPr>
            </w:pPr>
            <w:r>
              <w:rPr>
                <w:rFonts w:ascii="Source Sans Pro" w:eastAsia="Source Sans Pro" w:hAnsi="Source Sans Pro" w:cs="Source Sans Pro"/>
              </w:rPr>
              <w:t>2.3. Unaprijediti infrastrukturne sustave i uspostaviti cjelovit sustav gospodarenja otpadom</w:t>
            </w:r>
          </w:p>
        </w:tc>
      </w:tr>
      <w:tr w:rsidR="002F7564" w14:paraId="20C6F7FC" w14:textId="77777777">
        <w:trPr>
          <w:trHeight w:val="420"/>
        </w:trPr>
        <w:tc>
          <w:tcPr>
            <w:tcW w:w="435" w:type="dxa"/>
            <w:vMerge/>
            <w:shd w:val="clear" w:color="auto" w:fill="7CA361"/>
            <w:tcMar>
              <w:top w:w="100" w:type="dxa"/>
              <w:left w:w="100" w:type="dxa"/>
              <w:bottom w:w="100" w:type="dxa"/>
              <w:right w:w="100" w:type="dxa"/>
            </w:tcMar>
            <w:vAlign w:val="center"/>
          </w:tcPr>
          <w:p w14:paraId="5BE32568" w14:textId="77777777" w:rsidR="002F7564" w:rsidRDefault="002F7564">
            <w:pPr>
              <w:jc w:val="center"/>
              <w:rPr>
                <w:rFonts w:ascii="Source Sans Pro" w:eastAsia="Source Sans Pro" w:hAnsi="Source Sans Pro" w:cs="Source Sans Pro"/>
              </w:rPr>
            </w:pPr>
          </w:p>
        </w:tc>
        <w:tc>
          <w:tcPr>
            <w:tcW w:w="8655" w:type="dxa"/>
            <w:gridSpan w:val="3"/>
            <w:shd w:val="clear" w:color="auto" w:fill="D9EAD3"/>
            <w:tcMar>
              <w:top w:w="100" w:type="dxa"/>
              <w:left w:w="100" w:type="dxa"/>
              <w:bottom w:w="100" w:type="dxa"/>
              <w:right w:w="100" w:type="dxa"/>
            </w:tcMar>
            <w:vAlign w:val="center"/>
          </w:tcPr>
          <w:p w14:paraId="341EE86A" w14:textId="77777777" w:rsidR="002F7564" w:rsidRDefault="00000000">
            <w:pPr>
              <w:jc w:val="center"/>
              <w:rPr>
                <w:rFonts w:ascii="Source Sans Pro" w:eastAsia="Source Sans Pro" w:hAnsi="Source Sans Pro" w:cs="Source Sans Pro"/>
              </w:rPr>
            </w:pPr>
            <w:r>
              <w:rPr>
                <w:rFonts w:ascii="Source Sans Pro" w:eastAsia="Source Sans Pro" w:hAnsi="Source Sans Pro" w:cs="Source Sans Pro"/>
              </w:rPr>
              <w:t>3.2. Pratiti trendove zelenog i održivog razvoja</w:t>
            </w:r>
          </w:p>
        </w:tc>
      </w:tr>
      <w:tr w:rsidR="002F7564" w14:paraId="406137D6"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0C245159" w14:textId="77777777" w:rsidR="002F7564" w:rsidRDefault="002F7564">
            <w:pPr>
              <w:widowControl w:val="0"/>
              <w:rPr>
                <w:rFonts w:ascii="Source Sans Pro" w:eastAsia="Source Sans Pro" w:hAnsi="Source Sans Pro" w:cs="Source Sans Pro"/>
                <w:b/>
                <w:color w:val="FFFFFF"/>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68516BCB"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ishoda</w:t>
            </w:r>
          </w:p>
        </w:tc>
        <w:tc>
          <w:tcPr>
            <w:tcW w:w="1815" w:type="dxa"/>
            <w:shd w:val="clear" w:color="auto" w:fill="7CA361"/>
            <w:tcMar>
              <w:top w:w="100" w:type="dxa"/>
              <w:left w:w="100" w:type="dxa"/>
              <w:bottom w:w="100" w:type="dxa"/>
              <w:right w:w="100" w:type="dxa"/>
            </w:tcMar>
            <w:vAlign w:val="center"/>
          </w:tcPr>
          <w:p w14:paraId="16A127E3"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3F83DA79"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2F7564" w14:paraId="156AA5B9" w14:textId="77777777">
        <w:trPr>
          <w:trHeight w:val="420"/>
        </w:trPr>
        <w:tc>
          <w:tcPr>
            <w:tcW w:w="435" w:type="dxa"/>
            <w:vMerge/>
            <w:shd w:val="clear" w:color="auto" w:fill="7CA361"/>
            <w:tcMar>
              <w:top w:w="100" w:type="dxa"/>
              <w:left w:w="100" w:type="dxa"/>
              <w:bottom w:w="100" w:type="dxa"/>
              <w:right w:w="100" w:type="dxa"/>
            </w:tcMar>
            <w:vAlign w:val="center"/>
          </w:tcPr>
          <w:p w14:paraId="6CA7EB73" w14:textId="77777777" w:rsidR="002F7564" w:rsidRDefault="002F7564">
            <w:pPr>
              <w:widowControl w:val="0"/>
              <w:rPr>
                <w:rFonts w:ascii="Source Sans Pro" w:eastAsia="Source Sans Pro" w:hAnsi="Source Sans Pro" w:cs="Source Sans Pro"/>
                <w:b/>
              </w:rPr>
            </w:pPr>
          </w:p>
        </w:tc>
        <w:tc>
          <w:tcPr>
            <w:tcW w:w="4920" w:type="dxa"/>
            <w:shd w:val="clear" w:color="auto" w:fill="D9EAD3"/>
            <w:tcMar>
              <w:top w:w="100" w:type="dxa"/>
              <w:left w:w="100" w:type="dxa"/>
              <w:bottom w:w="100" w:type="dxa"/>
              <w:right w:w="100" w:type="dxa"/>
            </w:tcMar>
            <w:vAlign w:val="center"/>
          </w:tcPr>
          <w:p w14:paraId="01008B66"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rPr>
              <w:t>Sakupljena količina odvojenog komunalnog otpada u sklopu javne usluge (OI.02.6.64)</w:t>
            </w:r>
          </w:p>
        </w:tc>
        <w:tc>
          <w:tcPr>
            <w:tcW w:w="1815" w:type="dxa"/>
            <w:shd w:val="clear" w:color="auto" w:fill="D9EAD3"/>
            <w:tcMar>
              <w:top w:w="100" w:type="dxa"/>
              <w:left w:w="100" w:type="dxa"/>
              <w:bottom w:w="100" w:type="dxa"/>
              <w:right w:w="100" w:type="dxa"/>
            </w:tcMar>
            <w:vAlign w:val="center"/>
          </w:tcPr>
          <w:p w14:paraId="0CF07BD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1.313,99 t (2020.)</w:t>
            </w:r>
          </w:p>
        </w:tc>
        <w:tc>
          <w:tcPr>
            <w:tcW w:w="1920" w:type="dxa"/>
            <w:shd w:val="clear" w:color="auto" w:fill="D9EAD3"/>
            <w:tcMar>
              <w:top w:w="100" w:type="dxa"/>
              <w:left w:w="100" w:type="dxa"/>
              <w:bottom w:w="100" w:type="dxa"/>
              <w:right w:w="100" w:type="dxa"/>
            </w:tcMar>
            <w:vAlign w:val="center"/>
          </w:tcPr>
          <w:p w14:paraId="00CB619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1.378,00 t</w:t>
            </w:r>
          </w:p>
        </w:tc>
      </w:tr>
      <w:tr w:rsidR="002F7564" w14:paraId="7B9B3084" w14:textId="77777777">
        <w:trPr>
          <w:trHeight w:val="420"/>
        </w:trPr>
        <w:tc>
          <w:tcPr>
            <w:tcW w:w="435" w:type="dxa"/>
            <w:vMerge/>
            <w:shd w:val="clear" w:color="auto" w:fill="7CA361"/>
            <w:tcMar>
              <w:top w:w="100" w:type="dxa"/>
              <w:left w:w="100" w:type="dxa"/>
              <w:bottom w:w="100" w:type="dxa"/>
              <w:right w:w="100" w:type="dxa"/>
            </w:tcMar>
            <w:vAlign w:val="center"/>
          </w:tcPr>
          <w:p w14:paraId="37646238" w14:textId="77777777" w:rsidR="002F7564" w:rsidRDefault="002F7564">
            <w:pPr>
              <w:widowControl w:val="0"/>
              <w:rPr>
                <w:rFonts w:ascii="Source Sans Pro" w:eastAsia="Source Sans Pro" w:hAnsi="Source Sans Pro" w:cs="Source Sans Pro"/>
                <w:b/>
              </w:rPr>
            </w:pPr>
          </w:p>
        </w:tc>
        <w:tc>
          <w:tcPr>
            <w:tcW w:w="4920" w:type="dxa"/>
            <w:shd w:val="clear" w:color="auto" w:fill="D9EAD3"/>
            <w:tcMar>
              <w:top w:w="100" w:type="dxa"/>
              <w:left w:w="100" w:type="dxa"/>
              <w:bottom w:w="100" w:type="dxa"/>
              <w:right w:w="100" w:type="dxa"/>
            </w:tcMar>
            <w:vAlign w:val="center"/>
          </w:tcPr>
          <w:p w14:paraId="2118C7ED"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rPr>
              <w:t>Stanovništvo priključeno na javnu vodoopskrbu (OI.02.6.35)</w:t>
            </w:r>
          </w:p>
        </w:tc>
        <w:tc>
          <w:tcPr>
            <w:tcW w:w="1815" w:type="dxa"/>
            <w:shd w:val="clear" w:color="auto" w:fill="D9EAD3"/>
            <w:tcMar>
              <w:top w:w="100" w:type="dxa"/>
              <w:left w:w="100" w:type="dxa"/>
              <w:bottom w:w="100" w:type="dxa"/>
              <w:right w:w="100" w:type="dxa"/>
            </w:tcMar>
            <w:vAlign w:val="center"/>
          </w:tcPr>
          <w:p w14:paraId="4EBA90C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75% (2021.)</w:t>
            </w:r>
          </w:p>
        </w:tc>
        <w:tc>
          <w:tcPr>
            <w:tcW w:w="1920" w:type="dxa"/>
            <w:shd w:val="clear" w:color="auto" w:fill="D9EAD3"/>
            <w:tcMar>
              <w:top w:w="100" w:type="dxa"/>
              <w:left w:w="100" w:type="dxa"/>
              <w:bottom w:w="100" w:type="dxa"/>
              <w:right w:w="100" w:type="dxa"/>
            </w:tcMar>
            <w:vAlign w:val="center"/>
          </w:tcPr>
          <w:p w14:paraId="66523A8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95%</w:t>
            </w:r>
          </w:p>
        </w:tc>
      </w:tr>
      <w:tr w:rsidR="002F7564" w14:paraId="6E433842" w14:textId="77777777">
        <w:trPr>
          <w:trHeight w:val="420"/>
        </w:trPr>
        <w:tc>
          <w:tcPr>
            <w:tcW w:w="435" w:type="dxa"/>
            <w:vMerge/>
            <w:shd w:val="clear" w:color="auto" w:fill="7CA361"/>
            <w:tcMar>
              <w:top w:w="100" w:type="dxa"/>
              <w:left w:w="100" w:type="dxa"/>
              <w:bottom w:w="100" w:type="dxa"/>
              <w:right w:w="100" w:type="dxa"/>
            </w:tcMar>
            <w:vAlign w:val="center"/>
          </w:tcPr>
          <w:p w14:paraId="0BA12700" w14:textId="77777777" w:rsidR="002F7564" w:rsidRDefault="002F7564">
            <w:pPr>
              <w:widowControl w:val="0"/>
              <w:rPr>
                <w:rFonts w:ascii="Source Sans Pro" w:eastAsia="Source Sans Pro" w:hAnsi="Source Sans Pro" w:cs="Source Sans Pro"/>
                <w:b/>
              </w:rPr>
            </w:pPr>
          </w:p>
        </w:tc>
        <w:tc>
          <w:tcPr>
            <w:tcW w:w="4920" w:type="dxa"/>
            <w:shd w:val="clear" w:color="auto" w:fill="D9EAD3"/>
            <w:tcMar>
              <w:top w:w="100" w:type="dxa"/>
              <w:left w:w="100" w:type="dxa"/>
              <w:bottom w:w="100" w:type="dxa"/>
              <w:right w:w="100" w:type="dxa"/>
            </w:tcMar>
            <w:vAlign w:val="center"/>
          </w:tcPr>
          <w:p w14:paraId="4061E5F8"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rPr>
              <w:t>Stanovništvo obuhvaćeno Sporazumom gradonačelnika za potpisnike za klimu i energiju (OI.02.6.50)</w:t>
            </w:r>
          </w:p>
        </w:tc>
        <w:tc>
          <w:tcPr>
            <w:tcW w:w="1815" w:type="dxa"/>
            <w:shd w:val="clear" w:color="auto" w:fill="D9EAD3"/>
            <w:tcMar>
              <w:top w:w="100" w:type="dxa"/>
              <w:left w:w="100" w:type="dxa"/>
              <w:bottom w:w="100" w:type="dxa"/>
              <w:right w:w="100" w:type="dxa"/>
            </w:tcMar>
            <w:vAlign w:val="center"/>
          </w:tcPr>
          <w:p w14:paraId="06C0331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28.666 (2021.)</w:t>
            </w:r>
          </w:p>
        </w:tc>
        <w:tc>
          <w:tcPr>
            <w:tcW w:w="1920" w:type="dxa"/>
            <w:shd w:val="clear" w:color="auto" w:fill="D9EAD3"/>
            <w:tcMar>
              <w:top w:w="100" w:type="dxa"/>
              <w:left w:w="100" w:type="dxa"/>
              <w:bottom w:w="100" w:type="dxa"/>
              <w:right w:w="100" w:type="dxa"/>
            </w:tcMar>
            <w:vAlign w:val="center"/>
          </w:tcPr>
          <w:p w14:paraId="1673A9B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 xml:space="preserve">28.666 </w:t>
            </w:r>
          </w:p>
        </w:tc>
      </w:tr>
      <w:tr w:rsidR="002F7564" w14:paraId="5036A6AB" w14:textId="77777777">
        <w:trPr>
          <w:trHeight w:val="420"/>
        </w:trPr>
        <w:tc>
          <w:tcPr>
            <w:tcW w:w="9090" w:type="dxa"/>
            <w:gridSpan w:val="4"/>
            <w:tcMar>
              <w:top w:w="100" w:type="dxa"/>
              <w:left w:w="100" w:type="dxa"/>
              <w:bottom w:w="100" w:type="dxa"/>
              <w:right w:w="100" w:type="dxa"/>
            </w:tcMar>
            <w:vAlign w:val="center"/>
          </w:tcPr>
          <w:p w14:paraId="23D22733" w14:textId="77777777" w:rsidR="002F7564" w:rsidRDefault="002F7564">
            <w:pPr>
              <w:widowControl w:val="0"/>
              <w:jc w:val="center"/>
              <w:rPr>
                <w:rFonts w:ascii="Source Sans Pro" w:eastAsia="Source Sans Pro" w:hAnsi="Source Sans Pro" w:cs="Source Sans Pro"/>
                <w:b/>
                <w:color w:val="FFFFFF"/>
              </w:rPr>
            </w:pPr>
          </w:p>
        </w:tc>
      </w:tr>
      <w:tr w:rsidR="002F7564" w14:paraId="5D05099D" w14:textId="77777777">
        <w:trPr>
          <w:trHeight w:val="420"/>
        </w:trPr>
        <w:tc>
          <w:tcPr>
            <w:tcW w:w="9090" w:type="dxa"/>
            <w:gridSpan w:val="4"/>
            <w:shd w:val="clear" w:color="auto" w:fill="666666"/>
            <w:tcMar>
              <w:top w:w="100" w:type="dxa"/>
              <w:left w:w="100" w:type="dxa"/>
              <w:bottom w:w="100" w:type="dxa"/>
              <w:right w:w="100" w:type="dxa"/>
            </w:tcMar>
            <w:vAlign w:val="center"/>
          </w:tcPr>
          <w:p w14:paraId="5BA4D17A"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Strateški cilj NRS-a</w:t>
            </w:r>
          </w:p>
        </w:tc>
      </w:tr>
      <w:tr w:rsidR="002F7564" w14:paraId="573B1D28" w14:textId="77777777">
        <w:trPr>
          <w:trHeight w:val="420"/>
        </w:trPr>
        <w:tc>
          <w:tcPr>
            <w:tcW w:w="9090" w:type="dxa"/>
            <w:gridSpan w:val="4"/>
            <w:shd w:val="clear" w:color="auto" w:fill="EFEFEF"/>
            <w:tcMar>
              <w:top w:w="100" w:type="dxa"/>
              <w:left w:w="100" w:type="dxa"/>
              <w:bottom w:w="100" w:type="dxa"/>
              <w:right w:w="100" w:type="dxa"/>
            </w:tcMar>
            <w:vAlign w:val="center"/>
          </w:tcPr>
          <w:p w14:paraId="254EB323"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lastRenderedPageBreak/>
              <w:t>9. Samodostatnost u hrani i razvoj biogospodarstva</w:t>
            </w:r>
          </w:p>
        </w:tc>
      </w:tr>
      <w:tr w:rsidR="002F7564" w14:paraId="55F047D2" w14:textId="77777777">
        <w:trPr>
          <w:trHeight w:val="420"/>
        </w:trPr>
        <w:tc>
          <w:tcPr>
            <w:tcW w:w="5355" w:type="dxa"/>
            <w:gridSpan w:val="2"/>
            <w:shd w:val="clear" w:color="auto" w:fill="666666"/>
            <w:tcMar>
              <w:top w:w="100" w:type="dxa"/>
              <w:left w:w="100" w:type="dxa"/>
              <w:bottom w:w="100" w:type="dxa"/>
              <w:right w:w="100" w:type="dxa"/>
            </w:tcMar>
            <w:vAlign w:val="center"/>
          </w:tcPr>
          <w:p w14:paraId="11DA6066"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01B0ECDE"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7B7BC2E2"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2030.:</w:t>
            </w:r>
          </w:p>
        </w:tc>
      </w:tr>
      <w:tr w:rsidR="002F7564" w14:paraId="401EE173" w14:textId="77777777">
        <w:trPr>
          <w:trHeight w:val="420"/>
        </w:trPr>
        <w:tc>
          <w:tcPr>
            <w:tcW w:w="5355" w:type="dxa"/>
            <w:gridSpan w:val="2"/>
            <w:shd w:val="clear" w:color="auto" w:fill="EFEFEF"/>
            <w:tcMar>
              <w:top w:w="100" w:type="dxa"/>
              <w:left w:w="100" w:type="dxa"/>
              <w:bottom w:w="100" w:type="dxa"/>
              <w:right w:w="100" w:type="dxa"/>
            </w:tcMar>
            <w:vAlign w:val="center"/>
          </w:tcPr>
          <w:p w14:paraId="7E002D7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Produktivnost rada u poljoprivredi</w:t>
            </w:r>
          </w:p>
        </w:tc>
        <w:tc>
          <w:tcPr>
            <w:tcW w:w="1815" w:type="dxa"/>
            <w:shd w:val="clear" w:color="auto" w:fill="F3F3F3"/>
            <w:tcMar>
              <w:top w:w="100" w:type="dxa"/>
              <w:left w:w="100" w:type="dxa"/>
              <w:bottom w:w="100" w:type="dxa"/>
              <w:right w:w="100" w:type="dxa"/>
            </w:tcMar>
            <w:vAlign w:val="center"/>
          </w:tcPr>
          <w:p w14:paraId="67DCF07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6.107 eura/GJR* (2019.)</w:t>
            </w:r>
          </w:p>
        </w:tc>
        <w:tc>
          <w:tcPr>
            <w:tcW w:w="1920" w:type="dxa"/>
            <w:shd w:val="clear" w:color="auto" w:fill="F3F3F3"/>
            <w:tcMar>
              <w:top w:w="100" w:type="dxa"/>
              <w:left w:w="100" w:type="dxa"/>
              <w:bottom w:w="100" w:type="dxa"/>
              <w:right w:w="100" w:type="dxa"/>
            </w:tcMar>
            <w:vAlign w:val="center"/>
          </w:tcPr>
          <w:p w14:paraId="2201F4F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10.000,00 eura/GJR*</w:t>
            </w:r>
          </w:p>
        </w:tc>
      </w:tr>
      <w:tr w:rsidR="002F7564" w14:paraId="4F515224"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7BBBC414" w14:textId="77777777" w:rsidR="002F7564" w:rsidRDefault="002F7564">
            <w:pPr>
              <w:widowControl w:val="0"/>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6D5E2228"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2F7564" w14:paraId="2F15AF78" w14:textId="77777777">
        <w:trPr>
          <w:trHeight w:val="420"/>
        </w:trPr>
        <w:tc>
          <w:tcPr>
            <w:tcW w:w="435" w:type="dxa"/>
            <w:vMerge/>
            <w:shd w:val="clear" w:color="auto" w:fill="7CA361"/>
            <w:tcMar>
              <w:top w:w="100" w:type="dxa"/>
              <w:left w:w="100" w:type="dxa"/>
              <w:bottom w:w="100" w:type="dxa"/>
              <w:right w:w="100" w:type="dxa"/>
            </w:tcMar>
            <w:vAlign w:val="center"/>
          </w:tcPr>
          <w:p w14:paraId="7DC9016C" w14:textId="77777777" w:rsidR="002F7564" w:rsidRDefault="002F7564">
            <w:pPr>
              <w:jc w:val="center"/>
              <w:rPr>
                <w:rFonts w:ascii="Source Sans Pro" w:eastAsia="Source Sans Pro" w:hAnsi="Source Sans Pro" w:cs="Source Sans Pro"/>
              </w:rPr>
            </w:pPr>
          </w:p>
        </w:tc>
        <w:tc>
          <w:tcPr>
            <w:tcW w:w="8655" w:type="dxa"/>
            <w:gridSpan w:val="3"/>
            <w:shd w:val="clear" w:color="auto" w:fill="D9EAD3"/>
            <w:tcMar>
              <w:top w:w="100" w:type="dxa"/>
              <w:left w:w="100" w:type="dxa"/>
              <w:bottom w:w="100" w:type="dxa"/>
              <w:right w:w="100" w:type="dxa"/>
            </w:tcMar>
            <w:vAlign w:val="center"/>
          </w:tcPr>
          <w:p w14:paraId="23487DFA" w14:textId="77777777" w:rsidR="002F7564" w:rsidRDefault="00000000">
            <w:pPr>
              <w:jc w:val="center"/>
              <w:rPr>
                <w:rFonts w:ascii="Source Sans Pro" w:eastAsia="Source Sans Pro" w:hAnsi="Source Sans Pro" w:cs="Source Sans Pro"/>
              </w:rPr>
            </w:pPr>
            <w:r>
              <w:rPr>
                <w:rFonts w:ascii="Source Sans Pro" w:eastAsia="Source Sans Pro" w:hAnsi="Source Sans Pro" w:cs="Source Sans Pro"/>
              </w:rPr>
              <w:t>3.1. Potaknuti nove ideje u razvoju lokalne ekonomije</w:t>
            </w:r>
          </w:p>
        </w:tc>
      </w:tr>
      <w:tr w:rsidR="002F7564" w14:paraId="7AA1D113"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6DF96BA7" w14:textId="77777777" w:rsidR="002F7564" w:rsidRDefault="002F7564">
            <w:pPr>
              <w:widowControl w:val="0"/>
              <w:rPr>
                <w:rFonts w:ascii="Source Sans Pro" w:eastAsia="Source Sans Pro" w:hAnsi="Source Sans Pro" w:cs="Source Sans Pro"/>
                <w:b/>
                <w:color w:val="FFFFFF"/>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14A3D670"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ishoda</w:t>
            </w:r>
          </w:p>
        </w:tc>
        <w:tc>
          <w:tcPr>
            <w:tcW w:w="1815" w:type="dxa"/>
            <w:shd w:val="clear" w:color="auto" w:fill="7CA361"/>
            <w:tcMar>
              <w:top w:w="100" w:type="dxa"/>
              <w:left w:w="100" w:type="dxa"/>
              <w:bottom w:w="100" w:type="dxa"/>
              <w:right w:w="100" w:type="dxa"/>
            </w:tcMar>
            <w:vAlign w:val="center"/>
          </w:tcPr>
          <w:p w14:paraId="6C664866"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2AF4565C"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2F7564" w14:paraId="5586A063" w14:textId="77777777">
        <w:trPr>
          <w:trHeight w:val="420"/>
        </w:trPr>
        <w:tc>
          <w:tcPr>
            <w:tcW w:w="435" w:type="dxa"/>
            <w:vMerge/>
            <w:shd w:val="clear" w:color="auto" w:fill="7CA361"/>
            <w:tcMar>
              <w:top w:w="100" w:type="dxa"/>
              <w:left w:w="100" w:type="dxa"/>
              <w:bottom w:w="100" w:type="dxa"/>
              <w:right w:w="100" w:type="dxa"/>
            </w:tcMar>
            <w:vAlign w:val="center"/>
          </w:tcPr>
          <w:p w14:paraId="2CDEB4F3" w14:textId="77777777" w:rsidR="002F7564" w:rsidRDefault="002F7564">
            <w:pPr>
              <w:widowControl w:val="0"/>
              <w:rPr>
                <w:rFonts w:ascii="Source Sans Pro" w:eastAsia="Source Sans Pro" w:hAnsi="Source Sans Pro" w:cs="Source Sans Pro"/>
                <w:b/>
              </w:rPr>
            </w:pPr>
          </w:p>
        </w:tc>
        <w:tc>
          <w:tcPr>
            <w:tcW w:w="4920" w:type="dxa"/>
            <w:shd w:val="clear" w:color="auto" w:fill="D9EAD3"/>
            <w:tcMar>
              <w:top w:w="100" w:type="dxa"/>
              <w:left w:w="100" w:type="dxa"/>
              <w:bottom w:w="100" w:type="dxa"/>
              <w:right w:w="100" w:type="dxa"/>
            </w:tcMar>
            <w:vAlign w:val="center"/>
          </w:tcPr>
          <w:p w14:paraId="76D0893E"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rPr>
              <w:t>Subjekti upisani u Upisnik poljoprivrednih proizvođača (OI.02.12.77)</w:t>
            </w:r>
          </w:p>
        </w:tc>
        <w:tc>
          <w:tcPr>
            <w:tcW w:w="1815" w:type="dxa"/>
            <w:shd w:val="clear" w:color="auto" w:fill="D9EAD3"/>
            <w:tcMar>
              <w:top w:w="100" w:type="dxa"/>
              <w:left w:w="100" w:type="dxa"/>
              <w:bottom w:w="100" w:type="dxa"/>
              <w:right w:w="100" w:type="dxa"/>
            </w:tcMar>
            <w:vAlign w:val="center"/>
          </w:tcPr>
          <w:p w14:paraId="392E0DD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2.651 (2020.)</w:t>
            </w:r>
          </w:p>
        </w:tc>
        <w:tc>
          <w:tcPr>
            <w:tcW w:w="1920" w:type="dxa"/>
            <w:shd w:val="clear" w:color="auto" w:fill="D9EAD3"/>
            <w:tcMar>
              <w:top w:w="100" w:type="dxa"/>
              <w:left w:w="100" w:type="dxa"/>
              <w:bottom w:w="100" w:type="dxa"/>
              <w:right w:w="100" w:type="dxa"/>
            </w:tcMar>
            <w:vAlign w:val="center"/>
          </w:tcPr>
          <w:p w14:paraId="36D647A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2.900</w:t>
            </w:r>
          </w:p>
        </w:tc>
      </w:tr>
      <w:tr w:rsidR="002F7564" w14:paraId="0A365AC5" w14:textId="77777777">
        <w:trPr>
          <w:trHeight w:val="420"/>
        </w:trPr>
        <w:tc>
          <w:tcPr>
            <w:tcW w:w="435" w:type="dxa"/>
            <w:vMerge/>
            <w:shd w:val="clear" w:color="auto" w:fill="7CA361"/>
            <w:tcMar>
              <w:top w:w="100" w:type="dxa"/>
              <w:left w:w="100" w:type="dxa"/>
              <w:bottom w:w="100" w:type="dxa"/>
              <w:right w:w="100" w:type="dxa"/>
            </w:tcMar>
            <w:vAlign w:val="center"/>
          </w:tcPr>
          <w:p w14:paraId="28C3D8F2" w14:textId="77777777" w:rsidR="002F7564" w:rsidRDefault="002F7564">
            <w:pPr>
              <w:widowControl w:val="0"/>
              <w:rPr>
                <w:rFonts w:ascii="Source Sans Pro" w:eastAsia="Source Sans Pro" w:hAnsi="Source Sans Pro" w:cs="Source Sans Pro"/>
              </w:rPr>
            </w:pPr>
          </w:p>
        </w:tc>
        <w:tc>
          <w:tcPr>
            <w:tcW w:w="4920" w:type="dxa"/>
            <w:shd w:val="clear" w:color="auto" w:fill="D9EAD3"/>
            <w:tcMar>
              <w:top w:w="100" w:type="dxa"/>
              <w:left w:w="100" w:type="dxa"/>
              <w:bottom w:w="100" w:type="dxa"/>
              <w:right w:w="100" w:type="dxa"/>
            </w:tcMar>
            <w:vAlign w:val="center"/>
          </w:tcPr>
          <w:p w14:paraId="7C6693B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w:t>
            </w:r>
          </w:p>
        </w:tc>
        <w:tc>
          <w:tcPr>
            <w:tcW w:w="1815" w:type="dxa"/>
            <w:shd w:val="clear" w:color="auto" w:fill="D9EAD3"/>
            <w:tcMar>
              <w:top w:w="100" w:type="dxa"/>
              <w:left w:w="100" w:type="dxa"/>
              <w:bottom w:w="100" w:type="dxa"/>
              <w:right w:w="100" w:type="dxa"/>
            </w:tcMar>
            <w:vAlign w:val="center"/>
          </w:tcPr>
          <w:p w14:paraId="063E424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w:t>
            </w:r>
          </w:p>
        </w:tc>
        <w:tc>
          <w:tcPr>
            <w:tcW w:w="1920" w:type="dxa"/>
            <w:shd w:val="clear" w:color="auto" w:fill="D9EAD3"/>
            <w:tcMar>
              <w:top w:w="100" w:type="dxa"/>
              <w:left w:w="100" w:type="dxa"/>
              <w:bottom w:w="100" w:type="dxa"/>
              <w:right w:w="100" w:type="dxa"/>
            </w:tcMar>
            <w:vAlign w:val="center"/>
          </w:tcPr>
          <w:p w14:paraId="1D81737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w:t>
            </w:r>
          </w:p>
        </w:tc>
      </w:tr>
      <w:tr w:rsidR="002F7564" w14:paraId="08FF966A" w14:textId="77777777">
        <w:trPr>
          <w:trHeight w:val="420"/>
        </w:trPr>
        <w:tc>
          <w:tcPr>
            <w:tcW w:w="9090" w:type="dxa"/>
            <w:gridSpan w:val="4"/>
            <w:tcMar>
              <w:top w:w="100" w:type="dxa"/>
              <w:left w:w="100" w:type="dxa"/>
              <w:bottom w:w="100" w:type="dxa"/>
              <w:right w:w="100" w:type="dxa"/>
            </w:tcMar>
            <w:vAlign w:val="center"/>
          </w:tcPr>
          <w:p w14:paraId="6244EB31" w14:textId="77777777" w:rsidR="002F7564" w:rsidRDefault="002F7564">
            <w:pPr>
              <w:widowControl w:val="0"/>
              <w:jc w:val="center"/>
              <w:rPr>
                <w:rFonts w:ascii="Source Sans Pro" w:eastAsia="Source Sans Pro" w:hAnsi="Source Sans Pro" w:cs="Source Sans Pro"/>
                <w:b/>
                <w:color w:val="FFFFFF"/>
              </w:rPr>
            </w:pPr>
          </w:p>
        </w:tc>
      </w:tr>
      <w:tr w:rsidR="002F7564" w14:paraId="5DD00B38" w14:textId="77777777">
        <w:trPr>
          <w:trHeight w:val="420"/>
        </w:trPr>
        <w:tc>
          <w:tcPr>
            <w:tcW w:w="9090" w:type="dxa"/>
            <w:gridSpan w:val="4"/>
            <w:shd w:val="clear" w:color="auto" w:fill="666666"/>
            <w:tcMar>
              <w:top w:w="100" w:type="dxa"/>
              <w:left w:w="100" w:type="dxa"/>
              <w:bottom w:w="100" w:type="dxa"/>
              <w:right w:w="100" w:type="dxa"/>
            </w:tcMar>
            <w:vAlign w:val="center"/>
          </w:tcPr>
          <w:p w14:paraId="503A0B4B"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Strateški cilj NRS-a</w:t>
            </w:r>
          </w:p>
        </w:tc>
      </w:tr>
      <w:tr w:rsidR="002F7564" w14:paraId="110C2801" w14:textId="77777777">
        <w:trPr>
          <w:trHeight w:val="420"/>
        </w:trPr>
        <w:tc>
          <w:tcPr>
            <w:tcW w:w="9090" w:type="dxa"/>
            <w:gridSpan w:val="4"/>
            <w:shd w:val="clear" w:color="auto" w:fill="EFEFEF"/>
            <w:tcMar>
              <w:top w:w="100" w:type="dxa"/>
              <w:left w:w="100" w:type="dxa"/>
              <w:bottom w:w="100" w:type="dxa"/>
              <w:right w:w="100" w:type="dxa"/>
            </w:tcMar>
            <w:vAlign w:val="center"/>
          </w:tcPr>
          <w:p w14:paraId="114B4E6B"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10. Održiva mobilnost</w:t>
            </w:r>
          </w:p>
        </w:tc>
      </w:tr>
      <w:tr w:rsidR="002F7564" w14:paraId="31C43A00" w14:textId="77777777">
        <w:trPr>
          <w:trHeight w:val="420"/>
        </w:trPr>
        <w:tc>
          <w:tcPr>
            <w:tcW w:w="5355" w:type="dxa"/>
            <w:gridSpan w:val="2"/>
            <w:shd w:val="clear" w:color="auto" w:fill="666666"/>
            <w:tcMar>
              <w:top w:w="100" w:type="dxa"/>
              <w:left w:w="100" w:type="dxa"/>
              <w:bottom w:w="100" w:type="dxa"/>
              <w:right w:w="100" w:type="dxa"/>
            </w:tcMar>
            <w:vAlign w:val="center"/>
          </w:tcPr>
          <w:p w14:paraId="1A676CA2"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0CBF3428"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1E40A9F1"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2030.:</w:t>
            </w:r>
          </w:p>
        </w:tc>
      </w:tr>
      <w:tr w:rsidR="002F7564" w14:paraId="7EEDD1F7" w14:textId="77777777">
        <w:trPr>
          <w:trHeight w:val="420"/>
        </w:trPr>
        <w:tc>
          <w:tcPr>
            <w:tcW w:w="5355" w:type="dxa"/>
            <w:gridSpan w:val="2"/>
            <w:shd w:val="clear" w:color="auto" w:fill="EFEFEF"/>
            <w:tcMar>
              <w:top w:w="100" w:type="dxa"/>
              <w:left w:w="100" w:type="dxa"/>
              <w:bottom w:w="100" w:type="dxa"/>
              <w:right w:w="100" w:type="dxa"/>
            </w:tcMar>
            <w:vAlign w:val="center"/>
          </w:tcPr>
          <w:p w14:paraId="4FF1D55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Indeks globalne konkurentnosti (GCI) komponenta “Infrastruktura”</w:t>
            </w:r>
          </w:p>
        </w:tc>
        <w:tc>
          <w:tcPr>
            <w:tcW w:w="1815" w:type="dxa"/>
            <w:shd w:val="clear" w:color="auto" w:fill="F3F3F3"/>
            <w:tcMar>
              <w:top w:w="100" w:type="dxa"/>
              <w:left w:w="100" w:type="dxa"/>
              <w:bottom w:w="100" w:type="dxa"/>
              <w:right w:w="100" w:type="dxa"/>
            </w:tcMar>
            <w:vAlign w:val="center"/>
          </w:tcPr>
          <w:p w14:paraId="0B930F9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32. Mjesto (2019.)</w:t>
            </w:r>
          </w:p>
        </w:tc>
        <w:tc>
          <w:tcPr>
            <w:tcW w:w="1920" w:type="dxa"/>
            <w:shd w:val="clear" w:color="auto" w:fill="F3F3F3"/>
            <w:tcMar>
              <w:top w:w="100" w:type="dxa"/>
              <w:left w:w="100" w:type="dxa"/>
              <w:bottom w:w="100" w:type="dxa"/>
              <w:right w:w="100" w:type="dxa"/>
            </w:tcMar>
            <w:vAlign w:val="center"/>
          </w:tcPr>
          <w:p w14:paraId="23C95C7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&lt; 28. mjesta</w:t>
            </w:r>
          </w:p>
        </w:tc>
      </w:tr>
      <w:tr w:rsidR="002F7564" w14:paraId="287671C7"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049CF788" w14:textId="77777777" w:rsidR="002F7564" w:rsidRDefault="002F7564">
            <w:pPr>
              <w:widowControl w:val="0"/>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14D0C731"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2F7564" w14:paraId="3ED05D67" w14:textId="77777777">
        <w:trPr>
          <w:trHeight w:val="420"/>
        </w:trPr>
        <w:tc>
          <w:tcPr>
            <w:tcW w:w="435" w:type="dxa"/>
            <w:vMerge/>
            <w:shd w:val="clear" w:color="auto" w:fill="7CA361"/>
            <w:tcMar>
              <w:top w:w="100" w:type="dxa"/>
              <w:left w:w="100" w:type="dxa"/>
              <w:bottom w:w="100" w:type="dxa"/>
              <w:right w:w="100" w:type="dxa"/>
            </w:tcMar>
            <w:vAlign w:val="center"/>
          </w:tcPr>
          <w:p w14:paraId="62F7A400" w14:textId="77777777" w:rsidR="002F7564" w:rsidRDefault="002F7564">
            <w:pPr>
              <w:jc w:val="center"/>
              <w:rPr>
                <w:rFonts w:ascii="Source Sans Pro" w:eastAsia="Source Sans Pro" w:hAnsi="Source Sans Pro" w:cs="Source Sans Pro"/>
              </w:rPr>
            </w:pPr>
          </w:p>
        </w:tc>
        <w:tc>
          <w:tcPr>
            <w:tcW w:w="8655" w:type="dxa"/>
            <w:gridSpan w:val="3"/>
            <w:shd w:val="clear" w:color="auto" w:fill="D9EAD3"/>
            <w:tcMar>
              <w:top w:w="100" w:type="dxa"/>
              <w:left w:w="100" w:type="dxa"/>
              <w:bottom w:w="100" w:type="dxa"/>
              <w:right w:w="100" w:type="dxa"/>
            </w:tcMar>
            <w:vAlign w:val="center"/>
          </w:tcPr>
          <w:p w14:paraId="515B837E" w14:textId="77777777" w:rsidR="002F7564" w:rsidRDefault="00000000">
            <w:pPr>
              <w:jc w:val="center"/>
              <w:rPr>
                <w:rFonts w:ascii="Source Sans Pro" w:eastAsia="Source Sans Pro" w:hAnsi="Source Sans Pro" w:cs="Source Sans Pro"/>
              </w:rPr>
            </w:pPr>
            <w:r>
              <w:rPr>
                <w:rFonts w:ascii="Source Sans Pro" w:eastAsia="Source Sans Pro" w:hAnsi="Source Sans Pro" w:cs="Source Sans Pro"/>
              </w:rPr>
              <w:t>2.1. Uspostaviti održiv sustav prijevoza</w:t>
            </w:r>
          </w:p>
        </w:tc>
      </w:tr>
      <w:tr w:rsidR="002F7564" w14:paraId="3E1F5EE1"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5A9C1015" w14:textId="77777777" w:rsidR="002F7564" w:rsidRDefault="002F7564">
            <w:pPr>
              <w:widowControl w:val="0"/>
              <w:rPr>
                <w:rFonts w:ascii="Source Sans Pro" w:eastAsia="Source Sans Pro" w:hAnsi="Source Sans Pro" w:cs="Source Sans Pro"/>
                <w:b/>
                <w:color w:val="FFFFFF"/>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3021E366"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ishoda</w:t>
            </w:r>
          </w:p>
        </w:tc>
        <w:tc>
          <w:tcPr>
            <w:tcW w:w="1815" w:type="dxa"/>
            <w:shd w:val="clear" w:color="auto" w:fill="7CA361"/>
            <w:tcMar>
              <w:top w:w="100" w:type="dxa"/>
              <w:left w:w="100" w:type="dxa"/>
              <w:bottom w:w="100" w:type="dxa"/>
              <w:right w:w="100" w:type="dxa"/>
            </w:tcMar>
            <w:vAlign w:val="center"/>
          </w:tcPr>
          <w:p w14:paraId="1F1D9DDE"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4E3E1102"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2F7564" w14:paraId="339D24FD" w14:textId="77777777">
        <w:trPr>
          <w:trHeight w:val="420"/>
        </w:trPr>
        <w:tc>
          <w:tcPr>
            <w:tcW w:w="435" w:type="dxa"/>
            <w:vMerge/>
            <w:shd w:val="clear" w:color="auto" w:fill="7CA361"/>
            <w:tcMar>
              <w:top w:w="100" w:type="dxa"/>
              <w:left w:w="100" w:type="dxa"/>
              <w:bottom w:w="100" w:type="dxa"/>
              <w:right w:w="100" w:type="dxa"/>
            </w:tcMar>
            <w:vAlign w:val="center"/>
          </w:tcPr>
          <w:p w14:paraId="5487BFD2" w14:textId="77777777" w:rsidR="002F7564" w:rsidRDefault="002F7564">
            <w:pPr>
              <w:widowControl w:val="0"/>
              <w:rPr>
                <w:rFonts w:ascii="Source Sans Pro" w:eastAsia="Source Sans Pro" w:hAnsi="Source Sans Pro" w:cs="Source Sans Pro"/>
                <w:b/>
              </w:rPr>
            </w:pPr>
          </w:p>
        </w:tc>
        <w:tc>
          <w:tcPr>
            <w:tcW w:w="4920" w:type="dxa"/>
            <w:shd w:val="clear" w:color="auto" w:fill="D9EAD3"/>
            <w:tcMar>
              <w:top w:w="100" w:type="dxa"/>
              <w:left w:w="100" w:type="dxa"/>
              <w:bottom w:w="100" w:type="dxa"/>
              <w:right w:w="100" w:type="dxa"/>
            </w:tcMar>
            <w:vAlign w:val="center"/>
          </w:tcPr>
          <w:p w14:paraId="76D6AC35"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rPr>
              <w:t>Broj javno dostupnih punionica za vozila na električni pogon (OI.02.11.44)</w:t>
            </w:r>
          </w:p>
        </w:tc>
        <w:tc>
          <w:tcPr>
            <w:tcW w:w="1815" w:type="dxa"/>
            <w:shd w:val="clear" w:color="auto" w:fill="D9EAD3"/>
            <w:tcMar>
              <w:top w:w="100" w:type="dxa"/>
              <w:left w:w="100" w:type="dxa"/>
              <w:bottom w:w="100" w:type="dxa"/>
              <w:right w:w="100" w:type="dxa"/>
            </w:tcMar>
            <w:vAlign w:val="center"/>
          </w:tcPr>
          <w:p w14:paraId="2499740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10 (2021.)</w:t>
            </w:r>
          </w:p>
        </w:tc>
        <w:tc>
          <w:tcPr>
            <w:tcW w:w="1920" w:type="dxa"/>
            <w:shd w:val="clear" w:color="auto" w:fill="D9EAD3"/>
            <w:tcMar>
              <w:top w:w="100" w:type="dxa"/>
              <w:left w:w="100" w:type="dxa"/>
              <w:bottom w:w="100" w:type="dxa"/>
              <w:right w:w="100" w:type="dxa"/>
            </w:tcMar>
            <w:vAlign w:val="center"/>
          </w:tcPr>
          <w:p w14:paraId="2E05E7D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20</w:t>
            </w:r>
          </w:p>
        </w:tc>
      </w:tr>
      <w:tr w:rsidR="002F7564" w14:paraId="7345748A" w14:textId="77777777">
        <w:trPr>
          <w:trHeight w:val="420"/>
        </w:trPr>
        <w:tc>
          <w:tcPr>
            <w:tcW w:w="435" w:type="dxa"/>
            <w:vMerge/>
            <w:shd w:val="clear" w:color="auto" w:fill="7CA361"/>
            <w:tcMar>
              <w:top w:w="100" w:type="dxa"/>
              <w:left w:w="100" w:type="dxa"/>
              <w:bottom w:w="100" w:type="dxa"/>
              <w:right w:w="100" w:type="dxa"/>
            </w:tcMar>
            <w:vAlign w:val="center"/>
          </w:tcPr>
          <w:p w14:paraId="2EA0C29F" w14:textId="77777777" w:rsidR="002F7564" w:rsidRDefault="002F7564">
            <w:pPr>
              <w:widowControl w:val="0"/>
              <w:rPr>
                <w:rFonts w:ascii="Source Sans Pro" w:eastAsia="Source Sans Pro" w:hAnsi="Source Sans Pro" w:cs="Source Sans Pro"/>
              </w:rPr>
            </w:pPr>
          </w:p>
        </w:tc>
        <w:tc>
          <w:tcPr>
            <w:tcW w:w="4920" w:type="dxa"/>
            <w:shd w:val="clear" w:color="auto" w:fill="D9EAD3"/>
            <w:tcMar>
              <w:top w:w="100" w:type="dxa"/>
              <w:left w:w="100" w:type="dxa"/>
              <w:bottom w:w="100" w:type="dxa"/>
              <w:right w:w="100" w:type="dxa"/>
            </w:tcMar>
            <w:vAlign w:val="center"/>
          </w:tcPr>
          <w:p w14:paraId="685716E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w:t>
            </w:r>
          </w:p>
        </w:tc>
        <w:tc>
          <w:tcPr>
            <w:tcW w:w="1815" w:type="dxa"/>
            <w:shd w:val="clear" w:color="auto" w:fill="D9EAD3"/>
            <w:tcMar>
              <w:top w:w="100" w:type="dxa"/>
              <w:left w:w="100" w:type="dxa"/>
              <w:bottom w:w="100" w:type="dxa"/>
              <w:right w:w="100" w:type="dxa"/>
            </w:tcMar>
            <w:vAlign w:val="center"/>
          </w:tcPr>
          <w:p w14:paraId="70160D7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w:t>
            </w:r>
          </w:p>
        </w:tc>
        <w:tc>
          <w:tcPr>
            <w:tcW w:w="1920" w:type="dxa"/>
            <w:shd w:val="clear" w:color="auto" w:fill="D9EAD3"/>
            <w:tcMar>
              <w:top w:w="100" w:type="dxa"/>
              <w:left w:w="100" w:type="dxa"/>
              <w:bottom w:w="100" w:type="dxa"/>
              <w:right w:w="100" w:type="dxa"/>
            </w:tcMar>
            <w:vAlign w:val="center"/>
          </w:tcPr>
          <w:p w14:paraId="190F192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w:t>
            </w:r>
          </w:p>
        </w:tc>
      </w:tr>
      <w:tr w:rsidR="002F7564" w14:paraId="4745425F" w14:textId="77777777">
        <w:trPr>
          <w:trHeight w:val="420"/>
        </w:trPr>
        <w:tc>
          <w:tcPr>
            <w:tcW w:w="9090" w:type="dxa"/>
            <w:gridSpan w:val="4"/>
            <w:tcMar>
              <w:top w:w="100" w:type="dxa"/>
              <w:left w:w="100" w:type="dxa"/>
              <w:bottom w:w="100" w:type="dxa"/>
              <w:right w:w="100" w:type="dxa"/>
            </w:tcMar>
            <w:vAlign w:val="center"/>
          </w:tcPr>
          <w:p w14:paraId="4A94BDE1" w14:textId="77777777" w:rsidR="002F7564" w:rsidRDefault="002F7564">
            <w:pPr>
              <w:widowControl w:val="0"/>
              <w:jc w:val="center"/>
              <w:rPr>
                <w:rFonts w:ascii="Source Sans Pro" w:eastAsia="Source Sans Pro" w:hAnsi="Source Sans Pro" w:cs="Source Sans Pro"/>
                <w:b/>
                <w:color w:val="FFFFFF"/>
              </w:rPr>
            </w:pPr>
          </w:p>
        </w:tc>
      </w:tr>
      <w:tr w:rsidR="002F7564" w14:paraId="4C75D3B5" w14:textId="77777777">
        <w:trPr>
          <w:trHeight w:val="420"/>
        </w:trPr>
        <w:tc>
          <w:tcPr>
            <w:tcW w:w="9090" w:type="dxa"/>
            <w:gridSpan w:val="4"/>
            <w:shd w:val="clear" w:color="auto" w:fill="666666"/>
            <w:tcMar>
              <w:top w:w="100" w:type="dxa"/>
              <w:left w:w="100" w:type="dxa"/>
              <w:bottom w:w="100" w:type="dxa"/>
              <w:right w:w="100" w:type="dxa"/>
            </w:tcMar>
            <w:vAlign w:val="center"/>
          </w:tcPr>
          <w:p w14:paraId="471003FD"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Strateški cilj NRS-a</w:t>
            </w:r>
          </w:p>
        </w:tc>
      </w:tr>
      <w:tr w:rsidR="002F7564" w14:paraId="58422BE6" w14:textId="77777777">
        <w:trPr>
          <w:trHeight w:val="420"/>
        </w:trPr>
        <w:tc>
          <w:tcPr>
            <w:tcW w:w="9090" w:type="dxa"/>
            <w:gridSpan w:val="4"/>
            <w:shd w:val="clear" w:color="auto" w:fill="EFEFEF"/>
            <w:tcMar>
              <w:top w:w="100" w:type="dxa"/>
              <w:left w:w="100" w:type="dxa"/>
              <w:bottom w:w="100" w:type="dxa"/>
              <w:right w:w="100" w:type="dxa"/>
            </w:tcMar>
            <w:vAlign w:val="center"/>
          </w:tcPr>
          <w:p w14:paraId="5F479594"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lastRenderedPageBreak/>
              <w:t>11. Digitalna tranzicija društva i gospodarstva</w:t>
            </w:r>
          </w:p>
        </w:tc>
      </w:tr>
      <w:tr w:rsidR="002F7564" w14:paraId="5935B659" w14:textId="77777777">
        <w:trPr>
          <w:trHeight w:val="420"/>
        </w:trPr>
        <w:tc>
          <w:tcPr>
            <w:tcW w:w="5355" w:type="dxa"/>
            <w:gridSpan w:val="2"/>
            <w:shd w:val="clear" w:color="auto" w:fill="666666"/>
            <w:tcMar>
              <w:top w:w="100" w:type="dxa"/>
              <w:left w:w="100" w:type="dxa"/>
              <w:bottom w:w="100" w:type="dxa"/>
              <w:right w:w="100" w:type="dxa"/>
            </w:tcMar>
            <w:vAlign w:val="center"/>
          </w:tcPr>
          <w:p w14:paraId="7D9B0E49"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učinka</w:t>
            </w:r>
          </w:p>
        </w:tc>
        <w:tc>
          <w:tcPr>
            <w:tcW w:w="1815" w:type="dxa"/>
            <w:shd w:val="clear" w:color="auto" w:fill="666666"/>
            <w:tcMar>
              <w:top w:w="100" w:type="dxa"/>
              <w:left w:w="100" w:type="dxa"/>
              <w:bottom w:w="100" w:type="dxa"/>
              <w:right w:w="100" w:type="dxa"/>
            </w:tcMar>
            <w:vAlign w:val="center"/>
          </w:tcPr>
          <w:p w14:paraId="408010C3"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666666"/>
            <w:tcMar>
              <w:top w:w="100" w:type="dxa"/>
              <w:left w:w="100" w:type="dxa"/>
              <w:bottom w:w="100" w:type="dxa"/>
              <w:right w:w="100" w:type="dxa"/>
            </w:tcMar>
            <w:vAlign w:val="center"/>
          </w:tcPr>
          <w:p w14:paraId="0C0FE7A1"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2030.:</w:t>
            </w:r>
          </w:p>
        </w:tc>
      </w:tr>
      <w:tr w:rsidR="002F7564" w14:paraId="1D2F97A9" w14:textId="77777777">
        <w:trPr>
          <w:trHeight w:val="420"/>
        </w:trPr>
        <w:tc>
          <w:tcPr>
            <w:tcW w:w="5355" w:type="dxa"/>
            <w:gridSpan w:val="2"/>
            <w:shd w:val="clear" w:color="auto" w:fill="EFEFEF"/>
            <w:tcMar>
              <w:top w:w="100" w:type="dxa"/>
              <w:left w:w="100" w:type="dxa"/>
              <w:bottom w:w="100" w:type="dxa"/>
              <w:right w:w="100" w:type="dxa"/>
            </w:tcMar>
            <w:vAlign w:val="center"/>
          </w:tcPr>
          <w:p w14:paraId="7CA14A4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DESI indeks gospodarske i društvene digitalizacije</w:t>
            </w:r>
          </w:p>
        </w:tc>
        <w:tc>
          <w:tcPr>
            <w:tcW w:w="1815" w:type="dxa"/>
            <w:shd w:val="clear" w:color="auto" w:fill="F3F3F3"/>
            <w:tcMar>
              <w:top w:w="100" w:type="dxa"/>
              <w:left w:w="100" w:type="dxa"/>
              <w:bottom w:w="100" w:type="dxa"/>
              <w:right w:w="100" w:type="dxa"/>
            </w:tcMar>
            <w:vAlign w:val="center"/>
          </w:tcPr>
          <w:p w14:paraId="52AB466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47,60 (20. mjesto u EU) (2020.)</w:t>
            </w:r>
          </w:p>
        </w:tc>
        <w:tc>
          <w:tcPr>
            <w:tcW w:w="1920" w:type="dxa"/>
            <w:shd w:val="clear" w:color="auto" w:fill="F3F3F3"/>
            <w:tcMar>
              <w:top w:w="100" w:type="dxa"/>
              <w:left w:w="100" w:type="dxa"/>
              <w:bottom w:w="100" w:type="dxa"/>
              <w:right w:w="100" w:type="dxa"/>
            </w:tcMar>
            <w:vAlign w:val="center"/>
          </w:tcPr>
          <w:p w14:paraId="0FB7E74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Dostići prosjek EU</w:t>
            </w:r>
          </w:p>
        </w:tc>
      </w:tr>
      <w:tr w:rsidR="002F7564" w14:paraId="20FE1140" w14:textId="77777777">
        <w:trPr>
          <w:trHeight w:val="420"/>
        </w:trPr>
        <w:tc>
          <w:tcPr>
            <w:tcW w:w="435" w:type="dxa"/>
            <w:vMerge w:val="restart"/>
            <w:tcBorders>
              <w:right w:val="single" w:sz="8" w:space="0" w:color="7CA361"/>
            </w:tcBorders>
            <w:shd w:val="clear" w:color="auto" w:fill="7CA361"/>
            <w:tcMar>
              <w:top w:w="100" w:type="dxa"/>
              <w:left w:w="100" w:type="dxa"/>
              <w:bottom w:w="100" w:type="dxa"/>
              <w:right w:w="100" w:type="dxa"/>
            </w:tcMar>
            <w:vAlign w:val="center"/>
          </w:tcPr>
          <w:p w14:paraId="45D9E937" w14:textId="77777777" w:rsidR="002F7564" w:rsidRDefault="002F7564">
            <w:pPr>
              <w:widowControl w:val="0"/>
              <w:jc w:val="center"/>
              <w:rPr>
                <w:rFonts w:ascii="Source Sans Pro" w:eastAsia="Source Sans Pro" w:hAnsi="Source Sans Pro" w:cs="Source Sans Pro"/>
                <w:b/>
                <w:color w:val="FFFFFF"/>
              </w:rPr>
            </w:pPr>
          </w:p>
        </w:tc>
        <w:tc>
          <w:tcPr>
            <w:tcW w:w="8655" w:type="dxa"/>
            <w:gridSpan w:val="3"/>
            <w:tcBorders>
              <w:left w:val="single" w:sz="8" w:space="0" w:color="7CA361"/>
            </w:tcBorders>
            <w:shd w:val="clear" w:color="auto" w:fill="7CA361"/>
            <w:tcMar>
              <w:top w:w="100" w:type="dxa"/>
              <w:left w:w="100" w:type="dxa"/>
              <w:bottom w:w="100" w:type="dxa"/>
              <w:right w:w="100" w:type="dxa"/>
            </w:tcMar>
            <w:vAlign w:val="center"/>
          </w:tcPr>
          <w:p w14:paraId="53D4AD02"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SRUP-a</w:t>
            </w:r>
          </w:p>
        </w:tc>
      </w:tr>
      <w:tr w:rsidR="002F7564" w14:paraId="65A97148" w14:textId="77777777">
        <w:trPr>
          <w:trHeight w:val="420"/>
        </w:trPr>
        <w:tc>
          <w:tcPr>
            <w:tcW w:w="435" w:type="dxa"/>
            <w:vMerge/>
            <w:shd w:val="clear" w:color="auto" w:fill="7CA361"/>
            <w:tcMar>
              <w:top w:w="100" w:type="dxa"/>
              <w:left w:w="100" w:type="dxa"/>
              <w:bottom w:w="100" w:type="dxa"/>
              <w:right w:w="100" w:type="dxa"/>
            </w:tcMar>
            <w:vAlign w:val="center"/>
          </w:tcPr>
          <w:p w14:paraId="4DE890D4" w14:textId="77777777" w:rsidR="002F7564" w:rsidRDefault="002F7564">
            <w:pPr>
              <w:widowControl w:val="0"/>
              <w:jc w:val="center"/>
              <w:rPr>
                <w:rFonts w:ascii="Source Sans Pro" w:eastAsia="Source Sans Pro" w:hAnsi="Source Sans Pro" w:cs="Source Sans Pro"/>
              </w:rPr>
            </w:pPr>
          </w:p>
        </w:tc>
        <w:tc>
          <w:tcPr>
            <w:tcW w:w="8655" w:type="dxa"/>
            <w:gridSpan w:val="3"/>
            <w:shd w:val="clear" w:color="auto" w:fill="D9EAD3"/>
            <w:tcMar>
              <w:top w:w="100" w:type="dxa"/>
              <w:left w:w="100" w:type="dxa"/>
              <w:bottom w:w="100" w:type="dxa"/>
              <w:right w:w="100" w:type="dxa"/>
            </w:tcMar>
            <w:vAlign w:val="center"/>
          </w:tcPr>
          <w:p w14:paraId="6E08E0EA"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rPr>
              <w:t>2.2. Pratiti trendove razvoja digitalne povezivosti</w:t>
            </w:r>
          </w:p>
        </w:tc>
      </w:tr>
      <w:tr w:rsidR="002F7564" w14:paraId="5B77AEE7" w14:textId="77777777">
        <w:trPr>
          <w:trHeight w:val="420"/>
        </w:trPr>
        <w:tc>
          <w:tcPr>
            <w:tcW w:w="435" w:type="dxa"/>
            <w:vMerge/>
            <w:tcBorders>
              <w:right w:val="single" w:sz="8" w:space="0" w:color="7CA361"/>
            </w:tcBorders>
            <w:shd w:val="clear" w:color="auto" w:fill="7CA361"/>
            <w:tcMar>
              <w:top w:w="100" w:type="dxa"/>
              <w:left w:w="100" w:type="dxa"/>
              <w:bottom w:w="100" w:type="dxa"/>
              <w:right w:w="100" w:type="dxa"/>
            </w:tcMar>
            <w:vAlign w:val="center"/>
          </w:tcPr>
          <w:p w14:paraId="306BD629" w14:textId="77777777" w:rsidR="002F7564" w:rsidRDefault="002F7564">
            <w:pPr>
              <w:widowControl w:val="0"/>
              <w:rPr>
                <w:rFonts w:ascii="Source Sans Pro" w:eastAsia="Source Sans Pro" w:hAnsi="Source Sans Pro" w:cs="Source Sans Pro"/>
                <w:b/>
                <w:color w:val="FFFFFF"/>
              </w:rPr>
            </w:pPr>
          </w:p>
        </w:tc>
        <w:tc>
          <w:tcPr>
            <w:tcW w:w="4920" w:type="dxa"/>
            <w:tcBorders>
              <w:left w:val="single" w:sz="8" w:space="0" w:color="7CA361"/>
            </w:tcBorders>
            <w:shd w:val="clear" w:color="auto" w:fill="7CA361"/>
            <w:tcMar>
              <w:top w:w="100" w:type="dxa"/>
              <w:left w:w="100" w:type="dxa"/>
              <w:bottom w:w="100" w:type="dxa"/>
              <w:right w:w="100" w:type="dxa"/>
            </w:tcMar>
            <w:vAlign w:val="center"/>
          </w:tcPr>
          <w:p w14:paraId="3403B82A"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Pokazatelj ishoda</w:t>
            </w:r>
          </w:p>
        </w:tc>
        <w:tc>
          <w:tcPr>
            <w:tcW w:w="1815" w:type="dxa"/>
            <w:shd w:val="clear" w:color="auto" w:fill="7CA361"/>
            <w:tcMar>
              <w:top w:w="100" w:type="dxa"/>
              <w:left w:w="100" w:type="dxa"/>
              <w:bottom w:w="100" w:type="dxa"/>
              <w:right w:w="100" w:type="dxa"/>
            </w:tcMar>
            <w:vAlign w:val="center"/>
          </w:tcPr>
          <w:p w14:paraId="0DBCF1DC"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Početna vrijednost</w:t>
            </w:r>
          </w:p>
        </w:tc>
        <w:tc>
          <w:tcPr>
            <w:tcW w:w="1920" w:type="dxa"/>
            <w:shd w:val="clear" w:color="auto" w:fill="7CA361"/>
            <w:tcMar>
              <w:top w:w="100" w:type="dxa"/>
              <w:left w:w="100" w:type="dxa"/>
              <w:bottom w:w="100" w:type="dxa"/>
              <w:right w:w="100" w:type="dxa"/>
            </w:tcMar>
            <w:vAlign w:val="center"/>
          </w:tcPr>
          <w:p w14:paraId="24974D28"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Ciljana vrijednost 2027.:</w:t>
            </w:r>
          </w:p>
        </w:tc>
      </w:tr>
      <w:tr w:rsidR="002F7564" w14:paraId="5EDC54FD" w14:textId="77777777">
        <w:trPr>
          <w:trHeight w:val="420"/>
        </w:trPr>
        <w:tc>
          <w:tcPr>
            <w:tcW w:w="435" w:type="dxa"/>
            <w:vMerge/>
            <w:shd w:val="clear" w:color="auto" w:fill="7CA361"/>
            <w:tcMar>
              <w:top w:w="100" w:type="dxa"/>
              <w:left w:w="100" w:type="dxa"/>
              <w:bottom w:w="100" w:type="dxa"/>
              <w:right w:w="100" w:type="dxa"/>
            </w:tcMar>
            <w:vAlign w:val="center"/>
          </w:tcPr>
          <w:p w14:paraId="197DB6AD" w14:textId="77777777" w:rsidR="002F7564" w:rsidRDefault="002F7564">
            <w:pPr>
              <w:widowControl w:val="0"/>
              <w:rPr>
                <w:rFonts w:ascii="Source Sans Pro" w:eastAsia="Source Sans Pro" w:hAnsi="Source Sans Pro" w:cs="Source Sans Pro"/>
                <w:b/>
              </w:rPr>
            </w:pPr>
          </w:p>
        </w:tc>
        <w:tc>
          <w:tcPr>
            <w:tcW w:w="4920" w:type="dxa"/>
            <w:shd w:val="clear" w:color="auto" w:fill="D9EAD3"/>
            <w:tcMar>
              <w:top w:w="100" w:type="dxa"/>
              <w:left w:w="100" w:type="dxa"/>
              <w:bottom w:w="100" w:type="dxa"/>
              <w:right w:w="100" w:type="dxa"/>
            </w:tcMar>
            <w:vAlign w:val="center"/>
          </w:tcPr>
          <w:p w14:paraId="06D5CDC3"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rPr>
              <w:t>Kućanstva sa širokopojasnim pristupom (OI.02.7.05)</w:t>
            </w:r>
          </w:p>
        </w:tc>
        <w:tc>
          <w:tcPr>
            <w:tcW w:w="1815" w:type="dxa"/>
            <w:shd w:val="clear" w:color="auto" w:fill="D9EAD3"/>
            <w:tcMar>
              <w:top w:w="100" w:type="dxa"/>
              <w:left w:w="100" w:type="dxa"/>
              <w:bottom w:w="100" w:type="dxa"/>
              <w:right w:w="100" w:type="dxa"/>
            </w:tcMar>
            <w:vAlign w:val="center"/>
          </w:tcPr>
          <w:p w14:paraId="53436D2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41,62 %(2022.)</w:t>
            </w:r>
          </w:p>
        </w:tc>
        <w:tc>
          <w:tcPr>
            <w:tcW w:w="1920" w:type="dxa"/>
            <w:shd w:val="clear" w:color="auto" w:fill="D9EAD3"/>
            <w:tcMar>
              <w:top w:w="100" w:type="dxa"/>
              <w:left w:w="100" w:type="dxa"/>
              <w:bottom w:w="100" w:type="dxa"/>
              <w:right w:w="100" w:type="dxa"/>
            </w:tcMar>
            <w:vAlign w:val="center"/>
          </w:tcPr>
          <w:p w14:paraId="5CC0788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91,62%</w:t>
            </w:r>
          </w:p>
        </w:tc>
      </w:tr>
      <w:tr w:rsidR="002F7564" w14:paraId="65A968F9" w14:textId="77777777">
        <w:trPr>
          <w:trHeight w:val="420"/>
        </w:trPr>
        <w:tc>
          <w:tcPr>
            <w:tcW w:w="435" w:type="dxa"/>
            <w:vMerge/>
            <w:shd w:val="clear" w:color="auto" w:fill="7CA361"/>
            <w:tcMar>
              <w:top w:w="100" w:type="dxa"/>
              <w:left w:w="100" w:type="dxa"/>
              <w:bottom w:w="100" w:type="dxa"/>
              <w:right w:w="100" w:type="dxa"/>
            </w:tcMar>
            <w:vAlign w:val="center"/>
          </w:tcPr>
          <w:p w14:paraId="45B56379" w14:textId="77777777" w:rsidR="002F7564" w:rsidRDefault="002F7564">
            <w:pPr>
              <w:widowControl w:val="0"/>
              <w:rPr>
                <w:rFonts w:ascii="Source Sans Pro" w:eastAsia="Source Sans Pro" w:hAnsi="Source Sans Pro" w:cs="Source Sans Pro"/>
              </w:rPr>
            </w:pPr>
          </w:p>
        </w:tc>
        <w:tc>
          <w:tcPr>
            <w:tcW w:w="4920" w:type="dxa"/>
            <w:shd w:val="clear" w:color="auto" w:fill="D9EAD3"/>
            <w:tcMar>
              <w:top w:w="100" w:type="dxa"/>
              <w:left w:w="100" w:type="dxa"/>
              <w:bottom w:w="100" w:type="dxa"/>
              <w:right w:w="100" w:type="dxa"/>
            </w:tcMar>
            <w:vAlign w:val="center"/>
          </w:tcPr>
          <w:p w14:paraId="5AB5F29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w:t>
            </w:r>
          </w:p>
        </w:tc>
        <w:tc>
          <w:tcPr>
            <w:tcW w:w="1815" w:type="dxa"/>
            <w:shd w:val="clear" w:color="auto" w:fill="D9EAD3"/>
            <w:tcMar>
              <w:top w:w="100" w:type="dxa"/>
              <w:left w:w="100" w:type="dxa"/>
              <w:bottom w:w="100" w:type="dxa"/>
              <w:right w:w="100" w:type="dxa"/>
            </w:tcMar>
            <w:vAlign w:val="center"/>
          </w:tcPr>
          <w:p w14:paraId="1127AE2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w:t>
            </w:r>
          </w:p>
        </w:tc>
        <w:tc>
          <w:tcPr>
            <w:tcW w:w="1920" w:type="dxa"/>
            <w:shd w:val="clear" w:color="auto" w:fill="D9EAD3"/>
            <w:tcMar>
              <w:top w:w="100" w:type="dxa"/>
              <w:left w:w="100" w:type="dxa"/>
              <w:bottom w:w="100" w:type="dxa"/>
              <w:right w:w="100" w:type="dxa"/>
            </w:tcMar>
            <w:vAlign w:val="center"/>
          </w:tcPr>
          <w:p w14:paraId="3A518D6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w:t>
            </w:r>
          </w:p>
        </w:tc>
      </w:tr>
    </w:tbl>
    <w:p w14:paraId="2F2D1524" w14:textId="77777777" w:rsidR="002F7564" w:rsidRDefault="00000000">
      <w:pPr>
        <w:spacing w:line="240" w:lineRule="auto"/>
        <w:jc w:val="both"/>
        <w:rPr>
          <w:rFonts w:ascii="Source Sans Pro" w:eastAsia="Source Sans Pro" w:hAnsi="Source Sans Pro" w:cs="Source Sans Pro"/>
          <w:i/>
          <w:sz w:val="20"/>
          <w:szCs w:val="20"/>
        </w:rPr>
      </w:pPr>
      <w:r>
        <w:rPr>
          <w:rFonts w:ascii="Source Sans Pro" w:eastAsia="Source Sans Pro" w:hAnsi="Source Sans Pro" w:cs="Source Sans Pro"/>
          <w:i/>
          <w:sz w:val="20"/>
          <w:szCs w:val="20"/>
        </w:rPr>
        <w:t>Izvor: izrada autora</w:t>
      </w:r>
      <w:r>
        <w:br w:type="page"/>
      </w:r>
    </w:p>
    <w:p w14:paraId="6F90C324" w14:textId="77777777" w:rsidR="002F7564" w:rsidRDefault="00000000">
      <w:pPr>
        <w:pStyle w:val="Heading1"/>
        <w:spacing w:line="240" w:lineRule="auto"/>
        <w:ind w:firstLine="720"/>
        <w:jc w:val="both"/>
      </w:pPr>
      <w:bookmarkStart w:id="27" w:name="_qsh70q" w:colFirst="0" w:colLast="0"/>
      <w:bookmarkEnd w:id="27"/>
      <w:r>
        <w:lastRenderedPageBreak/>
        <w:t>10. Terminski plan provedbe projekata od strateškog značaja</w:t>
      </w:r>
    </w:p>
    <w:p w14:paraId="219B0586" w14:textId="77777777" w:rsidR="002F7564" w:rsidRDefault="002F7564">
      <w:pPr>
        <w:rPr>
          <w:rFonts w:ascii="Source Sans Pro" w:eastAsia="Source Sans Pro" w:hAnsi="Source Sans Pro" w:cs="Source Sans Pro"/>
          <w:sz w:val="18"/>
          <w:szCs w:val="18"/>
        </w:rPr>
      </w:pPr>
    </w:p>
    <w:p w14:paraId="532FA511" w14:textId="77777777" w:rsidR="002F7564" w:rsidRDefault="00000000">
      <w:pPr>
        <w:rPr>
          <w:rFonts w:ascii="Source Sans Pro" w:eastAsia="Source Sans Pro" w:hAnsi="Source Sans Pro" w:cs="Source Sans Pro"/>
          <w:sz w:val="20"/>
          <w:szCs w:val="20"/>
        </w:rPr>
      </w:pPr>
      <w:r>
        <w:rPr>
          <w:rFonts w:ascii="Source Sans Pro" w:eastAsia="Source Sans Pro" w:hAnsi="Source Sans Pro" w:cs="Source Sans Pro"/>
          <w:sz w:val="20"/>
          <w:szCs w:val="20"/>
        </w:rPr>
        <w:t>Tablica 6 Terminski plan provedbe projekata od strateškog značaja</w:t>
      </w:r>
      <w:r>
        <w:rPr>
          <w:rFonts w:ascii="Source Sans Pro" w:eastAsia="Source Sans Pro" w:hAnsi="Source Sans Pro" w:cs="Source Sans Pro"/>
          <w:sz w:val="20"/>
          <w:szCs w:val="20"/>
          <w:vertAlign w:val="superscript"/>
        </w:rPr>
        <w:footnoteReference w:id="5"/>
      </w:r>
    </w:p>
    <w:tbl>
      <w:tblPr>
        <w:tblStyle w:val="af6"/>
        <w:tblW w:w="9495" w:type="dxa"/>
        <w:jc w:val="center"/>
        <w:tblLayout w:type="fixed"/>
        <w:tblLook w:val="0600" w:firstRow="0" w:lastRow="0" w:firstColumn="0" w:lastColumn="0" w:noHBand="1" w:noVBand="1"/>
      </w:tblPr>
      <w:tblGrid>
        <w:gridCol w:w="3840"/>
        <w:gridCol w:w="5655"/>
      </w:tblGrid>
      <w:tr w:rsidR="002F7564" w14:paraId="54DA19E5"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65DC70A3"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3.1. Potaknuti nove ideje u razvoju lokalne ekonomije</w:t>
            </w:r>
          </w:p>
        </w:tc>
      </w:tr>
      <w:tr w:rsidR="002F7564" w14:paraId="47B53406"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4E20499F"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1. Zelena tržnica s intermodalnim terminalom</w:t>
            </w:r>
          </w:p>
        </w:tc>
      </w:tr>
      <w:tr w:rsidR="002F7564" w14:paraId="77D77C7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D99AD2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B94D5B6"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Grad Koprivnica</w:t>
            </w:r>
          </w:p>
        </w:tc>
      </w:tr>
      <w:tr w:rsidR="002F7564" w14:paraId="0A341BF7"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0CE907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F87DCF3"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Projekt Zelena tržnica s intermodalnim terminalom u Gradu Koprivnici kao ulaganje u višenamjensku društvenu - gospodarsku infrastrukturu obuhvatit će rekonstrukciju prostora gradske tržnice uključujući i prostore upravnih službi te prostora za organizacije civilnog društva, zajedno s izgradnjom intermodalnog čvorišta s prostorom za parkiranje te početnim stajalištem koprivničkog javnog prijevoza -  BusKO i središnjom stanicom sustava javnih bicikala - BicKO.</w:t>
            </w:r>
          </w:p>
        </w:tc>
      </w:tr>
      <w:tr w:rsidR="002F7564" w14:paraId="685355A4"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C21835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CB935D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Izrađena urbanističko-arhitektonska studija</w:t>
            </w:r>
          </w:p>
        </w:tc>
      </w:tr>
      <w:tr w:rsidR="002F7564" w14:paraId="13129B8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0095B0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1F51AD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36 mjeseci</w:t>
            </w:r>
          </w:p>
        </w:tc>
      </w:tr>
      <w:tr w:rsidR="002F7564" w14:paraId="16660A59"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BE4FDC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AE7B70C"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 xml:space="preserve"> 60.008.310,00 HRK</w:t>
            </w:r>
          </w:p>
        </w:tc>
      </w:tr>
      <w:tr w:rsidR="002F7564" w14:paraId="63392BC0"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3A7BAA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4B01C4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5C1E6EC1"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235056CB"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2.1. Uspostaviti održiv sustav prijevoza</w:t>
            </w:r>
          </w:p>
        </w:tc>
      </w:tr>
      <w:tr w:rsidR="002F7564" w14:paraId="0B629E0C"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168BC71F"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2. Uvođenje ekološki prihvatljivog javnog prijevoza</w:t>
            </w:r>
          </w:p>
        </w:tc>
      </w:tr>
      <w:tr w:rsidR="002F7564" w14:paraId="752546E1"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155E52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7453594"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Grad Koprivnica/Komunalac d.o.o.</w:t>
            </w:r>
          </w:p>
        </w:tc>
      </w:tr>
      <w:tr w:rsidR="002F7564" w14:paraId="108969D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21D16F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1067A2A"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Cilj projekta je uvođenje ekološki prihvatljivog javnog prijevoza te obuhvaća implementaciju nove usluge autobusnog prijevoza BusKO uvođenjem novih autobusnih linija na razini Urbanog područja, opremanje i uređenje autobusnih stajališta i prateću digitalnu i kontrolnu infrastrukturu, te unaprjeđenje sustava dijeljenih bicikla BicKO.</w:t>
            </w:r>
          </w:p>
        </w:tc>
      </w:tr>
      <w:tr w:rsidR="002F7564" w14:paraId="1BBFA334"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2AE02A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8A84DD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Izrađen Akcijski plan održive mobilnosti za funkcionalno urbano područje Grada Koprivnice</w:t>
            </w:r>
          </w:p>
        </w:tc>
      </w:tr>
      <w:tr w:rsidR="002F7564" w14:paraId="6B191AC8"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1E4C7C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0D1C90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36 mjeseci</w:t>
            </w:r>
          </w:p>
        </w:tc>
      </w:tr>
      <w:tr w:rsidR="002F7564" w14:paraId="6976EFC0"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D25485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A54275D" w14:textId="77777777" w:rsidR="002F7564" w:rsidRDefault="00000000">
            <w:pPr>
              <w:widowControl w:val="0"/>
              <w:rPr>
                <w:rFonts w:ascii="Source Sans Pro" w:eastAsia="Source Sans Pro" w:hAnsi="Source Sans Pro" w:cs="Source Sans Pro"/>
              </w:rPr>
            </w:pPr>
            <w:r>
              <w:rPr>
                <w:rFonts w:ascii="Arial Unicode MS" w:eastAsia="Arial Unicode MS" w:hAnsi="Arial Unicode MS" w:cs="Arial Unicode MS"/>
              </w:rPr>
              <w:t xml:space="preserve">≆ </w:t>
            </w:r>
            <w:r>
              <w:rPr>
                <w:rFonts w:ascii="Source Sans Pro" w:eastAsia="Source Sans Pro" w:hAnsi="Source Sans Pro" w:cs="Source Sans Pro"/>
              </w:rPr>
              <w:t>54.540.000,00 HRK</w:t>
            </w:r>
          </w:p>
        </w:tc>
      </w:tr>
      <w:tr w:rsidR="002F7564" w14:paraId="1E1CA58C"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2D8983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lastRenderedPageBreak/>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A53DB9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javna poduzeća, lokalni proračun</w:t>
            </w:r>
          </w:p>
        </w:tc>
      </w:tr>
      <w:tr w:rsidR="002F7564" w14:paraId="5EEAF036"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4C07B656"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4.1. Osigurati raznoliku kulturnu ponudu i pripadajuću infrastrukturu</w:t>
            </w:r>
          </w:p>
        </w:tc>
      </w:tr>
      <w:tr w:rsidR="002F7564" w14:paraId="1734B688"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760E21D4"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3. Unaprjeđenje kulturne infrastrukture - kina i knjižnice u Koprivnici</w:t>
            </w:r>
          </w:p>
        </w:tc>
      </w:tr>
      <w:tr w:rsidR="002F7564" w14:paraId="21DE50F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C4B444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E86BBC5" w14:textId="77777777" w:rsidR="002F7564" w:rsidRDefault="00000000">
            <w:pPr>
              <w:spacing w:line="276" w:lineRule="auto"/>
              <w:jc w:val="both"/>
              <w:rPr>
                <w:rFonts w:ascii="Source Sans Pro" w:eastAsia="Source Sans Pro" w:hAnsi="Source Sans Pro" w:cs="Source Sans Pro"/>
              </w:rPr>
            </w:pPr>
            <w:r>
              <w:rPr>
                <w:rFonts w:ascii="Source Sans Pro" w:eastAsia="Source Sans Pro" w:hAnsi="Source Sans Pro" w:cs="Source Sans Pro"/>
              </w:rPr>
              <w:t>Grad Koprivnica</w:t>
            </w:r>
          </w:p>
        </w:tc>
      </w:tr>
      <w:tr w:rsidR="002F7564" w14:paraId="1CA0AA87"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8D4790E"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A34F4D0"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Rekonstrukcijom kina i dogradnjom prostora Gradske knjižnice Koprivnica osigurat će su suvremena društvena i kulturna infrastruktura za potrebe svih stanovnika UP-a, s obzirom da su Kino Velebit i Gradska knjižnica Koprivnica jedine takve kulturne ustanove na području obuhvata.</w:t>
            </w:r>
          </w:p>
        </w:tc>
      </w:tr>
      <w:tr w:rsidR="002F7564" w14:paraId="0F06B5A8"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ABAC42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A03CE1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w:t>
            </w:r>
          </w:p>
        </w:tc>
      </w:tr>
      <w:tr w:rsidR="002F7564" w14:paraId="4DE1859F"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F73AB5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38058F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36 mjeseci</w:t>
            </w:r>
          </w:p>
        </w:tc>
      </w:tr>
      <w:tr w:rsidR="002F7564" w14:paraId="6AB42F19"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FCFFDB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944AD2B"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 xml:space="preserve"> 26.331.330,00 HRK</w:t>
            </w:r>
          </w:p>
        </w:tc>
      </w:tr>
      <w:tr w:rsidR="002F7564" w14:paraId="11C49EB3"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D7FC22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94907F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57D57AF6"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3F09036E"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2.1. Uspostaviti održiv sustav prijevoza</w:t>
            </w:r>
          </w:p>
        </w:tc>
      </w:tr>
      <w:tr w:rsidR="002F7564" w14:paraId="75A9802A"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33DB0DB4"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 xml:space="preserve">Projekt od strateškog značaja 4. Izgradnja pješačko-biciklističke staze u naselju Kunovec - FAZA I. </w:t>
            </w:r>
          </w:p>
        </w:tc>
      </w:tr>
      <w:tr w:rsidR="002F7564" w14:paraId="5DB07FF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2A6B9EE"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1379DE0"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Koprivnički Ivanec</w:t>
            </w:r>
          </w:p>
        </w:tc>
      </w:tr>
      <w:tr w:rsidR="002F7564" w14:paraId="26FDA4F2"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72A965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7D6D031"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Projekt podrazumijeva izgradnju pješačko - biciklističke infrastrukture u naselju Kunovec u Općini Koprivnički Ivanec - na dijelovima ulica Seljačke bune i kralja Tomislava, do granice sa naseljem Botinovec, ukupne duljine 1.814 metara. Izgradnja biciklističke infrastrukture doprinijet će boljoj povezanosti alternativnim oblicima prijevoza na linijama koje služe za dnevne migracije, a time i smanjenju negativnog utjecaja prometa na okoliša kroz smanjenje emisije CO₂.</w:t>
            </w:r>
          </w:p>
        </w:tc>
      </w:tr>
      <w:tr w:rsidR="002F7564" w14:paraId="336A264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BAD93C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D0B3E8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Izrađena projektno-tehnička dokumentacija; ishođena Građevinska dozvola</w:t>
            </w:r>
          </w:p>
        </w:tc>
      </w:tr>
      <w:tr w:rsidR="002F7564" w14:paraId="42F7C067"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A4BEB1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D86445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12 mjeseci</w:t>
            </w:r>
          </w:p>
        </w:tc>
      </w:tr>
      <w:tr w:rsidR="002F7564" w14:paraId="0CC41AE4"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59CF54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1797D2D"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 xml:space="preserve"> 6.542.866,91 HRK</w:t>
            </w:r>
          </w:p>
        </w:tc>
      </w:tr>
      <w:tr w:rsidR="002F7564" w14:paraId="5CBE371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A4853C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3C1CC1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1F53F35B"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08542674"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2.1. Uspostaviti održiv sustav prijevoza</w:t>
            </w:r>
          </w:p>
        </w:tc>
      </w:tr>
      <w:tr w:rsidR="002F7564" w14:paraId="3C62C6F8"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72AB9AE9"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5. Izgradnja pješačko-biciklističke staze u Ulici Braće Radić - III. faza</w:t>
            </w:r>
          </w:p>
        </w:tc>
      </w:tr>
      <w:tr w:rsidR="002F7564" w14:paraId="1EBB028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477E85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719400C"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Koprivnički Bregi</w:t>
            </w:r>
          </w:p>
        </w:tc>
      </w:tr>
      <w:tr w:rsidR="002F7564" w14:paraId="60A96922"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75C936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58F2C76"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Projekt podrazumijeva izgradnju pješačko - biciklističke staze u Ulici Braće Radić u Općini Koprivnički Bregi - III. faza. </w:t>
            </w:r>
            <w:r>
              <w:rPr>
                <w:rFonts w:ascii="Source Sans Pro" w:eastAsia="Source Sans Pro" w:hAnsi="Source Sans Pro" w:cs="Source Sans Pro"/>
              </w:rPr>
              <w:lastRenderedPageBreak/>
              <w:t>Realizacija projekta doprinijet će boljoj povezanosti alternativnim oblicima prijevoza na linijama koje služe za dnevne migracije, a time i smanjenju negativnog utjecaja prometa na okoliša kroz smanjenje emisije CO₂.</w:t>
            </w:r>
          </w:p>
        </w:tc>
      </w:tr>
      <w:tr w:rsidR="002F7564" w14:paraId="48A5F084"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E33150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8BA283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Izrađena projektno-tehnička dokumentacija; ishođena Građevinska dozvola</w:t>
            </w:r>
          </w:p>
        </w:tc>
      </w:tr>
      <w:tr w:rsidR="002F7564" w14:paraId="1868D51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108E1AE"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CC68F0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12 mjeseci</w:t>
            </w:r>
          </w:p>
        </w:tc>
      </w:tr>
      <w:tr w:rsidR="002F7564" w14:paraId="728713FE"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8C357A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9057C87"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 xml:space="preserve"> 900.000,00 HRK</w:t>
            </w:r>
          </w:p>
        </w:tc>
      </w:tr>
      <w:tr w:rsidR="002F7564" w14:paraId="1F874CE2"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316E60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083134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3E1B0ABB"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249D3586"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2.1. Uspostaviti održiv sustav prijevoza</w:t>
            </w:r>
          </w:p>
        </w:tc>
      </w:tr>
      <w:tr w:rsidR="002F7564" w14:paraId="376FF4FC"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2E77727D"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6. Izgradnja pješačko-biciklističke staze u Ulici Stjepana Radića u naselju Glogovac - DIONICA 1</w:t>
            </w:r>
          </w:p>
        </w:tc>
      </w:tr>
      <w:tr w:rsidR="002F7564" w14:paraId="08B04C13"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D163DA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9478B1B"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Koprivnički Bregi</w:t>
            </w:r>
          </w:p>
        </w:tc>
      </w:tr>
      <w:tr w:rsidR="002F7564" w14:paraId="534C2069"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E63306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E447512"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Projekt obuhvaća izgradnju pješačko - biciklištičke staze u   Ulici Stjepana Radića (od Koprivničke ulice do kčbr. 472 k.o. Glogovac) u naselju Glogovac, ukupne duljine 750 m. Izgradnja biciklističke infrastrukture doprinijet će boljoj povezanosti alternativnim oblicima prijevoza na linijama koje služe za dnevne migracije, a time i smanjenju negativnog utjecaja prometa na okoliša kroz smanjenje emisije CO₂.</w:t>
            </w:r>
          </w:p>
        </w:tc>
      </w:tr>
      <w:tr w:rsidR="002F7564" w14:paraId="280E43E4"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A84332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CAA9B2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Izrađena projektno-tehnička dokumentacija; u postupku ishođenja Građevinske dozvole</w:t>
            </w:r>
          </w:p>
        </w:tc>
      </w:tr>
      <w:tr w:rsidR="002F7564" w14:paraId="3F8110D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64F41D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99CCD6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36 mjeseci</w:t>
            </w:r>
          </w:p>
        </w:tc>
      </w:tr>
      <w:tr w:rsidR="002F7564" w14:paraId="638F3B97"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57087F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91DB400"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1.500.000,00 HRK</w:t>
            </w:r>
          </w:p>
        </w:tc>
      </w:tr>
      <w:tr w:rsidR="002F7564" w14:paraId="598D02B7"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8EDF6A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C1C6CF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5D8841DA"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11AE0F29"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2.1. Uspostaviti održiv sustav prijevoza</w:t>
            </w:r>
          </w:p>
        </w:tc>
      </w:tr>
      <w:tr w:rsidR="002F7564" w14:paraId="476F5559"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4F533D9B"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7. Izgradnja pješačko-biciklističke staze u Ulici Stjepana Radića u naselju Glogovac - DIONICA 2</w:t>
            </w:r>
          </w:p>
        </w:tc>
      </w:tr>
      <w:tr w:rsidR="002F7564" w14:paraId="7ABA4ED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52A22B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C823866"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Koprivnički Bregi</w:t>
            </w:r>
          </w:p>
        </w:tc>
      </w:tr>
      <w:tr w:rsidR="002F7564" w14:paraId="5F51129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86F40E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F19E41D"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Projekt obuhvaća izgradnju pješačko - biciklištičke staze u Ulici Stjepana Radića (od kčbr. 427/2 k.o. Glogovac do Bilogorske ulice) u naselju Glogovac, ukupne duljine 520 m. Izgradnja biciklističke infrastrukture doprinijet će boljoj povezanosti alternativnim oblicima prijevoza na linijama koje služe za dnevne migracije, a time i smanjenju negativnog utjecaja prometa na okoliša kroz smanjenje emisije CO₂.</w:t>
            </w:r>
          </w:p>
        </w:tc>
      </w:tr>
      <w:tr w:rsidR="002F7564" w14:paraId="5A746C8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442ED7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69CDA6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Izrađena projektno-tehnička dokumentacija; u postupku ishođenja Građevinske dozvole</w:t>
            </w:r>
          </w:p>
        </w:tc>
      </w:tr>
      <w:tr w:rsidR="002F7564" w14:paraId="7E0100C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F74443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lastRenderedPageBreak/>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A69F5A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12 mjeseci</w:t>
            </w:r>
          </w:p>
        </w:tc>
      </w:tr>
      <w:tr w:rsidR="002F7564" w14:paraId="178D82E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7886DC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7E717EC"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700.000,00 HRK</w:t>
            </w:r>
          </w:p>
        </w:tc>
      </w:tr>
      <w:tr w:rsidR="002F7564" w14:paraId="684F7617"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AE41E1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C63B62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7A7DFBA5"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4B724997"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2.1. Uspostaviti održiv sustav prijevoza</w:t>
            </w:r>
          </w:p>
        </w:tc>
      </w:tr>
      <w:tr w:rsidR="002F7564" w14:paraId="057C638A"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4E2BE852"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8. Izgradnja pješačko-biciklističke staze na spoju naselja Koprivnički Bregi i Glogovac</w:t>
            </w:r>
          </w:p>
        </w:tc>
      </w:tr>
      <w:tr w:rsidR="002F7564" w14:paraId="033247DA"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0035F2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C653F17"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Koprivnički Bregi</w:t>
            </w:r>
          </w:p>
        </w:tc>
      </w:tr>
      <w:tr w:rsidR="002F7564" w14:paraId="1650614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AFB184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DDF9B29"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Projekt obuhvaća izgradnju 2.000 metara pješačko - biciklističke staze čija realizacija omogućava spajanje dvaju naselja - Koprivnički Bregi i Glogovac biciklističkom infrastrukturom. S obzirom da se radi o spoju uz županijsku cestu, realizacija projekta značajno će doprinijeti većoj sigurnosti svih sudionika u prometu te boljoj povezanosti alternativnim oblicima prijevoza na linijama koje služe za dnevne migracije. </w:t>
            </w:r>
          </w:p>
        </w:tc>
      </w:tr>
      <w:tr w:rsidR="002F7564" w14:paraId="413B6532"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4B1353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D5356F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w:t>
            </w:r>
          </w:p>
        </w:tc>
      </w:tr>
      <w:tr w:rsidR="002F7564" w14:paraId="47A747E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EA5FC7E"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0D432A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48 mjeseci</w:t>
            </w:r>
          </w:p>
        </w:tc>
      </w:tr>
      <w:tr w:rsidR="002F7564" w14:paraId="50A7618E"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77EDEC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93490E4"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 xml:space="preserve"> 2.000.000,00 HRK</w:t>
            </w:r>
          </w:p>
        </w:tc>
      </w:tr>
      <w:tr w:rsidR="002F7564" w14:paraId="27CE5DD1"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0565F8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C9C6B5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0661DF3A"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32F1EEC6"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2.1. Uspostaviti održiv sustav prijevoza</w:t>
            </w:r>
          </w:p>
        </w:tc>
      </w:tr>
      <w:tr w:rsidR="002F7564" w14:paraId="41D31335"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73BD5782"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9. Izgradnja pješačko-biciklističke staze u naselju Koprivnički Bregi (spoj ulica A. Šenoe, V. Nazora - spoj na Ulicu M. Gupca)</w:t>
            </w:r>
          </w:p>
        </w:tc>
      </w:tr>
      <w:tr w:rsidR="002F7564" w14:paraId="1FAB2308"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994B13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85E95F1"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Koprivnički Bregi</w:t>
            </w:r>
          </w:p>
        </w:tc>
      </w:tr>
      <w:tr w:rsidR="002F7564" w14:paraId="3E535259"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36BB3A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5D743DD"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Projektom će biti izgrađena pješačko-biciklistička staza u naselju Koprivnički Bregi, koja se nadovezuje na postojeću pješačku stazu. Projekt doprinosi širenju mreže pješačko-biciklističke infrastrukture, te posljedično i boljoj povezanosti alternativnim oblicima prijevoza na linijama koje služe za dnevne migracije. </w:t>
            </w:r>
          </w:p>
        </w:tc>
      </w:tr>
      <w:tr w:rsidR="002F7564" w14:paraId="68D03FF1"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D8AEAB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55C164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w:t>
            </w:r>
          </w:p>
        </w:tc>
      </w:tr>
      <w:tr w:rsidR="002F7564" w14:paraId="28A272E8"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831F4C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F87D27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24 mjeseca</w:t>
            </w:r>
          </w:p>
        </w:tc>
      </w:tr>
      <w:tr w:rsidR="002F7564" w14:paraId="407892BA"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B1EE6E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B8DF839"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 xml:space="preserve"> 4.000.0000,00 HRK</w:t>
            </w:r>
          </w:p>
        </w:tc>
      </w:tr>
      <w:tr w:rsidR="002F7564" w14:paraId="2FBC306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CA1B25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243024E"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bl>
    <w:p w14:paraId="38F9AEAE" w14:textId="77777777" w:rsidR="00226205" w:rsidRDefault="00226205">
      <w:r>
        <w:br w:type="page"/>
      </w:r>
    </w:p>
    <w:tbl>
      <w:tblPr>
        <w:tblStyle w:val="af6"/>
        <w:tblW w:w="9495" w:type="dxa"/>
        <w:jc w:val="center"/>
        <w:tblLayout w:type="fixed"/>
        <w:tblLook w:val="0600" w:firstRow="0" w:lastRow="0" w:firstColumn="0" w:lastColumn="0" w:noHBand="1" w:noVBand="1"/>
      </w:tblPr>
      <w:tblGrid>
        <w:gridCol w:w="3840"/>
        <w:gridCol w:w="5655"/>
      </w:tblGrid>
      <w:tr w:rsidR="002F7564" w14:paraId="54F11A12"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61996629" w14:textId="7AA57801"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lastRenderedPageBreak/>
              <w:t>Posebni cilj 2.1. Uspostaviti održiv sustav prijevoza</w:t>
            </w:r>
          </w:p>
        </w:tc>
      </w:tr>
      <w:tr w:rsidR="002F7564" w14:paraId="56B7F905"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408202F3"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10. Izgradnja pješačko-biciklističke staze u Podravskoj ulici u Torčecu</w:t>
            </w:r>
          </w:p>
        </w:tc>
      </w:tr>
      <w:tr w:rsidR="002F7564" w14:paraId="40C15479"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AD91F5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69517DE"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Drnje</w:t>
            </w:r>
          </w:p>
        </w:tc>
      </w:tr>
      <w:tr w:rsidR="002F7564" w14:paraId="61A27EE0"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3D281F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DD0E308"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Projektom će biti izgrađena pješačko-biciklistička staza u Općini Drnje. Projekt doprinosi širenju mreže pješačko-biciklističke infrastrukture, te posljedično i boljoj povezanosti alternativnim oblicima prijevoza na linijama koje služe za dnevne migracije. </w:t>
            </w:r>
          </w:p>
        </w:tc>
      </w:tr>
      <w:tr w:rsidR="002F7564" w14:paraId="6953A92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1EA307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0521DF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w:t>
            </w:r>
          </w:p>
        </w:tc>
      </w:tr>
      <w:tr w:rsidR="002F7564" w14:paraId="27DB3308"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98D07A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26B424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12 mjeseci</w:t>
            </w:r>
          </w:p>
        </w:tc>
      </w:tr>
      <w:tr w:rsidR="002F7564" w14:paraId="35F9ACE2"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F41701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C75959F"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 xml:space="preserve"> 1.270.000,00 HRK</w:t>
            </w:r>
          </w:p>
        </w:tc>
      </w:tr>
      <w:tr w:rsidR="002F7564" w14:paraId="423F995D"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66A35D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39F52F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0C49756C"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1CEB5C87"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2.1. Uspostaviti održiv sustav prijevoza</w:t>
            </w:r>
          </w:p>
        </w:tc>
      </w:tr>
      <w:tr w:rsidR="002F7564" w14:paraId="6A3A4F0C"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792A638F"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11. Izgradnja pješačko-biciklističke staze od centra do Dravskog mosta</w:t>
            </w:r>
          </w:p>
        </w:tc>
      </w:tr>
      <w:tr w:rsidR="002F7564" w14:paraId="6E8C418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9F760F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250BDC1"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Drnje</w:t>
            </w:r>
          </w:p>
        </w:tc>
      </w:tr>
      <w:tr w:rsidR="002F7564" w14:paraId="4D8583A8"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5BB66B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15F3BCA"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Projektom će biti izgrađena pješačko-biciklistička staza od uz državnu cestu DC41, i tako značajno unaprijeđena sigurnost svih sudionika u prometu te širenju mreže pješačko-biciklističke infrastrukture i boljoj povezanosti alternativnim oblicima prijevoza na linijama koje služe za dnevne migracije. </w:t>
            </w:r>
          </w:p>
        </w:tc>
      </w:tr>
      <w:tr w:rsidR="002F7564" w14:paraId="44D85E20"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618A49E"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A6FFA0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Izrađena projektno-tehnička dokumentacija; u postupku ishođenja Građevinske dozvole</w:t>
            </w:r>
          </w:p>
        </w:tc>
      </w:tr>
      <w:tr w:rsidR="002F7564" w14:paraId="469B6609"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B9FBB3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9DDA1F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12 mjeseci</w:t>
            </w:r>
          </w:p>
        </w:tc>
      </w:tr>
      <w:tr w:rsidR="002F7564" w14:paraId="0CE9FF7A"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2A630E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CAFBCC7"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 xml:space="preserve"> 4.350.000,00 HRK</w:t>
            </w:r>
          </w:p>
        </w:tc>
      </w:tr>
      <w:tr w:rsidR="002F7564" w14:paraId="3FD65823"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7FAB55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80C02D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državni proračun, županijski proračun, lokalni proračun</w:t>
            </w:r>
          </w:p>
        </w:tc>
      </w:tr>
      <w:tr w:rsidR="002F7564" w14:paraId="24714150"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1D00029F"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2.1. Uspostaviti održiv sustav prijevoza</w:t>
            </w:r>
          </w:p>
        </w:tc>
      </w:tr>
      <w:tr w:rsidR="002F7564" w14:paraId="5BB438A8"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27E372B4" w14:textId="77777777" w:rsidR="002F7564" w:rsidRDefault="00000000">
            <w:pPr>
              <w:widowControl w:val="0"/>
              <w:rPr>
                <w:rFonts w:ascii="Source Sans Pro" w:eastAsia="Source Sans Pro" w:hAnsi="Source Sans Pro" w:cs="Source Sans Pro"/>
                <w:b/>
                <w:color w:val="FFFFFF"/>
              </w:rPr>
            </w:pPr>
            <w:r>
              <w:rPr>
                <w:rFonts w:ascii="Source Sans Pro" w:eastAsia="Source Sans Pro" w:hAnsi="Source Sans Pro" w:cs="Source Sans Pro"/>
                <w:b/>
                <w:color w:val="FFFFFF"/>
              </w:rPr>
              <w:t>Projekt od strateškog značaja 12. Izgradnja pješačko-biciklističke staze</w:t>
            </w:r>
          </w:p>
        </w:tc>
      </w:tr>
      <w:tr w:rsidR="002F7564" w14:paraId="62FA6962"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BEE79F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6CAF3DD"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Sokolovac</w:t>
            </w:r>
          </w:p>
        </w:tc>
      </w:tr>
      <w:tr w:rsidR="002F7564" w14:paraId="0028937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BA9B76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8EEE733"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Projekt podrazumijeva provedbu izgradnje pješačko - biciklističke staze u Sokolovcu. Izgradnja biciklističke infrastrukture doprinijet će boljoj povezanosti alternativnim oblicima prijevoza na linijama koje služe za dnevne migracije, a time i smanjenju negativnog utjecaja prometa na okoliša kroz smanjenje emisije CO₂.</w:t>
            </w:r>
          </w:p>
        </w:tc>
      </w:tr>
      <w:tr w:rsidR="002F7564" w14:paraId="559144A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FAE843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lastRenderedPageBreak/>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513041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w:t>
            </w:r>
          </w:p>
        </w:tc>
      </w:tr>
      <w:tr w:rsidR="002F7564" w14:paraId="2067F312"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1042B3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7F9ACD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24 mjeseca</w:t>
            </w:r>
          </w:p>
        </w:tc>
      </w:tr>
      <w:tr w:rsidR="002F7564" w14:paraId="5C677E3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EE4B9E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7BCADE2" w14:textId="77777777" w:rsidR="002F7564" w:rsidRDefault="00000000">
            <w:pPr>
              <w:widowControl w:val="0"/>
              <w:rPr>
                <w:rFonts w:ascii="Source Sans Pro" w:eastAsia="Source Sans Pro" w:hAnsi="Source Sans Pro" w:cs="Source Sans Pro"/>
              </w:rPr>
            </w:pPr>
            <w:r>
              <w:rPr>
                <w:rFonts w:ascii="Arial Unicode MS" w:eastAsia="Arial Unicode MS" w:hAnsi="Arial Unicode MS" w:cs="Arial Unicode MS"/>
              </w:rPr>
              <w:t>≆ 7.750.000,00 HRK</w:t>
            </w:r>
          </w:p>
        </w:tc>
      </w:tr>
      <w:tr w:rsidR="002F7564" w14:paraId="178C059E"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9619F8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132DE6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789ED502"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71C04834" w14:textId="77777777" w:rsidR="002F7564" w:rsidRDefault="00000000">
            <w:pPr>
              <w:widowControl w:val="0"/>
              <w:jc w:val="center"/>
              <w:rPr>
                <w:rFonts w:ascii="Source Sans Pro" w:eastAsia="Source Sans Pro" w:hAnsi="Source Sans Pro" w:cs="Source Sans Pro"/>
                <w:b/>
                <w:color w:val="FFFFFF"/>
              </w:rPr>
            </w:pPr>
            <w:r>
              <w:rPr>
                <w:rFonts w:ascii="Source Sans Pro" w:eastAsia="Source Sans Pro" w:hAnsi="Source Sans Pro" w:cs="Source Sans Pro"/>
                <w:b/>
                <w:color w:val="FFFFFF"/>
              </w:rPr>
              <w:t>Posebni cilj 2.1. Uspostaviti održiv sustav prijevoza</w:t>
            </w:r>
          </w:p>
        </w:tc>
      </w:tr>
      <w:tr w:rsidR="002F7564" w14:paraId="47947FA0"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005E955B" w14:textId="77777777" w:rsidR="002F7564" w:rsidRDefault="00000000">
            <w:pPr>
              <w:widowControl w:val="0"/>
              <w:pBdr>
                <w:top w:val="nil"/>
                <w:left w:val="nil"/>
                <w:bottom w:val="nil"/>
                <w:right w:val="nil"/>
                <w:between w:val="nil"/>
              </w:pBdr>
              <w:rPr>
                <w:rFonts w:ascii="Source Sans Pro" w:eastAsia="Source Sans Pro" w:hAnsi="Source Sans Pro" w:cs="Source Sans Pro"/>
                <w:i/>
              </w:rPr>
            </w:pPr>
            <w:r>
              <w:rPr>
                <w:rFonts w:ascii="Source Sans Pro" w:eastAsia="Source Sans Pro" w:hAnsi="Source Sans Pro" w:cs="Source Sans Pro"/>
                <w:b/>
                <w:color w:val="FFFFFF"/>
              </w:rPr>
              <w:t>Projekt od strateškog značaja 13. Izgradnja pješačko - biciklističke staze u Sigecu - I. faza</w:t>
            </w:r>
          </w:p>
        </w:tc>
      </w:tr>
      <w:tr w:rsidR="002F7564" w14:paraId="11BB5659"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6F1067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7924706"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Peteranec</w:t>
            </w:r>
          </w:p>
        </w:tc>
      </w:tr>
      <w:tr w:rsidR="002F7564" w14:paraId="76019C2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AEC4B6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6159BAA"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Realizacijom predmetnog projekta osigurat će se sigurnost pješaka i biciklista kao sudionika u prometu, te trajno riješiti pitanje kolnih prilaza i odvodnih kanala. Izgradnja biciklističke infrastrukture doprinijet će boljoj povezanosti alternativnim oblicima prijevoza na linijama koje služe za dnevne migracije, a time i smanjenju negativnog utjecaja prometa na okoliša kroz smanjenje emisije CO₂.</w:t>
            </w:r>
          </w:p>
        </w:tc>
      </w:tr>
      <w:tr w:rsidR="002F7564" w14:paraId="7FB4FF2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6D0646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3A7996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Izrađena projektno tehnička dokumentacija</w:t>
            </w:r>
          </w:p>
        </w:tc>
      </w:tr>
      <w:tr w:rsidR="002F7564" w14:paraId="6F2C5F8E"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DAD430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AF11E8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24 mjeseca</w:t>
            </w:r>
          </w:p>
        </w:tc>
      </w:tr>
      <w:tr w:rsidR="002F7564" w14:paraId="51621D8D"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45AADDE"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5CCEB0C"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3.400.000,00 HRK</w:t>
            </w:r>
          </w:p>
        </w:tc>
      </w:tr>
      <w:tr w:rsidR="002F7564" w14:paraId="5E11FF7E"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C147D2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912B76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županijski proračun, lokalni proračun</w:t>
            </w:r>
          </w:p>
        </w:tc>
      </w:tr>
      <w:tr w:rsidR="002F7564" w14:paraId="166C09B0"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73837D55"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2.1. Uspostaviti održiv sustav prijevoza</w:t>
            </w:r>
          </w:p>
        </w:tc>
      </w:tr>
      <w:tr w:rsidR="002F7564" w14:paraId="59482FCD"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49BC5651"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14. Izgradnja pješačko - biciklističke staze Štaglinec - Draganovac</w:t>
            </w:r>
          </w:p>
        </w:tc>
      </w:tr>
      <w:tr w:rsidR="002F7564" w14:paraId="135394E8"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15EA52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6F2FFFE"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Grad Koprivnica</w:t>
            </w:r>
          </w:p>
        </w:tc>
      </w:tr>
      <w:tr w:rsidR="002F7564" w14:paraId="7EF53A40"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88455C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7DAC645"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Projekt obuhvaća izgradnju pješačko - biciklističke staze u Gradu Koprivnici, između dva prigradska naselja Štaglinec i Draganovec, u duljini od 1.820 m. Cilj projekta je povećanje  sigurnosti pješaka i biciklista prilikom kretanja uz glavnu magistralnu prometnicu. Izgradnja biciklističke infrastrukture doprinijet će boljoj povezanosti alternativnim oblicima prijevoza na linijama koje služe za dnevne migracije, a time i smanjenju negativnog utjecaja prometa na okoliša kroz smanjenje emisije CO₂.</w:t>
            </w:r>
          </w:p>
        </w:tc>
      </w:tr>
      <w:tr w:rsidR="002F7564" w14:paraId="5E255003"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0C8ACC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D98133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Izrađena projektno-tehnička dokumentacija; ishođena Građevinska dozvola</w:t>
            </w:r>
          </w:p>
        </w:tc>
      </w:tr>
      <w:tr w:rsidR="002F7564" w14:paraId="2C9E5CA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87B5DA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FC5A6D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24 mjeseca</w:t>
            </w:r>
          </w:p>
        </w:tc>
      </w:tr>
      <w:tr w:rsidR="002F7564" w14:paraId="4B926268"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2551E4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67758B2"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 xml:space="preserve"> 3.989.960,00 HRK</w:t>
            </w:r>
          </w:p>
        </w:tc>
      </w:tr>
      <w:tr w:rsidR="002F7564" w14:paraId="3E68001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9D5FD0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159002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17C3CC85"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36D801A4"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lastRenderedPageBreak/>
              <w:t>Posebni cilj 2.1. Uspostaviti održiv sustav prijevoza</w:t>
            </w:r>
          </w:p>
        </w:tc>
      </w:tr>
      <w:tr w:rsidR="002F7564" w14:paraId="37880ED3"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4D89B8EC"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15. Izgradnja pješačko-biciklističke staze u ulici M.P. Miškine - I. FAZA</w:t>
            </w:r>
          </w:p>
        </w:tc>
      </w:tr>
      <w:tr w:rsidR="002F7564" w14:paraId="512E3F8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9AD8D5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2152B63"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Đelekovec</w:t>
            </w:r>
          </w:p>
        </w:tc>
      </w:tr>
      <w:tr w:rsidR="002F7564" w14:paraId="149FCC5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647A0E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4F420EC"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Izgradnja pješačko-biciklističke staze u ulici M.P. Miškine, u duljini od 900 metara u prvoj fazi. Izgradnja biciklističke infrastrukture doprinijet će boljoj povezanosti alternativnim oblicima prijevoza na linijama koje služe za dnevne migracije, a time i smanjenju negativnog utjecaja prometa na okoliša kroz smanjenje emisije CO₂.</w:t>
            </w:r>
          </w:p>
        </w:tc>
      </w:tr>
      <w:tr w:rsidR="002F7564" w14:paraId="41294B0E"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16EC77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1E74AB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w:t>
            </w:r>
          </w:p>
        </w:tc>
      </w:tr>
      <w:tr w:rsidR="002F7564" w14:paraId="13CCEE6F"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831415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4A5482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12 mjeseci</w:t>
            </w:r>
          </w:p>
        </w:tc>
      </w:tr>
      <w:tr w:rsidR="002F7564" w14:paraId="51F11024"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7E3E70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D21BA33"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 xml:space="preserve"> 2.000.000,00 HRK</w:t>
            </w:r>
          </w:p>
        </w:tc>
      </w:tr>
      <w:tr w:rsidR="002F7564" w14:paraId="20410CD4"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805183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67E8F0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663E5B4F"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7A95F754"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2.1. Uspostaviti održiv sustav prijevoza</w:t>
            </w:r>
          </w:p>
        </w:tc>
      </w:tr>
      <w:tr w:rsidR="002F7564" w14:paraId="52976038"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0141C10A"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16. Izgradnja pješačko-biciklističke staze u ulici M.P. Miškine -  II. FAZA</w:t>
            </w:r>
          </w:p>
        </w:tc>
      </w:tr>
      <w:tr w:rsidR="002F7564" w14:paraId="479AD3F4"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453180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2CE18D0"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Đelekovec</w:t>
            </w:r>
          </w:p>
        </w:tc>
      </w:tr>
      <w:tr w:rsidR="002F7564" w14:paraId="70CAB3A4"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9C2232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7CBCED6"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Izgradnja pješačko-biciklističke staze u ulici M.P. Miškine, u duljini od 600 metara u drugoj fazi. Izgradnja biciklističke infrastrukture doprinijet će boljoj povezanosti alternativnim oblicima prijevoza na linijama koje služe za dnevne migracije, a time i smanjenju negativnog utjecaja prometa na okoliša kroz smanjenje emisije CO₂.</w:t>
            </w:r>
          </w:p>
        </w:tc>
      </w:tr>
      <w:tr w:rsidR="002F7564" w14:paraId="15BC25CC"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B5A9AD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DF39C3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w:t>
            </w:r>
          </w:p>
        </w:tc>
      </w:tr>
      <w:tr w:rsidR="002F7564" w14:paraId="4E3E6311"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E02D1B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D33FB5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12 mjeseci</w:t>
            </w:r>
          </w:p>
        </w:tc>
      </w:tr>
      <w:tr w:rsidR="002F7564" w14:paraId="32CA2BE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A6B660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535249C"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 xml:space="preserve"> 1.000.000,00 HRK</w:t>
            </w:r>
          </w:p>
        </w:tc>
      </w:tr>
      <w:tr w:rsidR="002F7564" w14:paraId="47B75E7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102C50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24CCF3E"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6BCC1981"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60B0702B"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2.1. Uspostaviti održiv sustav prijevoza</w:t>
            </w:r>
          </w:p>
        </w:tc>
      </w:tr>
      <w:tr w:rsidR="002F7564" w14:paraId="38F8F8C1"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0FFB5BAF"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17. Izgradnja pješačko-biciklističke staze u ulici Pavla Kvakana</w:t>
            </w:r>
          </w:p>
        </w:tc>
      </w:tr>
      <w:tr w:rsidR="002F7564" w14:paraId="418D86EF"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26BD61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E00D8E4"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Đelekovec</w:t>
            </w:r>
          </w:p>
        </w:tc>
      </w:tr>
      <w:tr w:rsidR="002F7564" w14:paraId="301E2EDF"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D7E4C1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1395929"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Projektom će biti realizirana investicija u izgradnju pješačko-biciklističke staze u Ulici Pavla Kvakana u Đelekovcu. Izgradnja biciklističke infrastrukture doprinijet će boljoj povezanosti alternativnim oblicima prijevoza na linijama koje služe za dnevne migracije, a time i smanjenju negativnog </w:t>
            </w:r>
            <w:r>
              <w:rPr>
                <w:rFonts w:ascii="Source Sans Pro" w:eastAsia="Source Sans Pro" w:hAnsi="Source Sans Pro" w:cs="Source Sans Pro"/>
              </w:rPr>
              <w:lastRenderedPageBreak/>
              <w:t>utjecaja prometa na okoliša kroz smanjenje emisije CO₂.</w:t>
            </w:r>
          </w:p>
        </w:tc>
      </w:tr>
      <w:tr w:rsidR="002F7564" w14:paraId="75799A82"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0F8E49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766954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w:t>
            </w:r>
          </w:p>
        </w:tc>
      </w:tr>
      <w:tr w:rsidR="002F7564" w14:paraId="479F897C"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52965A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02CF42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36 mjeseci</w:t>
            </w:r>
          </w:p>
        </w:tc>
      </w:tr>
      <w:tr w:rsidR="002F7564" w14:paraId="0CECB4F1"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E6A238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8E2B954"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 xml:space="preserve"> 2.400.000,00 HRK</w:t>
            </w:r>
          </w:p>
        </w:tc>
      </w:tr>
      <w:tr w:rsidR="002F7564" w14:paraId="33FDB8A1"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FE64AD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0D1999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5E19848D"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27A0C7B0"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2.1. Uspostaviti održiv sustav prijevoza</w:t>
            </w:r>
          </w:p>
        </w:tc>
      </w:tr>
      <w:tr w:rsidR="002F7564" w14:paraId="378A7A73"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13FEF85B"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18. Izgradnja pješačko-biciklističke staze u Peterancu - II. faza</w:t>
            </w:r>
          </w:p>
        </w:tc>
      </w:tr>
      <w:tr w:rsidR="002F7564" w14:paraId="258D3C8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6885AE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813400E"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Peteranec</w:t>
            </w:r>
          </w:p>
        </w:tc>
      </w:tr>
      <w:tr w:rsidR="002F7564" w14:paraId="1D377C30"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6576F3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35273F6"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Projekt podrazumijeva provedbu II. faze izgradnje pješačko-biciklističke staze u Peterancu. Izgradnja biciklističke infrastrukture doprinijet će boljoj povezanosti alternativnim oblicima prijevoza na linijama koje služe za dnevne migracije, a time i smanjenju negativnog utjecaja prometa na okoliša kroz smanjenje emisije CO₂.</w:t>
            </w:r>
          </w:p>
        </w:tc>
      </w:tr>
      <w:tr w:rsidR="002F7564" w14:paraId="6B7EA54F"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4A3EC6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FB19A7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Izrađena projektno-tehnička dokumentacija.</w:t>
            </w:r>
          </w:p>
        </w:tc>
      </w:tr>
      <w:tr w:rsidR="002F7564" w14:paraId="75C08778"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498B3BE"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1347D8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12 mjeseci</w:t>
            </w:r>
          </w:p>
        </w:tc>
      </w:tr>
      <w:tr w:rsidR="002F7564" w14:paraId="04BC1ACA"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61A083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FBA2F79"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 xml:space="preserve"> 1.100.000,00 HRK</w:t>
            </w:r>
          </w:p>
        </w:tc>
      </w:tr>
      <w:tr w:rsidR="002F7564" w14:paraId="2B3F0607"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F5C651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69EF58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74E548E4"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2BD71249"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2.1. Uspostaviti održiv sustav prijevoza</w:t>
            </w:r>
          </w:p>
        </w:tc>
      </w:tr>
      <w:tr w:rsidR="002F7564" w14:paraId="41BA6BE9"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1B2A52E2"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19. Mapiranje biciklističkih staza u Urbanom području Koprivnica</w:t>
            </w:r>
          </w:p>
        </w:tc>
      </w:tr>
      <w:tr w:rsidR="002F7564" w14:paraId="7054F1B1"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7CAB23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624E43E"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Grad Koprivnica</w:t>
            </w:r>
          </w:p>
        </w:tc>
      </w:tr>
      <w:tr w:rsidR="002F7564" w14:paraId="5500BB3D"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5C904F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BD066B4"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Projektom je planirano mapiranje cjelokupne pješačko-biciklističke infrastrukture s ciljem dodatne popularizacije korištenja održivih oblika prijevoza od strane lokalnog stanovništva, odnosno promicanja aktivnog i cikloturizma na području UP Koprivnica. Stvaranjem jedinstvene baze dostupne infrastrukture te njenom digitalizacijom na korisniku prilagođen način izradom aplikativnog rješenja utjecat će se na ostvarenje gore navedenog cilja. </w:t>
            </w:r>
          </w:p>
        </w:tc>
      </w:tr>
      <w:tr w:rsidR="002F7564" w14:paraId="0EA5E2F4"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81C07A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65F3CA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w:t>
            </w:r>
          </w:p>
        </w:tc>
      </w:tr>
      <w:tr w:rsidR="002F7564" w14:paraId="757768B2"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D0064C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3274B0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12 mjeseci</w:t>
            </w:r>
          </w:p>
        </w:tc>
      </w:tr>
      <w:tr w:rsidR="002F7564" w14:paraId="6DC54152"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0F8643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42A171B"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 xml:space="preserve"> 200.000,00 HRK</w:t>
            </w:r>
          </w:p>
        </w:tc>
      </w:tr>
      <w:tr w:rsidR="002F7564" w14:paraId="2C1F49F1"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367DC4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27A627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70FFDF4D"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47646191"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lastRenderedPageBreak/>
              <w:t>Posebni cilj 3.1. Potaknuti nove ideje u razvoju lokalne ekonomije</w:t>
            </w:r>
          </w:p>
        </w:tc>
      </w:tr>
      <w:tr w:rsidR="002F7564" w14:paraId="14769D8D"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23266ED5"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20. Sanacija i stavljanje u funkciju napuštene i onečišćene bivše vojarne u svrhu uspostave nove  poduzetničke zone u Kampusu</w:t>
            </w:r>
          </w:p>
        </w:tc>
      </w:tr>
      <w:tr w:rsidR="002F7564" w14:paraId="53DE936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586D83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1221724"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Grad Koprivnica</w:t>
            </w:r>
          </w:p>
        </w:tc>
      </w:tr>
      <w:tr w:rsidR="002F7564" w14:paraId="2387938D"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CC9894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AA4E8E5"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Projekt uključuje komunalno opremanje zone gospodarske namjene u kompleksu Kampus, površine cca 500.000 m², odnosno izgradnju prometnice, odvodnje oborinskih voda, javne rasvjete, kabelske kanalizacije te formiranje parcela infrastrukturnih koridora i parcela za razvoj gospodarske namjene. Projektom se stvaraju preduvjeti za aktiviranje zone gospodarske namjene u neposrednoj blizini postojećeg poduzetničkog inkubatora i sveučilišnog centra te stvaranjem prostora sudjelovanja poduzetničke i znanstvene zajednice.</w:t>
            </w:r>
          </w:p>
        </w:tc>
      </w:tr>
      <w:tr w:rsidR="002F7564" w14:paraId="0EEF1CA7"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334538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9752A9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w:t>
            </w:r>
          </w:p>
        </w:tc>
      </w:tr>
      <w:tr w:rsidR="002F7564" w14:paraId="463FC9F8"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62ADE9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5A9982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24 mjeseca</w:t>
            </w:r>
          </w:p>
        </w:tc>
      </w:tr>
      <w:tr w:rsidR="002F7564" w14:paraId="55E3CBB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833FDD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D9E1DA4" w14:textId="77777777" w:rsidR="002F7564" w:rsidRDefault="00000000">
            <w:pPr>
              <w:widowControl w:val="0"/>
              <w:rPr>
                <w:rFonts w:ascii="Source Sans Pro" w:eastAsia="Source Sans Pro" w:hAnsi="Source Sans Pro" w:cs="Source Sans Pro"/>
              </w:rPr>
            </w:pPr>
            <w:r>
              <w:rPr>
                <w:rFonts w:ascii="Arial Unicode MS" w:eastAsia="Arial Unicode MS" w:hAnsi="Arial Unicode MS" w:cs="Arial Unicode MS"/>
              </w:rPr>
              <w:t>≆</w:t>
            </w:r>
            <w:r w:rsidRPr="00226205">
              <w:rPr>
                <w:rFonts w:ascii="Source Sans Pro" w:eastAsia="Source Sans Pro" w:hAnsi="Source Sans Pro" w:cs="Source Sans Pro"/>
              </w:rPr>
              <w:t>14.481.980,00 HRK</w:t>
            </w:r>
          </w:p>
        </w:tc>
      </w:tr>
      <w:tr w:rsidR="002F7564" w14:paraId="626B101D"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F0AC24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ACB403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3E6C7122"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405600E0"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3.1. Potaknuti nove ideje u razvoju lokalne ekonomije</w:t>
            </w:r>
          </w:p>
        </w:tc>
      </w:tr>
      <w:tr w:rsidR="002F7564" w14:paraId="7CE0036B"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613D046F"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 xml:space="preserve">Projekt od strateškog značaja 21. Centar za digitalnu transformaciju u poduzetništvu </w:t>
            </w:r>
          </w:p>
        </w:tc>
      </w:tr>
      <w:tr w:rsidR="002F7564" w14:paraId="746B206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8F00BB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BFD6DD3"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ENTER Koprivnica d.o.o.</w:t>
            </w:r>
          </w:p>
        </w:tc>
      </w:tr>
      <w:tr w:rsidR="002F7564" w14:paraId="1A6DBD4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CC6E6D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5935EDE"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Projekt obuhvaća izgradnju Centra za digitalnu transformaciju u poduzetništvu, odnosno uspostavu novog vida poduzetničke potporne infrastrukture na području Grada Koprivnice, odnosno cijelog UP. </w:t>
            </w:r>
          </w:p>
          <w:p w14:paraId="01AB0F11"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Cilj projekta je ulaganjem u poslovnu infrastrukturu doprinijeti stvaranju povoljnih uvjeta za razvoj poduzetništva, stvaranje povoljne poduzetničke klime za inovativne</w:t>
            </w:r>
            <w:r>
              <w:rPr>
                <w:rFonts w:ascii="Source Sans Pro" w:eastAsia="Source Sans Pro" w:hAnsi="Source Sans Pro" w:cs="Source Sans Pro"/>
                <w:i/>
              </w:rPr>
              <w:t xml:space="preserve"> start up</w:t>
            </w:r>
            <w:r>
              <w:rPr>
                <w:rFonts w:ascii="Source Sans Pro" w:eastAsia="Source Sans Pro" w:hAnsi="Source Sans Pro" w:cs="Source Sans Pro"/>
              </w:rPr>
              <w:t xml:space="preserve">-ove i jačanje kapaciteta postojećih poduzetnika. </w:t>
            </w:r>
          </w:p>
        </w:tc>
      </w:tr>
      <w:tr w:rsidR="002F7564" w14:paraId="79502619"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F03AFF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B82F07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 (dokumentacija nije izrađena)</w:t>
            </w:r>
          </w:p>
        </w:tc>
      </w:tr>
      <w:tr w:rsidR="002F7564" w14:paraId="057766E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2D28C9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2691C8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24 mjeseca</w:t>
            </w:r>
          </w:p>
        </w:tc>
      </w:tr>
      <w:tr w:rsidR="002F7564" w14:paraId="7C51B22A"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0B407F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5A3146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37.677.530,00 HRK</w:t>
            </w:r>
          </w:p>
        </w:tc>
      </w:tr>
      <w:tr w:rsidR="002F7564" w14:paraId="1BED3CBE"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52CE8C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6EBB78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 javna poduzeća</w:t>
            </w:r>
          </w:p>
        </w:tc>
      </w:tr>
    </w:tbl>
    <w:p w14:paraId="247E68C6" w14:textId="77777777" w:rsidR="00226205" w:rsidRDefault="00226205">
      <w:r>
        <w:br w:type="page"/>
      </w:r>
    </w:p>
    <w:tbl>
      <w:tblPr>
        <w:tblStyle w:val="af6"/>
        <w:tblW w:w="9495" w:type="dxa"/>
        <w:jc w:val="center"/>
        <w:tblLayout w:type="fixed"/>
        <w:tblLook w:val="0600" w:firstRow="0" w:lastRow="0" w:firstColumn="0" w:lastColumn="0" w:noHBand="1" w:noVBand="1"/>
      </w:tblPr>
      <w:tblGrid>
        <w:gridCol w:w="3840"/>
        <w:gridCol w:w="5655"/>
      </w:tblGrid>
      <w:tr w:rsidR="002F7564" w14:paraId="70F5A114"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7740186A" w14:textId="5DAF2DD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lastRenderedPageBreak/>
              <w:t>Posebni cilj 3.1. Potaknuti nove ideje u razvoju lokalne ekonomije</w:t>
            </w:r>
          </w:p>
        </w:tc>
      </w:tr>
      <w:tr w:rsidR="002F7564" w14:paraId="730E8C8D"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1A315ECD"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 xml:space="preserve">Projekt od strateškog značaja 22. Proširenje postojeće poduzetničke zone </w:t>
            </w:r>
          </w:p>
        </w:tc>
      </w:tr>
      <w:tr w:rsidR="002F7564" w14:paraId="39541E7D"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032F24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D84C3B1"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Novigrad Podravski</w:t>
            </w:r>
          </w:p>
        </w:tc>
      </w:tr>
      <w:tr w:rsidR="002F7564" w14:paraId="257F5C98"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B227C4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507561D"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Projektom je planirano proširenje postojeće poduzetničko/poslovne zone u Općini Novigrad Podravski, s obzirom na popunjenost postojećih kapaciteta. Radovi obuhvaćaju izgradnje prometnice i spajanje s postojećom prometnice za poslovnu zonu, čime se omogućuje kružni tok prometa te dovod vodovoda, plinovoda i kanalizacije u zonu. Projektom će biti izgrađeni i opremljeni dodatni kapaciteti zone, odnosno otvoren pristup neiskorištenom zemljištu za obavljanje poduzetničkih aktivnosti. </w:t>
            </w:r>
          </w:p>
        </w:tc>
      </w:tr>
      <w:tr w:rsidR="002F7564" w14:paraId="59E2B7F2"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21006B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BDD751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w:t>
            </w:r>
          </w:p>
        </w:tc>
      </w:tr>
      <w:tr w:rsidR="002F7564" w14:paraId="550CD8D8"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9B793A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2A87E9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24 mjeseca</w:t>
            </w:r>
          </w:p>
        </w:tc>
      </w:tr>
      <w:tr w:rsidR="002F7564" w14:paraId="2986560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8E7B19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B94762D"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 xml:space="preserve"> 2.500.000,00 HRK</w:t>
            </w:r>
          </w:p>
        </w:tc>
      </w:tr>
      <w:tr w:rsidR="002F7564" w14:paraId="54D0A38D"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19FB89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779557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3EE48094"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631F3296"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4.1. Osigurati raznoliku kulturnu ponudu i pripadajuću infrastrukturu</w:t>
            </w:r>
          </w:p>
        </w:tc>
      </w:tr>
      <w:tr w:rsidR="002F7564" w14:paraId="3F2BE755"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5F2590A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b/>
                <w:color w:val="FFFFFF"/>
              </w:rPr>
              <w:t>Projekt od strateškog značaja 23. Muzejska četvrt</w:t>
            </w:r>
          </w:p>
        </w:tc>
      </w:tr>
      <w:tr w:rsidR="002F7564" w14:paraId="526D2CE3"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256815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BACE22A"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Grad Koprivnica</w:t>
            </w:r>
          </w:p>
        </w:tc>
      </w:tr>
      <w:tr w:rsidR="002F7564" w14:paraId="57C5DDD1"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15FF32E"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9010913"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Projektom će biti uspostavljen Muzej Podravine sa zbirkama građanske povijesti, vinskog i sakralnog folklora, naivne umjetnosti i drugih kulturnih i povijesnih obilježja od značaja za Koprivnicu i Podravinu. Projekt obuhvaća sveobuhvatnu rekonstrukciju najstarijeg dijela grada Koprivnice u kojem se nalazi nekoliko građevina koji imaju velik značaj za Grad Koprivnicu u kulturološkom i povijesnom smislu. Naziv projekta povezan je s obujmom investicije koja podrazumijeva više objekata: Zgradu Muzeja grada Koprivnice, Kuću Malančec, Esterovu 17 i Esterovu 19.</w:t>
            </w:r>
          </w:p>
        </w:tc>
      </w:tr>
      <w:tr w:rsidR="002F7564" w14:paraId="5B0D1C27"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CDB727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9C238E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 xml:space="preserve">Projektno-tehnička dokumentacija je u izradi. </w:t>
            </w:r>
          </w:p>
        </w:tc>
      </w:tr>
      <w:tr w:rsidR="002F7564" w14:paraId="5B1CE45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0FDED2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87F6A4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48 mjeseci</w:t>
            </w:r>
          </w:p>
        </w:tc>
      </w:tr>
      <w:tr w:rsidR="002F7564" w14:paraId="5F78C008"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E716A9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0134CDE" w14:textId="77777777" w:rsidR="002F7564" w:rsidRDefault="00000000">
            <w:pPr>
              <w:widowControl w:val="0"/>
              <w:rPr>
                <w:rFonts w:ascii="Source Sans Pro" w:eastAsia="Source Sans Pro" w:hAnsi="Source Sans Pro" w:cs="Source Sans Pro"/>
              </w:rPr>
            </w:pPr>
            <w:r>
              <w:rPr>
                <w:rFonts w:ascii="Arial Unicode MS" w:eastAsia="Arial Unicode MS" w:hAnsi="Arial Unicode MS" w:cs="Arial Unicode MS"/>
              </w:rPr>
              <w:t>≆</w:t>
            </w:r>
            <w:r>
              <w:rPr>
                <w:rFonts w:ascii="Source Sans Pro" w:eastAsia="Source Sans Pro" w:hAnsi="Source Sans Pro" w:cs="Source Sans Pro"/>
              </w:rPr>
              <w:t xml:space="preserve"> 75.000.000,00 HRK</w:t>
            </w:r>
          </w:p>
        </w:tc>
      </w:tr>
      <w:tr w:rsidR="002F7564" w14:paraId="0A50B70D"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66BD58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1EADDE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bl>
    <w:p w14:paraId="589F300D" w14:textId="77777777" w:rsidR="00226205" w:rsidRDefault="00226205">
      <w:r>
        <w:br w:type="page"/>
      </w:r>
    </w:p>
    <w:tbl>
      <w:tblPr>
        <w:tblStyle w:val="af6"/>
        <w:tblW w:w="9495" w:type="dxa"/>
        <w:jc w:val="center"/>
        <w:tblLayout w:type="fixed"/>
        <w:tblLook w:val="0600" w:firstRow="0" w:lastRow="0" w:firstColumn="0" w:lastColumn="0" w:noHBand="1" w:noVBand="1"/>
      </w:tblPr>
      <w:tblGrid>
        <w:gridCol w:w="3840"/>
        <w:gridCol w:w="5655"/>
      </w:tblGrid>
      <w:tr w:rsidR="002F7564" w14:paraId="5499BDCE"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558B1B0E" w14:textId="20863B5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lastRenderedPageBreak/>
              <w:t>Posebni cilj j 4.1. Osigurati raznoliku kulturnu ponudu i pripadajuću infrastrukturu</w:t>
            </w:r>
          </w:p>
        </w:tc>
      </w:tr>
      <w:tr w:rsidR="002F7564" w14:paraId="666C08F8"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291359E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b/>
                <w:color w:val="FFFFFF"/>
              </w:rPr>
              <w:t>Projekt od strateškog značaja 24. Rekonstrukcija rodne kuće Ivana Sabolića</w:t>
            </w:r>
          </w:p>
        </w:tc>
      </w:tr>
      <w:tr w:rsidR="002F7564" w14:paraId="083C2990"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9A0F21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E73B6E5"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Peteranec</w:t>
            </w:r>
          </w:p>
        </w:tc>
      </w:tr>
      <w:tr w:rsidR="002F7564" w14:paraId="40CD5398"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7133FE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8871215"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Projektom će biti rekonstruirana rodna kuća Ivana Sabolića u Općini Peteranec. Realizacijom projekta doprinijet će se valorizaciji kulturno - turističkog potencijala u Općini Peteranec, a cilj projekta je prenamjena kuće u muzejske i edukativne svrhe. </w:t>
            </w:r>
          </w:p>
        </w:tc>
      </w:tr>
      <w:tr w:rsidR="002F7564" w14:paraId="58296927"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00CCF4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677ACB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w:t>
            </w:r>
          </w:p>
        </w:tc>
      </w:tr>
      <w:tr w:rsidR="002F7564" w14:paraId="5BA745E9"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7B3EF5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CF26F5E"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48 mjeseci</w:t>
            </w:r>
          </w:p>
        </w:tc>
      </w:tr>
      <w:tr w:rsidR="002F7564" w14:paraId="5FEE6A73"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B31D08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11A1042" w14:textId="77777777" w:rsidR="002F7564" w:rsidRDefault="00000000">
            <w:pPr>
              <w:widowControl w:val="0"/>
              <w:rPr>
                <w:rFonts w:ascii="Source Sans Pro" w:eastAsia="Source Sans Pro" w:hAnsi="Source Sans Pro" w:cs="Source Sans Pro"/>
              </w:rPr>
            </w:pPr>
            <w:r>
              <w:rPr>
                <w:rFonts w:ascii="Arial Unicode MS" w:eastAsia="Arial Unicode MS" w:hAnsi="Arial Unicode MS" w:cs="Arial Unicode MS"/>
              </w:rPr>
              <w:t>≆</w:t>
            </w:r>
            <w:r>
              <w:rPr>
                <w:rFonts w:ascii="Source Sans Pro" w:eastAsia="Source Sans Pro" w:hAnsi="Source Sans Pro" w:cs="Source Sans Pro"/>
              </w:rPr>
              <w:t>2.150.000,00 HRK</w:t>
            </w:r>
          </w:p>
        </w:tc>
      </w:tr>
      <w:tr w:rsidR="002F7564" w14:paraId="30E83531"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87699A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8F1020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4E794EAD"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574D606E"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j 4.1. Osigurati raznoliku kulturnu ponudu i pripadajuću infrastrukturu</w:t>
            </w:r>
          </w:p>
        </w:tc>
      </w:tr>
      <w:tr w:rsidR="002F7564" w14:paraId="17FC7789"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1ECC203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b/>
                <w:color w:val="FFFFFF"/>
              </w:rPr>
              <w:t>Projekt od strateškog značaja 25. Rekonstrukcija doma kulture Pajo Kanižaj</w:t>
            </w:r>
          </w:p>
        </w:tc>
      </w:tr>
      <w:tr w:rsidR="002F7564" w14:paraId="0A0A14B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B8273E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6A60491"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Đelekovec</w:t>
            </w:r>
          </w:p>
        </w:tc>
      </w:tr>
      <w:tr w:rsidR="002F7564" w14:paraId="2D69973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FCA0C8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5501CB1"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Projekt obuhvaća rekonstrukciju doma kulture Pajo Kanižaj u Općini Đelekovec - uređenje pozornice, prostora knjižnice te zavičajne zbirke, te popratno adaptaciju objekta u smislu poboljšanja energetske učinkovitosti istog kroz radove da vanjskoj ovojnici zgrade, zamjeni stolarije, uređenju sanitarnih prostorija itd. Realizacija projekata doprinijet će modernizaciji društveno-kulturne infrastrukture. </w:t>
            </w:r>
          </w:p>
        </w:tc>
      </w:tr>
      <w:tr w:rsidR="002F7564" w14:paraId="48837650"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6DB7F9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DBB60F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w:t>
            </w:r>
          </w:p>
        </w:tc>
      </w:tr>
      <w:tr w:rsidR="002F7564" w14:paraId="03B20EC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65EB6B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A93D07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36 mjeseci</w:t>
            </w:r>
          </w:p>
        </w:tc>
      </w:tr>
      <w:tr w:rsidR="002F7564" w14:paraId="6C13F90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0ED80B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26FF4EE" w14:textId="77777777" w:rsidR="002F7564" w:rsidRDefault="00000000">
            <w:pPr>
              <w:widowControl w:val="0"/>
              <w:rPr>
                <w:rFonts w:ascii="Source Sans Pro" w:eastAsia="Source Sans Pro" w:hAnsi="Source Sans Pro" w:cs="Source Sans Pro"/>
              </w:rPr>
            </w:pPr>
            <w:r>
              <w:rPr>
                <w:rFonts w:ascii="Arial Unicode MS" w:eastAsia="Arial Unicode MS" w:hAnsi="Arial Unicode MS" w:cs="Arial Unicode MS"/>
              </w:rPr>
              <w:t>≆</w:t>
            </w:r>
            <w:r>
              <w:rPr>
                <w:rFonts w:ascii="Source Sans Pro" w:eastAsia="Source Sans Pro" w:hAnsi="Source Sans Pro" w:cs="Source Sans Pro"/>
              </w:rPr>
              <w:t>2.077.500,00 HRK</w:t>
            </w:r>
          </w:p>
        </w:tc>
      </w:tr>
      <w:tr w:rsidR="002F7564" w14:paraId="646E5D07"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545154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64D096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3A313687"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78F3C09D"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j 4.1. Osigurati raznoliku kulturnu ponudu i pripadajuću infrastrukturu</w:t>
            </w:r>
          </w:p>
        </w:tc>
      </w:tr>
      <w:tr w:rsidR="002F7564" w14:paraId="304A4727"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0D05BDA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b/>
                <w:color w:val="FFFFFF"/>
              </w:rPr>
              <w:t>Projekt od strateškog značaja 26. Rekonstrukcija zgrade kurije</w:t>
            </w:r>
          </w:p>
        </w:tc>
      </w:tr>
      <w:tr w:rsidR="002F7564" w14:paraId="44AD6C57"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C986A9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E3D6736"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Koprivnički Ivanec</w:t>
            </w:r>
          </w:p>
        </w:tc>
      </w:tr>
      <w:tr w:rsidR="002F7564" w14:paraId="77B346C2"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C222AD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5D2166D"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Projekt uključuje rekonstrukciju, dogradnju i opremanje postojeće zgrade kurije u Koprivničkom Ivancu s izložbenim prostorom za “Ivanečki vez”. Realizacija projekta doprinijet će valorizaciji kulturne baštine Koprivničkog Ivanca i UP Koprivnica u cjelini, te revitalizaciji zgrade kurije i time povećanju kulturno-turističkog potencijala područja.</w:t>
            </w:r>
          </w:p>
        </w:tc>
      </w:tr>
      <w:tr w:rsidR="002F7564" w14:paraId="363E8353"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3AE87A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lastRenderedPageBreak/>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996B8D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Projektno-tehnička dokumentacija je u izradi</w:t>
            </w:r>
          </w:p>
        </w:tc>
      </w:tr>
      <w:tr w:rsidR="002F7564" w14:paraId="4DD32C64"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740D1D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CBF9C1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12 mjeseci</w:t>
            </w:r>
          </w:p>
        </w:tc>
      </w:tr>
      <w:tr w:rsidR="002F7564" w14:paraId="5399FD0D"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95AC79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AA83F87" w14:textId="77777777" w:rsidR="002F7564" w:rsidRDefault="00000000">
            <w:pPr>
              <w:widowControl w:val="0"/>
              <w:rPr>
                <w:rFonts w:ascii="Source Sans Pro" w:eastAsia="Source Sans Pro" w:hAnsi="Source Sans Pro" w:cs="Source Sans Pro"/>
              </w:rPr>
            </w:pPr>
            <w:r>
              <w:rPr>
                <w:rFonts w:ascii="Arial Unicode MS" w:eastAsia="Arial Unicode MS" w:hAnsi="Arial Unicode MS" w:cs="Arial Unicode MS"/>
              </w:rPr>
              <w:t>≆</w:t>
            </w:r>
            <w:r>
              <w:rPr>
                <w:rFonts w:ascii="Source Sans Pro" w:eastAsia="Source Sans Pro" w:hAnsi="Source Sans Pro" w:cs="Source Sans Pro"/>
              </w:rPr>
              <w:t>4.000.000,00 HRK</w:t>
            </w:r>
          </w:p>
        </w:tc>
      </w:tr>
      <w:tr w:rsidR="002F7564" w14:paraId="0CAF4102"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58DC1D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A5291C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361C71C7"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3A5DA8AB" w14:textId="77777777" w:rsidR="002F7564" w:rsidRDefault="00000000">
            <w:pPr>
              <w:widowControl w:val="0"/>
              <w:jc w:val="center"/>
              <w:rPr>
                <w:rFonts w:ascii="Source Sans Pro" w:eastAsia="Source Sans Pro" w:hAnsi="Source Sans Pro" w:cs="Source Sans Pro"/>
                <w:b/>
              </w:rPr>
            </w:pPr>
            <w:r>
              <w:rPr>
                <w:rFonts w:ascii="Source Sans Pro" w:eastAsia="Source Sans Pro" w:hAnsi="Source Sans Pro" w:cs="Source Sans Pro"/>
                <w:b/>
                <w:color w:val="FFFFFF"/>
              </w:rPr>
              <w:t>Posebni cilj j 4.1. Osigurati raznoliku kulturnu ponudu i pripadajuću infrastrukturu</w:t>
            </w:r>
          </w:p>
        </w:tc>
      </w:tr>
      <w:tr w:rsidR="002F7564" w14:paraId="1749DCA4"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7C45A7F8" w14:textId="77777777" w:rsidR="002F7564" w:rsidRDefault="00000000">
            <w:pPr>
              <w:widowControl w:val="0"/>
              <w:rPr>
                <w:rFonts w:ascii="Source Sans Pro" w:eastAsia="Source Sans Pro" w:hAnsi="Source Sans Pro" w:cs="Source Sans Pro"/>
                <w:b/>
              </w:rPr>
            </w:pPr>
            <w:r>
              <w:rPr>
                <w:rFonts w:ascii="Source Sans Pro" w:eastAsia="Source Sans Pro" w:hAnsi="Source Sans Pro" w:cs="Source Sans Pro"/>
                <w:b/>
                <w:color w:val="FFFFFF"/>
              </w:rPr>
              <w:t>Projekt od strateškog značaja 27. Uređenje etno kuće za etno muzej</w:t>
            </w:r>
          </w:p>
        </w:tc>
      </w:tr>
      <w:tr w:rsidR="002F7564" w14:paraId="0862E3DA"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7A249B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7F18AB3"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Novigrad Podravski</w:t>
            </w:r>
          </w:p>
        </w:tc>
      </w:tr>
      <w:tr w:rsidR="002F7564" w14:paraId="2470D89A"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4CBC82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8CB9070" w14:textId="77777777" w:rsidR="002F7564" w:rsidRDefault="00000000">
            <w:pPr>
              <w:widowControl w:val="0"/>
              <w:jc w:val="both"/>
              <w:rPr>
                <w:rFonts w:ascii="Source Sans Pro" w:eastAsia="Source Sans Pro" w:hAnsi="Source Sans Pro" w:cs="Source Sans Pro"/>
                <w:sz w:val="23"/>
                <w:szCs w:val="23"/>
                <w:highlight w:val="white"/>
              </w:rPr>
            </w:pPr>
            <w:r>
              <w:rPr>
                <w:rFonts w:ascii="Source Sans Pro" w:eastAsia="Source Sans Pro" w:hAnsi="Source Sans Pro" w:cs="Source Sans Pro"/>
              </w:rPr>
              <w:t xml:space="preserve">Realizacija projekta obuhvaća konzervatorske radove na uređenju etno kuće te valorizaciju kao etno muzeja s postavom predmeta etno baštine i edukativno - informativnim segmentom u Općini Novigrad Podravski. </w:t>
            </w:r>
          </w:p>
        </w:tc>
      </w:tr>
      <w:tr w:rsidR="002F7564" w14:paraId="0DFC0A1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832637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01E85B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w:t>
            </w:r>
          </w:p>
        </w:tc>
      </w:tr>
      <w:tr w:rsidR="002F7564" w14:paraId="39FFB1FD"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91B8A3E"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093325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24 mjeseca</w:t>
            </w:r>
          </w:p>
        </w:tc>
      </w:tr>
      <w:tr w:rsidR="002F7564" w14:paraId="723F8C19"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15C041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2159D47" w14:textId="77777777" w:rsidR="002F7564" w:rsidRDefault="00000000">
            <w:pPr>
              <w:widowControl w:val="0"/>
              <w:rPr>
                <w:rFonts w:ascii="Source Sans Pro" w:eastAsia="Source Sans Pro" w:hAnsi="Source Sans Pro" w:cs="Source Sans Pro"/>
              </w:rPr>
            </w:pPr>
            <w:r>
              <w:rPr>
                <w:rFonts w:ascii="Arial Unicode MS" w:eastAsia="Arial Unicode MS" w:hAnsi="Arial Unicode MS" w:cs="Arial Unicode MS"/>
              </w:rPr>
              <w:t>≆</w:t>
            </w:r>
            <w:r>
              <w:rPr>
                <w:rFonts w:ascii="Source Sans Pro" w:eastAsia="Source Sans Pro" w:hAnsi="Source Sans Pro" w:cs="Source Sans Pro"/>
              </w:rPr>
              <w:t xml:space="preserve"> 6.800.000,00 HRK</w:t>
            </w:r>
          </w:p>
        </w:tc>
      </w:tr>
      <w:tr w:rsidR="002F7564" w14:paraId="32E52B70"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AEE9D1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F0D0E2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15A1B519"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1CC03AEF"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j 4.1. Osigurati raznoliku kulturnu ponudu i pripadajuću infrastrukturu</w:t>
            </w:r>
          </w:p>
        </w:tc>
      </w:tr>
      <w:tr w:rsidR="002F7564" w14:paraId="4D296965"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77AD447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b/>
                <w:color w:val="FFFFFF"/>
              </w:rPr>
              <w:t>Projekt od strateškog značaja 28. Rekonstrukcija paviljona - Muzejska četvrt</w:t>
            </w:r>
          </w:p>
        </w:tc>
      </w:tr>
      <w:tr w:rsidR="002F7564" w14:paraId="7FD810D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8BD167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912C339"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Drnje</w:t>
            </w:r>
          </w:p>
        </w:tc>
      </w:tr>
      <w:tr w:rsidR="002F7564" w14:paraId="106531C3"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F0AC54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B3DE41D" w14:textId="77777777" w:rsidR="002F7564" w:rsidRDefault="00000000">
            <w:pPr>
              <w:widowControl w:val="0"/>
              <w:jc w:val="both"/>
              <w:rPr>
                <w:rFonts w:ascii="Source Sans Pro" w:eastAsia="Source Sans Pro" w:hAnsi="Source Sans Pro" w:cs="Source Sans Pro"/>
                <w:sz w:val="23"/>
                <w:szCs w:val="23"/>
                <w:highlight w:val="white"/>
              </w:rPr>
            </w:pPr>
            <w:r>
              <w:rPr>
                <w:rFonts w:ascii="Source Sans Pro" w:eastAsia="Source Sans Pro" w:hAnsi="Source Sans Pro" w:cs="Source Sans Pro"/>
              </w:rPr>
              <w:t xml:space="preserve">Projektom je planirano uređenje kulturnog spomenika u parku u Općini Drnje, valorizacija i revitalizacija istog kroz prenamjenu za potrebe izložbene galerije. Projekt će doprinijeti održivom upravljanju i povećanju privlačnosti kulturne baštine te unaprjeđenju kulturnih i turističkih sadržaja. </w:t>
            </w:r>
          </w:p>
        </w:tc>
      </w:tr>
      <w:tr w:rsidR="002F7564" w14:paraId="286794A9"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532B7D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5C2ACA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Izrađeno idejno rješenje</w:t>
            </w:r>
          </w:p>
        </w:tc>
      </w:tr>
      <w:tr w:rsidR="002F7564" w14:paraId="1B79C6DE"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8BEDE2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D5C5D7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36 mjeseci</w:t>
            </w:r>
          </w:p>
        </w:tc>
      </w:tr>
      <w:tr w:rsidR="002F7564" w14:paraId="6434B468"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9CEEE1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28FDD98" w14:textId="77777777" w:rsidR="002F7564" w:rsidRDefault="00000000">
            <w:pPr>
              <w:widowControl w:val="0"/>
              <w:rPr>
                <w:rFonts w:ascii="Source Sans Pro" w:eastAsia="Source Sans Pro" w:hAnsi="Source Sans Pro" w:cs="Source Sans Pro"/>
              </w:rPr>
            </w:pPr>
            <w:r>
              <w:rPr>
                <w:rFonts w:ascii="Arial Unicode MS" w:eastAsia="Arial Unicode MS" w:hAnsi="Arial Unicode MS" w:cs="Arial Unicode MS"/>
              </w:rPr>
              <w:t>≆</w:t>
            </w:r>
            <w:r>
              <w:rPr>
                <w:rFonts w:ascii="Source Sans Pro" w:eastAsia="Source Sans Pro" w:hAnsi="Source Sans Pro" w:cs="Source Sans Pro"/>
              </w:rPr>
              <w:t xml:space="preserve"> 150.000,00 HRK</w:t>
            </w:r>
          </w:p>
        </w:tc>
      </w:tr>
      <w:tr w:rsidR="002F7564" w14:paraId="0A70AD03"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4F9EFB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36E52F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bl>
    <w:p w14:paraId="0F989692" w14:textId="77777777" w:rsidR="00226205" w:rsidRDefault="00226205">
      <w:r>
        <w:br w:type="page"/>
      </w:r>
    </w:p>
    <w:tbl>
      <w:tblPr>
        <w:tblStyle w:val="af6"/>
        <w:tblW w:w="9495" w:type="dxa"/>
        <w:jc w:val="center"/>
        <w:tblLayout w:type="fixed"/>
        <w:tblLook w:val="0600" w:firstRow="0" w:lastRow="0" w:firstColumn="0" w:lastColumn="0" w:noHBand="1" w:noVBand="1"/>
      </w:tblPr>
      <w:tblGrid>
        <w:gridCol w:w="3840"/>
        <w:gridCol w:w="5655"/>
      </w:tblGrid>
      <w:tr w:rsidR="002F7564" w14:paraId="59EEB621"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1FAA0E2E" w14:textId="6E034C72"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lastRenderedPageBreak/>
              <w:t>Posebni cilj j 4.1. Osigurati raznoliku kulturnu ponudu i pripadajuću infrastrukturu</w:t>
            </w:r>
          </w:p>
        </w:tc>
      </w:tr>
      <w:tr w:rsidR="002F7564" w14:paraId="37CC98F9"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35CDEB67"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29. Opremanje kulturnog centra u Peterancu</w:t>
            </w:r>
          </w:p>
        </w:tc>
      </w:tr>
      <w:tr w:rsidR="002F7564" w14:paraId="76362B8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F15580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0DF0100"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Peteranec</w:t>
            </w:r>
          </w:p>
        </w:tc>
      </w:tr>
      <w:tr w:rsidR="002F7564" w14:paraId="5548D70D"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7309B4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EC2E145"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Nakon završetka rekonstrukcije starog mlina u naselju Peteranec projektom će isti biti opremljen na način da se definira stalni galerijski postav te opreme uredi/prostorije za potrebe udruga.</w:t>
            </w:r>
          </w:p>
        </w:tc>
      </w:tr>
      <w:tr w:rsidR="002F7564" w14:paraId="02C3934B"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66EF66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9EF776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w:t>
            </w:r>
          </w:p>
        </w:tc>
      </w:tr>
      <w:tr w:rsidR="002F7564" w14:paraId="170DEBCC"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3F64990"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A70DE5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24 mjeseca</w:t>
            </w:r>
          </w:p>
        </w:tc>
      </w:tr>
      <w:tr w:rsidR="002F7564" w14:paraId="2A99D03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C1BBC3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F0F576E"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 xml:space="preserve"> 1.300.000,00 HRK</w:t>
            </w:r>
          </w:p>
        </w:tc>
      </w:tr>
      <w:tr w:rsidR="002F7564" w14:paraId="6999CF6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9D5526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7C70865"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0D48BE7E"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4CB66B8C"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4.1. Osigurati raznoliku kulturnu ponudu i pripadajuću infrastrukturu</w:t>
            </w:r>
          </w:p>
        </w:tc>
      </w:tr>
      <w:tr w:rsidR="002F7564" w14:paraId="09BD5BAD"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3AC09914"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 xml:space="preserve">Projekt od strateškog značaja 30. HlebinARTS izgradnja kulturno-turističke </w:t>
            </w:r>
          </w:p>
        </w:tc>
      </w:tr>
      <w:tr w:rsidR="002F7564" w14:paraId="5DD1683F"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072B34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B552DF9"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Hlebine</w:t>
            </w:r>
          </w:p>
        </w:tc>
      </w:tr>
      <w:tr w:rsidR="002F7564" w14:paraId="7ADF12E2"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5991AF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DAC6D05"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Izgradnja i opremanje kulturno-turističke infrastrukture s ugostiteljskim sadržajima, smještajnim jedinicama i dvije male etno kuće s tradicijskim obrtima. Svrha projekta je dobivanje prostora za edukaciju posjetitelja na temu naivnog slikarstvo - hlebinske škola, te prezetnacija etno kulinarske ponude. Projekt će doprinijeti održivom upravljanju i povećanju privlačnosti kulturne baštine te unaprjeđenju kulturnih sadržaja.</w:t>
            </w:r>
          </w:p>
        </w:tc>
      </w:tr>
      <w:tr w:rsidR="002F7564" w14:paraId="463562A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AE45F8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631F94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Izrađena projektno-tehnička dokumentacija; ishođena Građevinska dozvola</w:t>
            </w:r>
          </w:p>
        </w:tc>
      </w:tr>
      <w:tr w:rsidR="002F7564" w14:paraId="68F2E7E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916612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A9B0A9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24 mjeseca</w:t>
            </w:r>
          </w:p>
        </w:tc>
      </w:tr>
      <w:tr w:rsidR="002F7564" w14:paraId="787A80FA"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9B74B9B"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7DC461D"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 10.000.000,00 HRK</w:t>
            </w:r>
          </w:p>
        </w:tc>
      </w:tr>
      <w:tr w:rsidR="002F7564" w14:paraId="4718F863"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EB2EAB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0E4082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59D5C7BF"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23FDC75C"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4.1. Osigurati raznoliku kulturnu ponudu i pripadajuću infrastrukturu</w:t>
            </w:r>
          </w:p>
        </w:tc>
      </w:tr>
      <w:tr w:rsidR="002F7564" w14:paraId="79507AAD"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795CD47B"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31. Kulturni centar u Sigecu - Gruntovčani</w:t>
            </w:r>
          </w:p>
        </w:tc>
      </w:tr>
      <w:tr w:rsidR="002F7564" w14:paraId="28E3B0E2"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F7F32C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DCB3CAD"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Peteranec</w:t>
            </w:r>
          </w:p>
        </w:tc>
      </w:tr>
      <w:tr w:rsidR="002F7564" w14:paraId="21F7AE89"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205A7A4"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DFD1ABD"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Projekt uključuje kupnju, rekonstrukciju i prenamjenu objekta - tradicionalne kuće -  za potrebe stavljanja u funkciju Kulturnog centra u Sigecu, tematskog kulturnog centra posvećenog Gruntovčanima i tradicionalnom podravskom načinu života. </w:t>
            </w:r>
          </w:p>
        </w:tc>
      </w:tr>
      <w:tr w:rsidR="002F7564" w14:paraId="4768C962"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5EF8A92"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lastRenderedPageBreak/>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1A3E3D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w:t>
            </w:r>
          </w:p>
        </w:tc>
      </w:tr>
      <w:tr w:rsidR="002F7564" w14:paraId="320866B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A028E5E"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F1C76D9"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48 mjeseci</w:t>
            </w:r>
          </w:p>
        </w:tc>
      </w:tr>
      <w:tr w:rsidR="002F7564" w14:paraId="0BBC8CB7"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758FB9C"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BB93894" w14:textId="77777777" w:rsidR="002F7564" w:rsidRPr="00226205" w:rsidRDefault="00000000">
            <w:pPr>
              <w:widowControl w:val="0"/>
              <w:rPr>
                <w:rFonts w:ascii="Cambria Math" w:eastAsia="Source Sans Pro" w:hAnsi="Cambria Math" w:cs="Cambria Math"/>
              </w:rPr>
            </w:pPr>
            <w:r w:rsidRPr="00226205">
              <w:rPr>
                <w:rFonts w:ascii="Cambria Math" w:eastAsia="Source Sans Pro" w:hAnsi="Cambria Math" w:cs="Cambria Math"/>
              </w:rPr>
              <w:t>≆ 2.070.000,00 HRK</w:t>
            </w:r>
          </w:p>
        </w:tc>
      </w:tr>
      <w:tr w:rsidR="002F7564" w14:paraId="7C08359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B6F013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C8DEE9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2E6A78B3"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096EB3"/>
            <w:tcMar>
              <w:top w:w="40" w:type="dxa"/>
              <w:left w:w="40" w:type="dxa"/>
              <w:bottom w:w="40" w:type="dxa"/>
              <w:right w:w="40" w:type="dxa"/>
            </w:tcMar>
            <w:vAlign w:val="center"/>
          </w:tcPr>
          <w:p w14:paraId="61FC7D94" w14:textId="77777777" w:rsidR="002F7564" w:rsidRDefault="00000000">
            <w:pPr>
              <w:widowControl w:val="0"/>
              <w:jc w:val="center"/>
              <w:rPr>
                <w:rFonts w:ascii="Source Sans Pro" w:eastAsia="Source Sans Pro" w:hAnsi="Source Sans Pro" w:cs="Source Sans Pro"/>
              </w:rPr>
            </w:pPr>
            <w:r>
              <w:rPr>
                <w:rFonts w:ascii="Source Sans Pro" w:eastAsia="Source Sans Pro" w:hAnsi="Source Sans Pro" w:cs="Source Sans Pro"/>
                <w:b/>
                <w:color w:val="FFFFFF"/>
              </w:rPr>
              <w:t>Posebni cilj  4.1. Osigurati raznoliku kulturnu ponudu i pripadajuću infrastrukturu</w:t>
            </w:r>
          </w:p>
        </w:tc>
      </w:tr>
      <w:tr w:rsidR="002F7564" w14:paraId="6CE311C3" w14:textId="77777777">
        <w:trPr>
          <w:trHeight w:val="406"/>
          <w:jc w:val="center"/>
        </w:trPr>
        <w:tc>
          <w:tcPr>
            <w:tcW w:w="9495" w:type="dxa"/>
            <w:gridSpan w:val="2"/>
            <w:tcBorders>
              <w:top w:val="single" w:sz="6" w:space="0" w:color="FFFFFF"/>
              <w:left w:val="single" w:sz="6" w:space="0" w:color="FFFFFF"/>
              <w:bottom w:val="single" w:sz="6" w:space="0" w:color="FFFFFF"/>
              <w:right w:val="single" w:sz="6" w:space="0" w:color="FFFFFF"/>
            </w:tcBorders>
            <w:shd w:val="clear" w:color="auto" w:fill="7CA361"/>
            <w:tcMar>
              <w:top w:w="40" w:type="dxa"/>
              <w:left w:w="40" w:type="dxa"/>
              <w:bottom w:w="40" w:type="dxa"/>
              <w:right w:w="40" w:type="dxa"/>
            </w:tcMar>
            <w:vAlign w:val="center"/>
          </w:tcPr>
          <w:p w14:paraId="45A52E03" w14:textId="77777777" w:rsidR="002F7564" w:rsidRDefault="00000000">
            <w:pPr>
              <w:widowControl w:val="0"/>
              <w:rPr>
                <w:rFonts w:ascii="Source Sans Pro" w:eastAsia="Source Sans Pro" w:hAnsi="Source Sans Pro" w:cs="Source Sans Pro"/>
                <w:i/>
              </w:rPr>
            </w:pPr>
            <w:r>
              <w:rPr>
                <w:rFonts w:ascii="Source Sans Pro" w:eastAsia="Source Sans Pro" w:hAnsi="Source Sans Pro" w:cs="Source Sans Pro"/>
                <w:b/>
                <w:color w:val="FFFFFF"/>
              </w:rPr>
              <w:t>Projekt od strateškog značaja 32. Obnova Kapetanije</w:t>
            </w:r>
          </w:p>
        </w:tc>
      </w:tr>
      <w:tr w:rsidR="002F7564" w14:paraId="70164265"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5E2D5C86"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Nositelj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0D437619"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Općina Peteranec, Muzej grada Koprivnice</w:t>
            </w:r>
          </w:p>
        </w:tc>
      </w:tr>
      <w:tr w:rsidR="002F7564" w14:paraId="20152FF1"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0FE0811"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Kratki opis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4C8832E4" w14:textId="77777777" w:rsidR="002F7564" w:rsidRDefault="00000000">
            <w:pPr>
              <w:widowControl w:val="0"/>
              <w:jc w:val="both"/>
              <w:rPr>
                <w:rFonts w:ascii="Source Sans Pro" w:eastAsia="Source Sans Pro" w:hAnsi="Source Sans Pro" w:cs="Source Sans Pro"/>
              </w:rPr>
            </w:pPr>
            <w:r>
              <w:rPr>
                <w:rFonts w:ascii="Source Sans Pro" w:eastAsia="Source Sans Pro" w:hAnsi="Source Sans Pro" w:cs="Source Sans Pro"/>
              </w:rPr>
              <w:t xml:space="preserve">Projektom će biti provedena cjelovita obnova stare zgrade Kapetanije u Peterancu te rekonstrukcija i revitalizacija društvenih prostorija i stalnog postava u muzejskom dijelu, a koji sadrži skulpture Ivana Sabolića. </w:t>
            </w:r>
          </w:p>
        </w:tc>
      </w:tr>
      <w:tr w:rsidR="002F7564" w14:paraId="360F1063"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7DD0598"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Spremnost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252C7847"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Projektna ideja</w:t>
            </w:r>
          </w:p>
        </w:tc>
      </w:tr>
      <w:tr w:rsidR="002F7564" w14:paraId="330749A6"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AF4829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Planirano trajanje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11422EBA"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48 mjeseci</w:t>
            </w:r>
          </w:p>
        </w:tc>
      </w:tr>
      <w:tr w:rsidR="002F7564" w14:paraId="65A98A74"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9A121FF"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Ukupna procijenjena vrijednost projekta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75A2126B" w14:textId="77777777" w:rsidR="002F7564" w:rsidRDefault="00000000">
            <w:pPr>
              <w:widowControl w:val="0"/>
              <w:rPr>
                <w:rFonts w:ascii="Source Sans Pro" w:eastAsia="Source Sans Pro" w:hAnsi="Source Sans Pro" w:cs="Source Sans Pro"/>
              </w:rPr>
            </w:pPr>
            <w:r w:rsidRPr="00226205">
              <w:rPr>
                <w:rFonts w:ascii="Cambria Math" w:eastAsia="Source Sans Pro" w:hAnsi="Cambria Math" w:cs="Cambria Math"/>
              </w:rPr>
              <w:t>≆</w:t>
            </w:r>
            <w:r w:rsidRPr="00226205">
              <w:rPr>
                <w:rFonts w:ascii="Source Sans Pro" w:eastAsia="Source Sans Pro" w:hAnsi="Source Sans Pro" w:cs="Source Sans Pro"/>
              </w:rPr>
              <w:t xml:space="preserve"> 7.300.000,00 HRK</w:t>
            </w:r>
          </w:p>
        </w:tc>
      </w:tr>
      <w:tr w:rsidR="002F7564" w14:paraId="6EC4EBA7"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34318073"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Planirani izvori financiranja</w:t>
            </w:r>
          </w:p>
        </w:tc>
        <w:tc>
          <w:tcPr>
            <w:tcW w:w="5655" w:type="dxa"/>
            <w:tcBorders>
              <w:top w:val="single" w:sz="6" w:space="0" w:color="FFFFFF"/>
              <w:left w:val="single" w:sz="6" w:space="0" w:color="FFFFFF"/>
              <w:bottom w:val="single" w:sz="6" w:space="0" w:color="FFFFFF"/>
              <w:right w:val="single" w:sz="6" w:space="0" w:color="FFFFFF"/>
            </w:tcBorders>
            <w:shd w:val="clear" w:color="auto" w:fill="F3F3F3"/>
            <w:tcMar>
              <w:top w:w="40" w:type="dxa"/>
              <w:left w:w="40" w:type="dxa"/>
              <w:bottom w:w="40" w:type="dxa"/>
              <w:right w:w="40" w:type="dxa"/>
            </w:tcMar>
            <w:vAlign w:val="center"/>
          </w:tcPr>
          <w:p w14:paraId="6A197C5D" w14:textId="77777777" w:rsidR="002F7564" w:rsidRDefault="00000000">
            <w:pPr>
              <w:widowControl w:val="0"/>
              <w:rPr>
                <w:rFonts w:ascii="Source Sans Pro" w:eastAsia="Source Sans Pro" w:hAnsi="Source Sans Pro" w:cs="Source Sans Pro"/>
              </w:rPr>
            </w:pPr>
            <w:r>
              <w:rPr>
                <w:rFonts w:ascii="Source Sans Pro" w:eastAsia="Source Sans Pro" w:hAnsi="Source Sans Pro" w:cs="Source Sans Pro"/>
              </w:rPr>
              <w:t>ITU mehanizam, lokalni proračun</w:t>
            </w:r>
          </w:p>
        </w:tc>
      </w:tr>
      <w:tr w:rsidR="002F7564" w14:paraId="236E8357" w14:textId="77777777">
        <w:trPr>
          <w:trHeight w:val="406"/>
          <w:jc w:val="center"/>
        </w:trPr>
        <w:tc>
          <w:tcPr>
            <w:tcW w:w="3840" w:type="dxa"/>
            <w:tcBorders>
              <w:top w:val="single" w:sz="6" w:space="0" w:color="FFFFFF"/>
              <w:left w:val="single" w:sz="6" w:space="0" w:color="FFFFFF"/>
              <w:bottom w:val="single" w:sz="6" w:space="0" w:color="FFFFFF"/>
              <w:right w:val="single" w:sz="6" w:space="0" w:color="FFFFFF"/>
            </w:tcBorders>
            <w:shd w:val="clear" w:color="auto" w:fill="FFFFFF"/>
            <w:tcMar>
              <w:top w:w="40" w:type="dxa"/>
              <w:left w:w="40" w:type="dxa"/>
              <w:bottom w:w="40" w:type="dxa"/>
              <w:right w:w="40" w:type="dxa"/>
            </w:tcMar>
            <w:vAlign w:val="center"/>
          </w:tcPr>
          <w:p w14:paraId="139146C7" w14:textId="77777777" w:rsidR="002F7564" w:rsidRDefault="00000000">
            <w:pPr>
              <w:widowControl w:val="0"/>
              <w:rPr>
                <w:rFonts w:ascii="Source Sans Pro" w:eastAsia="Source Sans Pro" w:hAnsi="Source Sans Pro" w:cs="Source Sans Pro"/>
                <w:i/>
                <w:sz w:val="20"/>
                <w:szCs w:val="20"/>
              </w:rPr>
            </w:pPr>
            <w:r>
              <w:rPr>
                <w:rFonts w:ascii="Source Sans Pro" w:eastAsia="Source Sans Pro" w:hAnsi="Source Sans Pro" w:cs="Source Sans Pro"/>
                <w:i/>
                <w:sz w:val="20"/>
                <w:szCs w:val="20"/>
              </w:rPr>
              <w:t>Izvor: izrada autora</w:t>
            </w:r>
          </w:p>
        </w:tc>
        <w:tc>
          <w:tcPr>
            <w:tcW w:w="5655" w:type="dxa"/>
            <w:tcBorders>
              <w:top w:val="single" w:sz="6" w:space="0" w:color="FFFFFF"/>
              <w:left w:val="single" w:sz="6" w:space="0" w:color="FFFFFF"/>
              <w:bottom w:val="single" w:sz="6" w:space="0" w:color="FFFFFF"/>
              <w:right w:val="single" w:sz="6" w:space="0" w:color="FFFFFF"/>
            </w:tcBorders>
            <w:shd w:val="clear" w:color="auto" w:fill="FFFFFF"/>
            <w:tcMar>
              <w:top w:w="40" w:type="dxa"/>
              <w:left w:w="40" w:type="dxa"/>
              <w:bottom w:w="40" w:type="dxa"/>
              <w:right w:w="40" w:type="dxa"/>
            </w:tcMar>
            <w:vAlign w:val="center"/>
          </w:tcPr>
          <w:p w14:paraId="4755035B" w14:textId="77777777" w:rsidR="002F7564" w:rsidRDefault="002F7564">
            <w:pPr>
              <w:widowControl w:val="0"/>
              <w:rPr>
                <w:rFonts w:ascii="Source Sans Pro" w:eastAsia="Source Sans Pro" w:hAnsi="Source Sans Pro" w:cs="Source Sans Pro"/>
                <w:sz w:val="20"/>
                <w:szCs w:val="20"/>
              </w:rPr>
            </w:pPr>
          </w:p>
        </w:tc>
      </w:tr>
    </w:tbl>
    <w:p w14:paraId="61B16CCE" w14:textId="77777777" w:rsidR="002F7564" w:rsidRDefault="002F7564">
      <w:pPr>
        <w:rPr>
          <w:rFonts w:ascii="Source Sans Pro" w:eastAsia="Source Sans Pro" w:hAnsi="Source Sans Pro" w:cs="Source Sans Pro"/>
          <w:sz w:val="18"/>
          <w:szCs w:val="18"/>
        </w:rPr>
      </w:pPr>
    </w:p>
    <w:p w14:paraId="6EA8109F" w14:textId="77777777" w:rsidR="002F7564" w:rsidRDefault="002F7564">
      <w:pPr>
        <w:rPr>
          <w:rFonts w:ascii="Source Sans Pro" w:eastAsia="Source Sans Pro" w:hAnsi="Source Sans Pro" w:cs="Source Sans Pro"/>
          <w:sz w:val="18"/>
          <w:szCs w:val="18"/>
        </w:rPr>
      </w:pPr>
    </w:p>
    <w:p w14:paraId="40929248" w14:textId="77777777" w:rsidR="002F7564" w:rsidRDefault="002F7564">
      <w:pPr>
        <w:rPr>
          <w:rFonts w:ascii="Source Sans Pro" w:eastAsia="Source Sans Pro" w:hAnsi="Source Sans Pro" w:cs="Source Sans Pro"/>
          <w:sz w:val="18"/>
          <w:szCs w:val="18"/>
        </w:rPr>
      </w:pPr>
    </w:p>
    <w:p w14:paraId="5202AAFF" w14:textId="77777777" w:rsidR="002F7564" w:rsidRDefault="002F7564">
      <w:pPr>
        <w:rPr>
          <w:rFonts w:ascii="Source Sans Pro" w:eastAsia="Source Sans Pro" w:hAnsi="Source Sans Pro" w:cs="Source Sans Pro"/>
          <w:sz w:val="18"/>
          <w:szCs w:val="18"/>
        </w:rPr>
      </w:pPr>
    </w:p>
    <w:p w14:paraId="4B66E67B" w14:textId="77777777" w:rsidR="002F7564" w:rsidRDefault="002F7564">
      <w:pPr>
        <w:rPr>
          <w:rFonts w:ascii="Source Sans Pro" w:eastAsia="Source Sans Pro" w:hAnsi="Source Sans Pro" w:cs="Source Sans Pro"/>
          <w:sz w:val="18"/>
          <w:szCs w:val="18"/>
        </w:rPr>
        <w:sectPr w:rsidR="002F7564">
          <w:pgSz w:w="11909" w:h="16834"/>
          <w:pgMar w:top="1440" w:right="1440" w:bottom="1440" w:left="1440" w:header="720" w:footer="720" w:gutter="0"/>
          <w:cols w:space="720"/>
        </w:sectPr>
      </w:pPr>
    </w:p>
    <w:p w14:paraId="45A4E176" w14:textId="31C55DF1" w:rsidR="002F7564" w:rsidRDefault="00000000">
      <w:pPr>
        <w:rPr>
          <w:rFonts w:ascii="Source Sans Pro" w:eastAsia="Source Sans Pro" w:hAnsi="Source Sans Pro" w:cs="Source Sans Pro"/>
          <w:sz w:val="20"/>
          <w:szCs w:val="20"/>
        </w:rPr>
      </w:pPr>
      <w:r>
        <w:rPr>
          <w:rFonts w:ascii="Source Sans Pro" w:eastAsia="Source Sans Pro" w:hAnsi="Source Sans Pro" w:cs="Source Sans Pro"/>
          <w:sz w:val="20"/>
          <w:szCs w:val="20"/>
        </w:rPr>
        <w:lastRenderedPageBreak/>
        <w:t>Tablica 7 Gantogram provedbe strateških projekta</w:t>
      </w:r>
    </w:p>
    <w:tbl>
      <w:tblPr>
        <w:tblStyle w:val="af7"/>
        <w:tblW w:w="1395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661"/>
        <w:gridCol w:w="5523"/>
        <w:gridCol w:w="1110"/>
        <w:gridCol w:w="1110"/>
        <w:gridCol w:w="1110"/>
        <w:gridCol w:w="1110"/>
        <w:gridCol w:w="1110"/>
        <w:gridCol w:w="1110"/>
        <w:gridCol w:w="1110"/>
      </w:tblGrid>
      <w:tr w:rsidR="002F7564" w14:paraId="321F7F9A" w14:textId="77777777">
        <w:tc>
          <w:tcPr>
            <w:tcW w:w="660" w:type="dxa"/>
            <w:shd w:val="clear" w:color="auto" w:fill="096EB3"/>
            <w:tcMar>
              <w:top w:w="100" w:type="dxa"/>
              <w:left w:w="100" w:type="dxa"/>
              <w:bottom w:w="100" w:type="dxa"/>
              <w:right w:w="100" w:type="dxa"/>
            </w:tcMar>
          </w:tcPr>
          <w:p w14:paraId="616A5178"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r.br.</w:t>
            </w:r>
          </w:p>
        </w:tc>
        <w:tc>
          <w:tcPr>
            <w:tcW w:w="5520" w:type="dxa"/>
            <w:shd w:val="clear" w:color="auto" w:fill="096EB3"/>
            <w:tcMar>
              <w:top w:w="100" w:type="dxa"/>
              <w:left w:w="100" w:type="dxa"/>
              <w:bottom w:w="100" w:type="dxa"/>
              <w:right w:w="100" w:type="dxa"/>
            </w:tcMar>
          </w:tcPr>
          <w:p w14:paraId="46C44E1F"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Strateški projekt</w:t>
            </w:r>
          </w:p>
        </w:tc>
        <w:tc>
          <w:tcPr>
            <w:tcW w:w="1110" w:type="dxa"/>
            <w:shd w:val="clear" w:color="auto" w:fill="096EB3"/>
            <w:tcMar>
              <w:top w:w="100" w:type="dxa"/>
              <w:left w:w="100" w:type="dxa"/>
              <w:bottom w:w="100" w:type="dxa"/>
              <w:right w:w="100" w:type="dxa"/>
            </w:tcMar>
          </w:tcPr>
          <w:p w14:paraId="73F5D9D2"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2021.</w:t>
            </w:r>
          </w:p>
        </w:tc>
        <w:tc>
          <w:tcPr>
            <w:tcW w:w="1110" w:type="dxa"/>
            <w:shd w:val="clear" w:color="auto" w:fill="096EB3"/>
            <w:tcMar>
              <w:top w:w="100" w:type="dxa"/>
              <w:left w:w="100" w:type="dxa"/>
              <w:bottom w:w="100" w:type="dxa"/>
              <w:right w:w="100" w:type="dxa"/>
            </w:tcMar>
          </w:tcPr>
          <w:p w14:paraId="39B22FF8"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2022.</w:t>
            </w:r>
          </w:p>
        </w:tc>
        <w:tc>
          <w:tcPr>
            <w:tcW w:w="1110" w:type="dxa"/>
            <w:shd w:val="clear" w:color="auto" w:fill="096EB3"/>
            <w:tcMar>
              <w:top w:w="100" w:type="dxa"/>
              <w:left w:w="100" w:type="dxa"/>
              <w:bottom w:w="100" w:type="dxa"/>
              <w:right w:w="100" w:type="dxa"/>
            </w:tcMar>
          </w:tcPr>
          <w:p w14:paraId="03E71F7B"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2023.</w:t>
            </w:r>
          </w:p>
        </w:tc>
        <w:tc>
          <w:tcPr>
            <w:tcW w:w="1110" w:type="dxa"/>
            <w:shd w:val="clear" w:color="auto" w:fill="096EB3"/>
            <w:tcMar>
              <w:top w:w="100" w:type="dxa"/>
              <w:left w:w="100" w:type="dxa"/>
              <w:bottom w:w="100" w:type="dxa"/>
              <w:right w:w="100" w:type="dxa"/>
            </w:tcMar>
          </w:tcPr>
          <w:p w14:paraId="54AF51C1"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2024.</w:t>
            </w:r>
          </w:p>
        </w:tc>
        <w:tc>
          <w:tcPr>
            <w:tcW w:w="1110" w:type="dxa"/>
            <w:shd w:val="clear" w:color="auto" w:fill="096EB3"/>
            <w:tcMar>
              <w:top w:w="100" w:type="dxa"/>
              <w:left w:w="100" w:type="dxa"/>
              <w:bottom w:w="100" w:type="dxa"/>
              <w:right w:w="100" w:type="dxa"/>
            </w:tcMar>
          </w:tcPr>
          <w:p w14:paraId="64E0290F"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2025.</w:t>
            </w:r>
          </w:p>
        </w:tc>
        <w:tc>
          <w:tcPr>
            <w:tcW w:w="1110" w:type="dxa"/>
            <w:shd w:val="clear" w:color="auto" w:fill="096EB3"/>
            <w:tcMar>
              <w:top w:w="100" w:type="dxa"/>
              <w:left w:w="100" w:type="dxa"/>
              <w:bottom w:w="100" w:type="dxa"/>
              <w:right w:w="100" w:type="dxa"/>
            </w:tcMar>
          </w:tcPr>
          <w:p w14:paraId="06941D63"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2026.</w:t>
            </w:r>
          </w:p>
        </w:tc>
        <w:tc>
          <w:tcPr>
            <w:tcW w:w="1110" w:type="dxa"/>
            <w:shd w:val="clear" w:color="auto" w:fill="096EB3"/>
            <w:tcMar>
              <w:top w:w="100" w:type="dxa"/>
              <w:left w:w="100" w:type="dxa"/>
              <w:bottom w:w="100" w:type="dxa"/>
              <w:right w:w="100" w:type="dxa"/>
            </w:tcMar>
          </w:tcPr>
          <w:p w14:paraId="7B3818E2"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2027.</w:t>
            </w:r>
          </w:p>
        </w:tc>
      </w:tr>
      <w:tr w:rsidR="002F7564" w14:paraId="17ECFBD1" w14:textId="77777777">
        <w:tc>
          <w:tcPr>
            <w:tcW w:w="660" w:type="dxa"/>
            <w:shd w:val="clear" w:color="auto" w:fill="096EB3"/>
            <w:tcMar>
              <w:top w:w="100" w:type="dxa"/>
              <w:left w:w="100" w:type="dxa"/>
              <w:bottom w:w="100" w:type="dxa"/>
              <w:right w:w="100" w:type="dxa"/>
            </w:tcMar>
          </w:tcPr>
          <w:p w14:paraId="7D6F0731"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1.</w:t>
            </w:r>
          </w:p>
        </w:tc>
        <w:tc>
          <w:tcPr>
            <w:tcW w:w="5520" w:type="dxa"/>
            <w:shd w:val="clear" w:color="auto" w:fill="096EB3"/>
            <w:tcMar>
              <w:top w:w="100" w:type="dxa"/>
              <w:left w:w="100" w:type="dxa"/>
              <w:bottom w:w="100" w:type="dxa"/>
              <w:right w:w="100" w:type="dxa"/>
            </w:tcMar>
          </w:tcPr>
          <w:p w14:paraId="2773D13F"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Zelena tržnica s terminalom</w:t>
            </w:r>
          </w:p>
        </w:tc>
        <w:tc>
          <w:tcPr>
            <w:tcW w:w="1110" w:type="dxa"/>
            <w:shd w:val="clear" w:color="auto" w:fill="EFEFEF"/>
            <w:tcMar>
              <w:top w:w="100" w:type="dxa"/>
              <w:left w:w="100" w:type="dxa"/>
              <w:bottom w:w="100" w:type="dxa"/>
              <w:right w:w="100" w:type="dxa"/>
            </w:tcMar>
          </w:tcPr>
          <w:p w14:paraId="212F2DD6"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29FE3D51"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19830659"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52974778"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109D96D8"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08B0A48E"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7BA5850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225AF9FF" w14:textId="77777777">
        <w:tc>
          <w:tcPr>
            <w:tcW w:w="660" w:type="dxa"/>
            <w:shd w:val="clear" w:color="auto" w:fill="096EB3"/>
            <w:tcMar>
              <w:top w:w="100" w:type="dxa"/>
              <w:left w:w="100" w:type="dxa"/>
              <w:bottom w:w="100" w:type="dxa"/>
              <w:right w:w="100" w:type="dxa"/>
            </w:tcMar>
          </w:tcPr>
          <w:p w14:paraId="79854316"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w:t>
            </w:r>
          </w:p>
        </w:tc>
        <w:tc>
          <w:tcPr>
            <w:tcW w:w="5520" w:type="dxa"/>
            <w:shd w:val="clear" w:color="auto" w:fill="096EB3"/>
            <w:tcMar>
              <w:top w:w="100" w:type="dxa"/>
              <w:left w:w="100" w:type="dxa"/>
              <w:bottom w:w="100" w:type="dxa"/>
              <w:right w:w="100" w:type="dxa"/>
            </w:tcMar>
          </w:tcPr>
          <w:p w14:paraId="086B8BBF"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Ekološki prihvatljiv javni prijevoz</w:t>
            </w:r>
          </w:p>
        </w:tc>
        <w:tc>
          <w:tcPr>
            <w:tcW w:w="1110" w:type="dxa"/>
            <w:shd w:val="clear" w:color="auto" w:fill="EFEFEF"/>
            <w:tcMar>
              <w:top w:w="100" w:type="dxa"/>
              <w:left w:w="100" w:type="dxa"/>
              <w:bottom w:w="100" w:type="dxa"/>
              <w:right w:w="100" w:type="dxa"/>
            </w:tcMar>
          </w:tcPr>
          <w:p w14:paraId="20DCCF78"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520FE118"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463B3FE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6A0EF66D"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5B10A350"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28562D99"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0D2011E3"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73C56790" w14:textId="77777777">
        <w:tc>
          <w:tcPr>
            <w:tcW w:w="660" w:type="dxa"/>
            <w:shd w:val="clear" w:color="auto" w:fill="096EB3"/>
            <w:tcMar>
              <w:top w:w="100" w:type="dxa"/>
              <w:left w:w="100" w:type="dxa"/>
              <w:bottom w:w="100" w:type="dxa"/>
              <w:right w:w="100" w:type="dxa"/>
            </w:tcMar>
          </w:tcPr>
          <w:p w14:paraId="17357EE3"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3.</w:t>
            </w:r>
          </w:p>
        </w:tc>
        <w:tc>
          <w:tcPr>
            <w:tcW w:w="5520" w:type="dxa"/>
            <w:shd w:val="clear" w:color="auto" w:fill="096EB3"/>
            <w:tcMar>
              <w:top w:w="100" w:type="dxa"/>
              <w:left w:w="100" w:type="dxa"/>
              <w:bottom w:w="100" w:type="dxa"/>
              <w:right w:w="100" w:type="dxa"/>
            </w:tcMar>
          </w:tcPr>
          <w:p w14:paraId="7A51765F"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Kultura - kino i knjižnica</w:t>
            </w:r>
          </w:p>
        </w:tc>
        <w:tc>
          <w:tcPr>
            <w:tcW w:w="1110" w:type="dxa"/>
            <w:shd w:val="clear" w:color="auto" w:fill="EFEFEF"/>
            <w:tcMar>
              <w:top w:w="100" w:type="dxa"/>
              <w:left w:w="100" w:type="dxa"/>
              <w:bottom w:w="100" w:type="dxa"/>
              <w:right w:w="100" w:type="dxa"/>
            </w:tcMar>
          </w:tcPr>
          <w:p w14:paraId="22370549"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33D29537"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30B334B3"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5F98912"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310C73C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45C22C8D"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4533EAD9"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0DFF145C" w14:textId="77777777">
        <w:tc>
          <w:tcPr>
            <w:tcW w:w="660" w:type="dxa"/>
            <w:shd w:val="clear" w:color="auto" w:fill="096EB3"/>
            <w:tcMar>
              <w:top w:w="100" w:type="dxa"/>
              <w:left w:w="100" w:type="dxa"/>
              <w:bottom w:w="100" w:type="dxa"/>
              <w:right w:w="100" w:type="dxa"/>
            </w:tcMar>
          </w:tcPr>
          <w:p w14:paraId="7722EC41"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4.</w:t>
            </w:r>
          </w:p>
        </w:tc>
        <w:tc>
          <w:tcPr>
            <w:tcW w:w="5520" w:type="dxa"/>
            <w:shd w:val="clear" w:color="auto" w:fill="096EB3"/>
            <w:tcMar>
              <w:top w:w="100" w:type="dxa"/>
              <w:left w:w="100" w:type="dxa"/>
              <w:bottom w:w="100" w:type="dxa"/>
              <w:right w:w="100" w:type="dxa"/>
            </w:tcMar>
          </w:tcPr>
          <w:p w14:paraId="11CE7E04"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Biciklističke staze - Kunovec</w:t>
            </w:r>
          </w:p>
        </w:tc>
        <w:tc>
          <w:tcPr>
            <w:tcW w:w="1110" w:type="dxa"/>
            <w:shd w:val="clear" w:color="auto" w:fill="EFEFEF"/>
            <w:tcMar>
              <w:top w:w="100" w:type="dxa"/>
              <w:left w:w="100" w:type="dxa"/>
              <w:bottom w:w="100" w:type="dxa"/>
              <w:right w:w="100" w:type="dxa"/>
            </w:tcMar>
          </w:tcPr>
          <w:p w14:paraId="39C5116E"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583A88B8"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589BD9ED"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6E044631"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3505B1A0"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367C094A"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4F7D1E4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79F015C8" w14:textId="77777777">
        <w:tc>
          <w:tcPr>
            <w:tcW w:w="660" w:type="dxa"/>
            <w:shd w:val="clear" w:color="auto" w:fill="096EB3"/>
            <w:tcMar>
              <w:top w:w="100" w:type="dxa"/>
              <w:left w:w="100" w:type="dxa"/>
              <w:bottom w:w="100" w:type="dxa"/>
              <w:right w:w="100" w:type="dxa"/>
            </w:tcMar>
          </w:tcPr>
          <w:p w14:paraId="0DBCD85B"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5.</w:t>
            </w:r>
          </w:p>
        </w:tc>
        <w:tc>
          <w:tcPr>
            <w:tcW w:w="5520" w:type="dxa"/>
            <w:shd w:val="clear" w:color="auto" w:fill="096EB3"/>
            <w:tcMar>
              <w:top w:w="100" w:type="dxa"/>
              <w:left w:w="100" w:type="dxa"/>
              <w:bottom w:w="100" w:type="dxa"/>
              <w:right w:w="100" w:type="dxa"/>
            </w:tcMar>
          </w:tcPr>
          <w:p w14:paraId="20C4C0C0"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Biciklističke staze - Pavla Kvakana</w:t>
            </w:r>
          </w:p>
        </w:tc>
        <w:tc>
          <w:tcPr>
            <w:tcW w:w="1110" w:type="dxa"/>
            <w:shd w:val="clear" w:color="auto" w:fill="EFEFEF"/>
            <w:tcMar>
              <w:top w:w="100" w:type="dxa"/>
              <w:left w:w="100" w:type="dxa"/>
              <w:bottom w:w="100" w:type="dxa"/>
              <w:right w:w="100" w:type="dxa"/>
            </w:tcMar>
          </w:tcPr>
          <w:p w14:paraId="3723473D"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5F70BF8E"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0371A6F9"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3A1F3FA7"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5BD9AF0D"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491D673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080D1BCC"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3730D3EC" w14:textId="77777777">
        <w:tc>
          <w:tcPr>
            <w:tcW w:w="660" w:type="dxa"/>
            <w:shd w:val="clear" w:color="auto" w:fill="096EB3"/>
            <w:tcMar>
              <w:top w:w="100" w:type="dxa"/>
              <w:left w:w="100" w:type="dxa"/>
              <w:bottom w:w="100" w:type="dxa"/>
              <w:right w:w="100" w:type="dxa"/>
            </w:tcMar>
          </w:tcPr>
          <w:p w14:paraId="0A808E19"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6.</w:t>
            </w:r>
          </w:p>
        </w:tc>
        <w:tc>
          <w:tcPr>
            <w:tcW w:w="5520" w:type="dxa"/>
            <w:shd w:val="clear" w:color="auto" w:fill="096EB3"/>
            <w:tcMar>
              <w:top w:w="100" w:type="dxa"/>
              <w:left w:w="100" w:type="dxa"/>
              <w:bottom w:w="100" w:type="dxa"/>
              <w:right w:w="100" w:type="dxa"/>
            </w:tcMar>
          </w:tcPr>
          <w:p w14:paraId="00D8130D"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Biciklističke staze - Ul. Braće Radić - faza III.</w:t>
            </w:r>
          </w:p>
        </w:tc>
        <w:tc>
          <w:tcPr>
            <w:tcW w:w="1110" w:type="dxa"/>
            <w:shd w:val="clear" w:color="auto" w:fill="EFEFEF"/>
            <w:tcMar>
              <w:top w:w="100" w:type="dxa"/>
              <w:left w:w="100" w:type="dxa"/>
              <w:bottom w:w="100" w:type="dxa"/>
              <w:right w:w="100" w:type="dxa"/>
            </w:tcMar>
          </w:tcPr>
          <w:p w14:paraId="7C5F9583"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79F7C0D8"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30AE066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1F382823"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48687937"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AFF1D27"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580E49C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2E1F344B" w14:textId="77777777">
        <w:tc>
          <w:tcPr>
            <w:tcW w:w="660" w:type="dxa"/>
            <w:shd w:val="clear" w:color="auto" w:fill="096EB3"/>
            <w:tcMar>
              <w:top w:w="100" w:type="dxa"/>
              <w:left w:w="100" w:type="dxa"/>
              <w:bottom w:w="100" w:type="dxa"/>
              <w:right w:w="100" w:type="dxa"/>
            </w:tcMar>
          </w:tcPr>
          <w:p w14:paraId="673ED7E7"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7.</w:t>
            </w:r>
          </w:p>
        </w:tc>
        <w:tc>
          <w:tcPr>
            <w:tcW w:w="5520" w:type="dxa"/>
            <w:shd w:val="clear" w:color="auto" w:fill="096EB3"/>
            <w:tcMar>
              <w:top w:w="100" w:type="dxa"/>
              <w:left w:w="100" w:type="dxa"/>
              <w:bottom w:w="100" w:type="dxa"/>
              <w:right w:w="100" w:type="dxa"/>
            </w:tcMar>
          </w:tcPr>
          <w:p w14:paraId="70EDAA95"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Biciklističke staze - Glogovac 1</w:t>
            </w:r>
          </w:p>
        </w:tc>
        <w:tc>
          <w:tcPr>
            <w:tcW w:w="1110" w:type="dxa"/>
            <w:shd w:val="clear" w:color="auto" w:fill="EFEFEF"/>
            <w:tcMar>
              <w:top w:w="100" w:type="dxa"/>
              <w:left w:w="100" w:type="dxa"/>
              <w:bottom w:w="100" w:type="dxa"/>
              <w:right w:w="100" w:type="dxa"/>
            </w:tcMar>
          </w:tcPr>
          <w:p w14:paraId="68B6050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29EB8A6D"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4C2A49DE"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0D60B46D"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51F666DB"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74D4AE4E"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1E2FE2DF"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071C51B1" w14:textId="77777777">
        <w:tc>
          <w:tcPr>
            <w:tcW w:w="660" w:type="dxa"/>
            <w:shd w:val="clear" w:color="auto" w:fill="096EB3"/>
            <w:tcMar>
              <w:top w:w="100" w:type="dxa"/>
              <w:left w:w="100" w:type="dxa"/>
              <w:bottom w:w="100" w:type="dxa"/>
              <w:right w:w="100" w:type="dxa"/>
            </w:tcMar>
          </w:tcPr>
          <w:p w14:paraId="7E25EC52"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8.</w:t>
            </w:r>
          </w:p>
        </w:tc>
        <w:tc>
          <w:tcPr>
            <w:tcW w:w="5520" w:type="dxa"/>
            <w:shd w:val="clear" w:color="auto" w:fill="096EB3"/>
            <w:tcMar>
              <w:top w:w="100" w:type="dxa"/>
              <w:left w:w="100" w:type="dxa"/>
              <w:bottom w:w="100" w:type="dxa"/>
              <w:right w:w="100" w:type="dxa"/>
            </w:tcMar>
          </w:tcPr>
          <w:p w14:paraId="0FE80625"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Biciklističke staze - Glogovac 2</w:t>
            </w:r>
          </w:p>
        </w:tc>
        <w:tc>
          <w:tcPr>
            <w:tcW w:w="1110" w:type="dxa"/>
            <w:shd w:val="clear" w:color="auto" w:fill="EFEFEF"/>
            <w:tcMar>
              <w:top w:w="100" w:type="dxa"/>
              <w:left w:w="100" w:type="dxa"/>
              <w:bottom w:w="100" w:type="dxa"/>
              <w:right w:w="100" w:type="dxa"/>
            </w:tcMar>
          </w:tcPr>
          <w:p w14:paraId="534072C3"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A7F7AF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379CD3DC"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16786402"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23A16656"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01DFC14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0006273F"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668C4BCB" w14:textId="77777777">
        <w:tc>
          <w:tcPr>
            <w:tcW w:w="660" w:type="dxa"/>
            <w:shd w:val="clear" w:color="auto" w:fill="096EB3"/>
            <w:tcMar>
              <w:top w:w="100" w:type="dxa"/>
              <w:left w:w="100" w:type="dxa"/>
              <w:bottom w:w="100" w:type="dxa"/>
              <w:right w:w="100" w:type="dxa"/>
            </w:tcMar>
          </w:tcPr>
          <w:p w14:paraId="6476A771"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9.</w:t>
            </w:r>
          </w:p>
        </w:tc>
        <w:tc>
          <w:tcPr>
            <w:tcW w:w="5520" w:type="dxa"/>
            <w:shd w:val="clear" w:color="auto" w:fill="096EB3"/>
            <w:tcMar>
              <w:top w:w="100" w:type="dxa"/>
              <w:left w:w="100" w:type="dxa"/>
              <w:bottom w:w="100" w:type="dxa"/>
              <w:right w:w="100" w:type="dxa"/>
            </w:tcMar>
          </w:tcPr>
          <w:p w14:paraId="37029978"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Biciklističke staze - Bregi/Glogovac</w:t>
            </w:r>
          </w:p>
        </w:tc>
        <w:tc>
          <w:tcPr>
            <w:tcW w:w="1110" w:type="dxa"/>
            <w:shd w:val="clear" w:color="auto" w:fill="EFEFEF"/>
            <w:tcMar>
              <w:top w:w="100" w:type="dxa"/>
              <w:left w:w="100" w:type="dxa"/>
              <w:bottom w:w="100" w:type="dxa"/>
              <w:right w:w="100" w:type="dxa"/>
            </w:tcMar>
          </w:tcPr>
          <w:p w14:paraId="79C652AD"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485EBEFE"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75D1F1C2"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1234975D"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069F963E"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335378A1"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2447837E"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72A850D3" w14:textId="77777777">
        <w:tc>
          <w:tcPr>
            <w:tcW w:w="660" w:type="dxa"/>
            <w:shd w:val="clear" w:color="auto" w:fill="096EB3"/>
            <w:tcMar>
              <w:top w:w="100" w:type="dxa"/>
              <w:left w:w="100" w:type="dxa"/>
              <w:bottom w:w="100" w:type="dxa"/>
              <w:right w:w="100" w:type="dxa"/>
            </w:tcMar>
          </w:tcPr>
          <w:p w14:paraId="2F448E7A"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10.</w:t>
            </w:r>
          </w:p>
        </w:tc>
        <w:tc>
          <w:tcPr>
            <w:tcW w:w="5520" w:type="dxa"/>
            <w:shd w:val="clear" w:color="auto" w:fill="096EB3"/>
            <w:tcMar>
              <w:top w:w="100" w:type="dxa"/>
              <w:left w:w="100" w:type="dxa"/>
              <w:bottom w:w="100" w:type="dxa"/>
              <w:right w:w="100" w:type="dxa"/>
            </w:tcMar>
          </w:tcPr>
          <w:p w14:paraId="741AAF17"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Biciklističke staze - Koprivnički Bregi - spoj ulica</w:t>
            </w:r>
          </w:p>
        </w:tc>
        <w:tc>
          <w:tcPr>
            <w:tcW w:w="1110" w:type="dxa"/>
            <w:shd w:val="clear" w:color="auto" w:fill="EFEFEF"/>
            <w:tcMar>
              <w:top w:w="100" w:type="dxa"/>
              <w:left w:w="100" w:type="dxa"/>
              <w:bottom w:w="100" w:type="dxa"/>
              <w:right w:w="100" w:type="dxa"/>
            </w:tcMar>
          </w:tcPr>
          <w:p w14:paraId="3EBBFE37"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4D145D5F"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214ED3BD"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681DC569"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592B3F7C"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B2F58ED"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127376FC"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0F712F8D" w14:textId="77777777">
        <w:tc>
          <w:tcPr>
            <w:tcW w:w="660" w:type="dxa"/>
            <w:shd w:val="clear" w:color="auto" w:fill="096EB3"/>
            <w:tcMar>
              <w:top w:w="100" w:type="dxa"/>
              <w:left w:w="100" w:type="dxa"/>
              <w:bottom w:w="100" w:type="dxa"/>
              <w:right w:w="100" w:type="dxa"/>
            </w:tcMar>
          </w:tcPr>
          <w:p w14:paraId="3E31A018"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11.</w:t>
            </w:r>
          </w:p>
        </w:tc>
        <w:tc>
          <w:tcPr>
            <w:tcW w:w="5520" w:type="dxa"/>
            <w:shd w:val="clear" w:color="auto" w:fill="096EB3"/>
            <w:tcMar>
              <w:top w:w="100" w:type="dxa"/>
              <w:left w:w="100" w:type="dxa"/>
              <w:bottom w:w="100" w:type="dxa"/>
              <w:right w:w="100" w:type="dxa"/>
            </w:tcMar>
          </w:tcPr>
          <w:p w14:paraId="10D792DC"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Biciklističke staze - Sigetec I. faza</w:t>
            </w:r>
          </w:p>
        </w:tc>
        <w:tc>
          <w:tcPr>
            <w:tcW w:w="1110" w:type="dxa"/>
            <w:shd w:val="clear" w:color="auto" w:fill="EFEFEF"/>
            <w:tcMar>
              <w:top w:w="100" w:type="dxa"/>
              <w:left w:w="100" w:type="dxa"/>
              <w:bottom w:w="100" w:type="dxa"/>
              <w:right w:w="100" w:type="dxa"/>
            </w:tcMar>
          </w:tcPr>
          <w:p w14:paraId="3929C91B"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1314D9B8"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21F1113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382DDBEC"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525AB30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7C9288D3"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1C9807D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10DD45A6" w14:textId="77777777">
        <w:tc>
          <w:tcPr>
            <w:tcW w:w="660" w:type="dxa"/>
            <w:shd w:val="clear" w:color="auto" w:fill="096EB3"/>
            <w:tcMar>
              <w:top w:w="100" w:type="dxa"/>
              <w:left w:w="100" w:type="dxa"/>
              <w:bottom w:w="100" w:type="dxa"/>
              <w:right w:w="100" w:type="dxa"/>
            </w:tcMar>
          </w:tcPr>
          <w:p w14:paraId="0439FE68"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12.</w:t>
            </w:r>
          </w:p>
        </w:tc>
        <w:tc>
          <w:tcPr>
            <w:tcW w:w="5520" w:type="dxa"/>
            <w:shd w:val="clear" w:color="auto" w:fill="096EB3"/>
            <w:tcMar>
              <w:top w:w="100" w:type="dxa"/>
              <w:left w:w="100" w:type="dxa"/>
              <w:bottom w:w="100" w:type="dxa"/>
              <w:right w:w="100" w:type="dxa"/>
            </w:tcMar>
          </w:tcPr>
          <w:p w14:paraId="3FE18884"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Biciklističke staze - Štaglinec-Dragnovec</w:t>
            </w:r>
          </w:p>
        </w:tc>
        <w:tc>
          <w:tcPr>
            <w:tcW w:w="1110" w:type="dxa"/>
            <w:shd w:val="clear" w:color="auto" w:fill="EFEFEF"/>
            <w:tcMar>
              <w:top w:w="100" w:type="dxa"/>
              <w:left w:w="100" w:type="dxa"/>
              <w:bottom w:w="100" w:type="dxa"/>
              <w:right w:w="100" w:type="dxa"/>
            </w:tcMar>
          </w:tcPr>
          <w:p w14:paraId="4A3EF44A"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C2E8788"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501265A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CD21A8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5350474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49CAEBB8"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08C1E0E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0B7DF56F" w14:textId="77777777">
        <w:tc>
          <w:tcPr>
            <w:tcW w:w="660" w:type="dxa"/>
            <w:shd w:val="clear" w:color="auto" w:fill="096EB3"/>
            <w:tcMar>
              <w:top w:w="100" w:type="dxa"/>
              <w:left w:w="100" w:type="dxa"/>
              <w:bottom w:w="100" w:type="dxa"/>
              <w:right w:w="100" w:type="dxa"/>
            </w:tcMar>
          </w:tcPr>
          <w:p w14:paraId="13C5BB56"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13.</w:t>
            </w:r>
          </w:p>
        </w:tc>
        <w:tc>
          <w:tcPr>
            <w:tcW w:w="5520" w:type="dxa"/>
            <w:shd w:val="clear" w:color="auto" w:fill="096EB3"/>
            <w:tcMar>
              <w:top w:w="100" w:type="dxa"/>
              <w:left w:w="100" w:type="dxa"/>
              <w:bottom w:w="100" w:type="dxa"/>
              <w:right w:w="100" w:type="dxa"/>
            </w:tcMar>
          </w:tcPr>
          <w:p w14:paraId="23B09767"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Biciklističke staze - Torčec</w:t>
            </w:r>
          </w:p>
        </w:tc>
        <w:tc>
          <w:tcPr>
            <w:tcW w:w="1110" w:type="dxa"/>
            <w:shd w:val="clear" w:color="auto" w:fill="EFEFEF"/>
            <w:tcMar>
              <w:top w:w="100" w:type="dxa"/>
              <w:left w:w="100" w:type="dxa"/>
              <w:bottom w:w="100" w:type="dxa"/>
              <w:right w:w="100" w:type="dxa"/>
            </w:tcMar>
          </w:tcPr>
          <w:p w14:paraId="48AD16FF"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3358008A"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5219880C"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38850D00"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3508E4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246EBBAB"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4722575A"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39662845" w14:textId="77777777">
        <w:tc>
          <w:tcPr>
            <w:tcW w:w="660" w:type="dxa"/>
            <w:shd w:val="clear" w:color="auto" w:fill="096EB3"/>
            <w:tcMar>
              <w:top w:w="100" w:type="dxa"/>
              <w:left w:w="100" w:type="dxa"/>
              <w:bottom w:w="100" w:type="dxa"/>
              <w:right w:w="100" w:type="dxa"/>
            </w:tcMar>
          </w:tcPr>
          <w:p w14:paraId="7A3D5FB7"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14.</w:t>
            </w:r>
          </w:p>
        </w:tc>
        <w:tc>
          <w:tcPr>
            <w:tcW w:w="5520" w:type="dxa"/>
            <w:shd w:val="clear" w:color="auto" w:fill="096EB3"/>
            <w:tcMar>
              <w:top w:w="100" w:type="dxa"/>
              <w:left w:w="100" w:type="dxa"/>
              <w:bottom w:w="100" w:type="dxa"/>
              <w:right w:w="100" w:type="dxa"/>
            </w:tcMar>
          </w:tcPr>
          <w:p w14:paraId="1F8DD8C2"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Biciklističke staze - centar/Dravski most</w:t>
            </w:r>
          </w:p>
        </w:tc>
        <w:tc>
          <w:tcPr>
            <w:tcW w:w="1110" w:type="dxa"/>
            <w:shd w:val="clear" w:color="auto" w:fill="EFEFEF"/>
            <w:tcMar>
              <w:top w:w="100" w:type="dxa"/>
              <w:left w:w="100" w:type="dxa"/>
              <w:bottom w:w="100" w:type="dxa"/>
              <w:right w:w="100" w:type="dxa"/>
            </w:tcMar>
          </w:tcPr>
          <w:p w14:paraId="1FC145E6"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54A33D9A"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157F2DDD"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4B0F46DC"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241E3C0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36F133FB"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5E63E572"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58382BF8" w14:textId="77777777">
        <w:tc>
          <w:tcPr>
            <w:tcW w:w="660" w:type="dxa"/>
            <w:shd w:val="clear" w:color="auto" w:fill="096EB3"/>
            <w:tcMar>
              <w:top w:w="100" w:type="dxa"/>
              <w:left w:w="100" w:type="dxa"/>
              <w:bottom w:w="100" w:type="dxa"/>
              <w:right w:w="100" w:type="dxa"/>
            </w:tcMar>
          </w:tcPr>
          <w:p w14:paraId="1F23C173"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15.</w:t>
            </w:r>
          </w:p>
        </w:tc>
        <w:tc>
          <w:tcPr>
            <w:tcW w:w="5520" w:type="dxa"/>
            <w:shd w:val="clear" w:color="auto" w:fill="096EB3"/>
            <w:tcMar>
              <w:top w:w="100" w:type="dxa"/>
              <w:left w:w="100" w:type="dxa"/>
              <w:bottom w:w="100" w:type="dxa"/>
              <w:right w:w="100" w:type="dxa"/>
            </w:tcMar>
          </w:tcPr>
          <w:p w14:paraId="39C11F36"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Biciklističke staze - Sokolovac</w:t>
            </w:r>
          </w:p>
        </w:tc>
        <w:tc>
          <w:tcPr>
            <w:tcW w:w="1110" w:type="dxa"/>
            <w:shd w:val="clear" w:color="auto" w:fill="EFEFEF"/>
            <w:tcMar>
              <w:top w:w="100" w:type="dxa"/>
              <w:left w:w="100" w:type="dxa"/>
              <w:bottom w:w="100" w:type="dxa"/>
              <w:right w:w="100" w:type="dxa"/>
            </w:tcMar>
          </w:tcPr>
          <w:p w14:paraId="40D72A91"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1988CF40"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3083842C"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40724F1F"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7C522882"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76E8F1AB"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18C236E"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62FF7165" w14:textId="77777777">
        <w:tc>
          <w:tcPr>
            <w:tcW w:w="660" w:type="dxa"/>
            <w:shd w:val="clear" w:color="auto" w:fill="096EB3"/>
            <w:tcMar>
              <w:top w:w="100" w:type="dxa"/>
              <w:left w:w="100" w:type="dxa"/>
              <w:bottom w:w="100" w:type="dxa"/>
              <w:right w:w="100" w:type="dxa"/>
            </w:tcMar>
          </w:tcPr>
          <w:p w14:paraId="7DFBB057"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16.</w:t>
            </w:r>
          </w:p>
        </w:tc>
        <w:tc>
          <w:tcPr>
            <w:tcW w:w="5520" w:type="dxa"/>
            <w:shd w:val="clear" w:color="auto" w:fill="096EB3"/>
            <w:tcMar>
              <w:top w:w="100" w:type="dxa"/>
              <w:left w:w="100" w:type="dxa"/>
              <w:bottom w:w="100" w:type="dxa"/>
              <w:right w:w="100" w:type="dxa"/>
            </w:tcMar>
          </w:tcPr>
          <w:p w14:paraId="3BA90559"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Biciklističke staze - M.P. Miškine 1</w:t>
            </w:r>
          </w:p>
        </w:tc>
        <w:tc>
          <w:tcPr>
            <w:tcW w:w="1110" w:type="dxa"/>
            <w:shd w:val="clear" w:color="auto" w:fill="EFEFEF"/>
            <w:tcMar>
              <w:top w:w="100" w:type="dxa"/>
              <w:left w:w="100" w:type="dxa"/>
              <w:bottom w:w="100" w:type="dxa"/>
              <w:right w:w="100" w:type="dxa"/>
            </w:tcMar>
          </w:tcPr>
          <w:p w14:paraId="5E3EF807"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F3F3F3"/>
            <w:tcMar>
              <w:top w:w="100" w:type="dxa"/>
              <w:left w:w="100" w:type="dxa"/>
              <w:bottom w:w="100" w:type="dxa"/>
              <w:right w:w="100" w:type="dxa"/>
            </w:tcMar>
          </w:tcPr>
          <w:p w14:paraId="30BE166F"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F3F3F3"/>
            <w:tcMar>
              <w:top w:w="100" w:type="dxa"/>
              <w:left w:w="100" w:type="dxa"/>
              <w:bottom w:w="100" w:type="dxa"/>
              <w:right w:w="100" w:type="dxa"/>
            </w:tcMar>
          </w:tcPr>
          <w:p w14:paraId="076F7DC3"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5B3868B8"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1E16549B"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59B87827"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14E652B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140C3BF7" w14:textId="77777777">
        <w:tc>
          <w:tcPr>
            <w:tcW w:w="660" w:type="dxa"/>
            <w:shd w:val="clear" w:color="auto" w:fill="096EB3"/>
            <w:tcMar>
              <w:top w:w="100" w:type="dxa"/>
              <w:left w:w="100" w:type="dxa"/>
              <w:bottom w:w="100" w:type="dxa"/>
              <w:right w:w="100" w:type="dxa"/>
            </w:tcMar>
          </w:tcPr>
          <w:p w14:paraId="7CAE1DC2"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17.</w:t>
            </w:r>
          </w:p>
        </w:tc>
        <w:tc>
          <w:tcPr>
            <w:tcW w:w="5520" w:type="dxa"/>
            <w:shd w:val="clear" w:color="auto" w:fill="096EB3"/>
            <w:tcMar>
              <w:top w:w="100" w:type="dxa"/>
              <w:left w:w="100" w:type="dxa"/>
              <w:bottom w:w="100" w:type="dxa"/>
              <w:right w:w="100" w:type="dxa"/>
            </w:tcMar>
          </w:tcPr>
          <w:p w14:paraId="3EB89529" w14:textId="77777777" w:rsidR="002F7564" w:rsidRDefault="00000000">
            <w:pPr>
              <w:widowControl w:val="0"/>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Biciklističke staze - M.P. Miškine 2</w:t>
            </w:r>
          </w:p>
        </w:tc>
        <w:tc>
          <w:tcPr>
            <w:tcW w:w="1110" w:type="dxa"/>
            <w:shd w:val="clear" w:color="auto" w:fill="EFEFEF"/>
            <w:tcMar>
              <w:top w:w="100" w:type="dxa"/>
              <w:left w:w="100" w:type="dxa"/>
              <w:bottom w:w="100" w:type="dxa"/>
              <w:right w:w="100" w:type="dxa"/>
            </w:tcMar>
          </w:tcPr>
          <w:p w14:paraId="4A3F1F22"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F3F3F3"/>
            <w:tcMar>
              <w:top w:w="100" w:type="dxa"/>
              <w:left w:w="100" w:type="dxa"/>
              <w:bottom w:w="100" w:type="dxa"/>
              <w:right w:w="100" w:type="dxa"/>
            </w:tcMar>
          </w:tcPr>
          <w:p w14:paraId="729A4200"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F3F3F3"/>
            <w:tcMar>
              <w:top w:w="100" w:type="dxa"/>
              <w:left w:w="100" w:type="dxa"/>
              <w:bottom w:w="100" w:type="dxa"/>
              <w:right w:w="100" w:type="dxa"/>
            </w:tcMar>
          </w:tcPr>
          <w:p w14:paraId="22E2F45C"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77C538B9"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41E0019"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DF6B8B0"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2D183093"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58A7B985" w14:textId="77777777">
        <w:tc>
          <w:tcPr>
            <w:tcW w:w="660" w:type="dxa"/>
            <w:shd w:val="clear" w:color="auto" w:fill="096EB3"/>
            <w:tcMar>
              <w:top w:w="100" w:type="dxa"/>
              <w:left w:w="100" w:type="dxa"/>
              <w:bottom w:w="100" w:type="dxa"/>
              <w:right w:w="100" w:type="dxa"/>
            </w:tcMar>
          </w:tcPr>
          <w:p w14:paraId="34652DED"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lastRenderedPageBreak/>
              <w:t>18.</w:t>
            </w:r>
          </w:p>
        </w:tc>
        <w:tc>
          <w:tcPr>
            <w:tcW w:w="5520" w:type="dxa"/>
            <w:shd w:val="clear" w:color="auto" w:fill="096EB3"/>
            <w:tcMar>
              <w:top w:w="100" w:type="dxa"/>
              <w:left w:w="100" w:type="dxa"/>
              <w:bottom w:w="100" w:type="dxa"/>
              <w:right w:w="100" w:type="dxa"/>
            </w:tcMar>
          </w:tcPr>
          <w:p w14:paraId="289FA39B" w14:textId="77777777" w:rsidR="002F7564" w:rsidRDefault="00000000">
            <w:pPr>
              <w:widowControl w:val="0"/>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Biciklističke staze - Peteranec</w:t>
            </w:r>
          </w:p>
        </w:tc>
        <w:tc>
          <w:tcPr>
            <w:tcW w:w="1110" w:type="dxa"/>
            <w:shd w:val="clear" w:color="auto" w:fill="EFEFEF"/>
            <w:tcMar>
              <w:top w:w="100" w:type="dxa"/>
              <w:left w:w="100" w:type="dxa"/>
              <w:bottom w:w="100" w:type="dxa"/>
              <w:right w:w="100" w:type="dxa"/>
            </w:tcMar>
          </w:tcPr>
          <w:p w14:paraId="0F54483B"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F3F3F3"/>
            <w:tcMar>
              <w:top w:w="100" w:type="dxa"/>
              <w:left w:w="100" w:type="dxa"/>
              <w:bottom w:w="100" w:type="dxa"/>
              <w:right w:w="100" w:type="dxa"/>
            </w:tcMar>
          </w:tcPr>
          <w:p w14:paraId="2F63A786"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F3F3F3"/>
            <w:tcMar>
              <w:top w:w="100" w:type="dxa"/>
              <w:left w:w="100" w:type="dxa"/>
              <w:bottom w:w="100" w:type="dxa"/>
              <w:right w:w="100" w:type="dxa"/>
            </w:tcMar>
          </w:tcPr>
          <w:p w14:paraId="1D1E79FA"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353A2B6F"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13A1235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27D53DD6"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3AB1F8EF"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32B83017" w14:textId="77777777">
        <w:tc>
          <w:tcPr>
            <w:tcW w:w="660" w:type="dxa"/>
            <w:shd w:val="clear" w:color="auto" w:fill="096EB3"/>
            <w:tcMar>
              <w:top w:w="100" w:type="dxa"/>
              <w:left w:w="100" w:type="dxa"/>
              <w:bottom w:w="100" w:type="dxa"/>
              <w:right w:w="100" w:type="dxa"/>
            </w:tcMar>
          </w:tcPr>
          <w:p w14:paraId="35851535" w14:textId="77777777" w:rsidR="002F7564" w:rsidRDefault="00000000">
            <w:pPr>
              <w:widowControl w:val="0"/>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19.</w:t>
            </w:r>
          </w:p>
        </w:tc>
        <w:tc>
          <w:tcPr>
            <w:tcW w:w="5520" w:type="dxa"/>
            <w:shd w:val="clear" w:color="auto" w:fill="096EB3"/>
            <w:tcMar>
              <w:top w:w="100" w:type="dxa"/>
              <w:left w:w="100" w:type="dxa"/>
              <w:bottom w:w="100" w:type="dxa"/>
              <w:right w:w="100" w:type="dxa"/>
            </w:tcMar>
          </w:tcPr>
          <w:p w14:paraId="4D8B6FB0"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Biciklističke staze - mapiranje</w:t>
            </w:r>
          </w:p>
        </w:tc>
        <w:tc>
          <w:tcPr>
            <w:tcW w:w="1110" w:type="dxa"/>
            <w:shd w:val="clear" w:color="auto" w:fill="EFEFEF"/>
            <w:tcMar>
              <w:top w:w="100" w:type="dxa"/>
              <w:left w:w="100" w:type="dxa"/>
              <w:bottom w:w="100" w:type="dxa"/>
              <w:right w:w="100" w:type="dxa"/>
            </w:tcMar>
          </w:tcPr>
          <w:p w14:paraId="7948A02E"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7235FE77"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1C7021E1"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14D077F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1C967C7F"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5432D819"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3D990741"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28684FD8" w14:textId="77777777">
        <w:tc>
          <w:tcPr>
            <w:tcW w:w="660" w:type="dxa"/>
            <w:shd w:val="clear" w:color="auto" w:fill="096EB3"/>
            <w:tcMar>
              <w:top w:w="100" w:type="dxa"/>
              <w:left w:w="100" w:type="dxa"/>
              <w:bottom w:w="100" w:type="dxa"/>
              <w:right w:w="100" w:type="dxa"/>
            </w:tcMar>
          </w:tcPr>
          <w:p w14:paraId="5F19B646" w14:textId="77777777" w:rsidR="002F7564" w:rsidRDefault="00000000">
            <w:pPr>
              <w:widowControl w:val="0"/>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20.</w:t>
            </w:r>
          </w:p>
        </w:tc>
        <w:tc>
          <w:tcPr>
            <w:tcW w:w="5520" w:type="dxa"/>
            <w:shd w:val="clear" w:color="auto" w:fill="096EB3"/>
            <w:tcMar>
              <w:top w:w="100" w:type="dxa"/>
              <w:left w:w="100" w:type="dxa"/>
              <w:bottom w:w="100" w:type="dxa"/>
              <w:right w:w="100" w:type="dxa"/>
            </w:tcMar>
          </w:tcPr>
          <w:p w14:paraId="7872860D"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Muzejska četvrt - Koprivnica</w:t>
            </w:r>
          </w:p>
        </w:tc>
        <w:tc>
          <w:tcPr>
            <w:tcW w:w="1110" w:type="dxa"/>
            <w:shd w:val="clear" w:color="auto" w:fill="EFEFEF"/>
            <w:tcMar>
              <w:top w:w="100" w:type="dxa"/>
              <w:left w:w="100" w:type="dxa"/>
              <w:bottom w:w="100" w:type="dxa"/>
              <w:right w:w="100" w:type="dxa"/>
            </w:tcMar>
          </w:tcPr>
          <w:p w14:paraId="5C8D8CC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3D5E38B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62B25B1B"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6F5E1577"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076A5D56"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168B5D53"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7B87EBA7"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0E9B3C25" w14:textId="77777777">
        <w:tc>
          <w:tcPr>
            <w:tcW w:w="660" w:type="dxa"/>
            <w:shd w:val="clear" w:color="auto" w:fill="096EB3"/>
            <w:tcMar>
              <w:top w:w="100" w:type="dxa"/>
              <w:left w:w="100" w:type="dxa"/>
              <w:bottom w:w="100" w:type="dxa"/>
              <w:right w:w="100" w:type="dxa"/>
            </w:tcMar>
          </w:tcPr>
          <w:p w14:paraId="44CBD3C8" w14:textId="77777777" w:rsidR="002F7564" w:rsidRDefault="00000000">
            <w:pPr>
              <w:widowControl w:val="0"/>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21.</w:t>
            </w:r>
          </w:p>
        </w:tc>
        <w:tc>
          <w:tcPr>
            <w:tcW w:w="5520" w:type="dxa"/>
            <w:shd w:val="clear" w:color="auto" w:fill="096EB3"/>
            <w:tcMar>
              <w:top w:w="100" w:type="dxa"/>
              <w:left w:w="100" w:type="dxa"/>
              <w:bottom w:w="100" w:type="dxa"/>
              <w:right w:w="100" w:type="dxa"/>
            </w:tcMar>
          </w:tcPr>
          <w:p w14:paraId="5A886FFA"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Rodna kuća Ivana Sabolića</w:t>
            </w:r>
          </w:p>
        </w:tc>
        <w:tc>
          <w:tcPr>
            <w:tcW w:w="1110" w:type="dxa"/>
            <w:shd w:val="clear" w:color="auto" w:fill="EFEFEF"/>
            <w:tcMar>
              <w:top w:w="100" w:type="dxa"/>
              <w:left w:w="100" w:type="dxa"/>
              <w:bottom w:w="100" w:type="dxa"/>
              <w:right w:w="100" w:type="dxa"/>
            </w:tcMar>
          </w:tcPr>
          <w:p w14:paraId="3F3CBF3C"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18812C7A"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2E94095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0036C086"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4F848276"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298DC209"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3E599AFA"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5CB0E79E" w14:textId="77777777">
        <w:tc>
          <w:tcPr>
            <w:tcW w:w="660" w:type="dxa"/>
            <w:shd w:val="clear" w:color="auto" w:fill="096EB3"/>
            <w:tcMar>
              <w:top w:w="100" w:type="dxa"/>
              <w:left w:w="100" w:type="dxa"/>
              <w:bottom w:w="100" w:type="dxa"/>
              <w:right w:w="100" w:type="dxa"/>
            </w:tcMar>
          </w:tcPr>
          <w:p w14:paraId="745F0A51" w14:textId="77777777" w:rsidR="002F7564" w:rsidRDefault="00000000">
            <w:pPr>
              <w:widowControl w:val="0"/>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22.</w:t>
            </w:r>
          </w:p>
        </w:tc>
        <w:tc>
          <w:tcPr>
            <w:tcW w:w="5520" w:type="dxa"/>
            <w:shd w:val="clear" w:color="auto" w:fill="096EB3"/>
            <w:tcMar>
              <w:top w:w="100" w:type="dxa"/>
              <w:left w:w="100" w:type="dxa"/>
              <w:bottom w:w="100" w:type="dxa"/>
              <w:right w:w="100" w:type="dxa"/>
            </w:tcMar>
          </w:tcPr>
          <w:p w14:paraId="7D1BAC13"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Dom kulture Pajo Kanižaj</w:t>
            </w:r>
          </w:p>
        </w:tc>
        <w:tc>
          <w:tcPr>
            <w:tcW w:w="1110" w:type="dxa"/>
            <w:shd w:val="clear" w:color="auto" w:fill="F3F3F3"/>
            <w:tcMar>
              <w:top w:w="100" w:type="dxa"/>
              <w:left w:w="100" w:type="dxa"/>
              <w:bottom w:w="100" w:type="dxa"/>
              <w:right w:w="100" w:type="dxa"/>
            </w:tcMar>
          </w:tcPr>
          <w:p w14:paraId="29A54F69"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45E44862"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61B9BE40"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2DC4979C"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9F906E6"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118A8D7C"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0B627F0E"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46D8623F" w14:textId="77777777">
        <w:tc>
          <w:tcPr>
            <w:tcW w:w="660" w:type="dxa"/>
            <w:shd w:val="clear" w:color="auto" w:fill="096EB3"/>
            <w:tcMar>
              <w:top w:w="100" w:type="dxa"/>
              <w:left w:w="100" w:type="dxa"/>
              <w:bottom w:w="100" w:type="dxa"/>
              <w:right w:w="100" w:type="dxa"/>
            </w:tcMar>
          </w:tcPr>
          <w:p w14:paraId="09B286B2" w14:textId="77777777" w:rsidR="002F7564" w:rsidRDefault="00000000">
            <w:pPr>
              <w:widowControl w:val="0"/>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23.</w:t>
            </w:r>
          </w:p>
        </w:tc>
        <w:tc>
          <w:tcPr>
            <w:tcW w:w="5520" w:type="dxa"/>
            <w:shd w:val="clear" w:color="auto" w:fill="096EB3"/>
            <w:tcMar>
              <w:top w:w="100" w:type="dxa"/>
              <w:left w:w="100" w:type="dxa"/>
              <w:bottom w:w="100" w:type="dxa"/>
              <w:right w:w="100" w:type="dxa"/>
            </w:tcMar>
          </w:tcPr>
          <w:p w14:paraId="20E61C87"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Rekonstrukcija zgrade kurije</w:t>
            </w:r>
          </w:p>
        </w:tc>
        <w:tc>
          <w:tcPr>
            <w:tcW w:w="1110" w:type="dxa"/>
            <w:shd w:val="clear" w:color="auto" w:fill="EFEFEF"/>
            <w:tcMar>
              <w:top w:w="100" w:type="dxa"/>
              <w:left w:w="100" w:type="dxa"/>
              <w:bottom w:w="100" w:type="dxa"/>
              <w:right w:w="100" w:type="dxa"/>
            </w:tcMar>
          </w:tcPr>
          <w:p w14:paraId="36E133EC"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7891A62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069FC93D"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3AF7DCF0"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51E3AA5E"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260BC76B"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2CEE2399"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4A6246E6" w14:textId="77777777">
        <w:tc>
          <w:tcPr>
            <w:tcW w:w="660" w:type="dxa"/>
            <w:shd w:val="clear" w:color="auto" w:fill="096EB3"/>
            <w:tcMar>
              <w:top w:w="100" w:type="dxa"/>
              <w:left w:w="100" w:type="dxa"/>
              <w:bottom w:w="100" w:type="dxa"/>
              <w:right w:w="100" w:type="dxa"/>
            </w:tcMar>
          </w:tcPr>
          <w:p w14:paraId="763DF788" w14:textId="77777777" w:rsidR="002F7564" w:rsidRDefault="00000000">
            <w:pPr>
              <w:widowControl w:val="0"/>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24.</w:t>
            </w:r>
          </w:p>
        </w:tc>
        <w:tc>
          <w:tcPr>
            <w:tcW w:w="5520" w:type="dxa"/>
            <w:shd w:val="clear" w:color="auto" w:fill="096EB3"/>
            <w:tcMar>
              <w:top w:w="100" w:type="dxa"/>
              <w:left w:w="100" w:type="dxa"/>
              <w:bottom w:w="100" w:type="dxa"/>
              <w:right w:w="100" w:type="dxa"/>
            </w:tcMar>
          </w:tcPr>
          <w:p w14:paraId="424E04C8"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Etno kuća za etno muzej</w:t>
            </w:r>
          </w:p>
        </w:tc>
        <w:tc>
          <w:tcPr>
            <w:tcW w:w="1110" w:type="dxa"/>
            <w:shd w:val="clear" w:color="auto" w:fill="EFEFEF"/>
            <w:tcMar>
              <w:top w:w="100" w:type="dxa"/>
              <w:left w:w="100" w:type="dxa"/>
              <w:bottom w:w="100" w:type="dxa"/>
              <w:right w:w="100" w:type="dxa"/>
            </w:tcMar>
          </w:tcPr>
          <w:p w14:paraId="461A478B"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793785FF"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621C740E"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789D36FE"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42539C6B"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1CA48F50"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701AACC0"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65CA1CAF" w14:textId="77777777">
        <w:tc>
          <w:tcPr>
            <w:tcW w:w="660" w:type="dxa"/>
            <w:shd w:val="clear" w:color="auto" w:fill="096EB3"/>
            <w:tcMar>
              <w:top w:w="100" w:type="dxa"/>
              <w:left w:w="100" w:type="dxa"/>
              <w:bottom w:w="100" w:type="dxa"/>
              <w:right w:w="100" w:type="dxa"/>
            </w:tcMar>
          </w:tcPr>
          <w:p w14:paraId="3746B6DA" w14:textId="77777777" w:rsidR="002F7564" w:rsidRDefault="00000000">
            <w:pPr>
              <w:widowControl w:val="0"/>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25.</w:t>
            </w:r>
          </w:p>
        </w:tc>
        <w:tc>
          <w:tcPr>
            <w:tcW w:w="5520" w:type="dxa"/>
            <w:shd w:val="clear" w:color="auto" w:fill="096EB3"/>
            <w:tcMar>
              <w:top w:w="100" w:type="dxa"/>
              <w:left w:w="100" w:type="dxa"/>
              <w:bottom w:w="100" w:type="dxa"/>
              <w:right w:w="100" w:type="dxa"/>
            </w:tcMar>
          </w:tcPr>
          <w:p w14:paraId="2EE1A61C"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Rekonstrukcija paviljona</w:t>
            </w:r>
          </w:p>
        </w:tc>
        <w:tc>
          <w:tcPr>
            <w:tcW w:w="1110" w:type="dxa"/>
            <w:shd w:val="clear" w:color="auto" w:fill="EFEFEF"/>
            <w:tcMar>
              <w:top w:w="100" w:type="dxa"/>
              <w:left w:w="100" w:type="dxa"/>
              <w:bottom w:w="100" w:type="dxa"/>
              <w:right w:w="100" w:type="dxa"/>
            </w:tcMar>
          </w:tcPr>
          <w:p w14:paraId="21AE3CA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3459297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5B984B17"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7C85862C"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29793781"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2A530A89"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4EC7E5DD"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3DD8A5B9" w14:textId="77777777">
        <w:tc>
          <w:tcPr>
            <w:tcW w:w="660" w:type="dxa"/>
            <w:shd w:val="clear" w:color="auto" w:fill="096EB3"/>
            <w:tcMar>
              <w:top w:w="100" w:type="dxa"/>
              <w:left w:w="100" w:type="dxa"/>
              <w:bottom w:w="100" w:type="dxa"/>
              <w:right w:w="100" w:type="dxa"/>
            </w:tcMar>
          </w:tcPr>
          <w:p w14:paraId="15BB57C5" w14:textId="77777777" w:rsidR="002F7564" w:rsidRDefault="00000000">
            <w:pPr>
              <w:widowControl w:val="0"/>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26.</w:t>
            </w:r>
          </w:p>
        </w:tc>
        <w:tc>
          <w:tcPr>
            <w:tcW w:w="5520" w:type="dxa"/>
            <w:shd w:val="clear" w:color="auto" w:fill="096EB3"/>
            <w:tcMar>
              <w:top w:w="100" w:type="dxa"/>
              <w:left w:w="100" w:type="dxa"/>
              <w:bottom w:w="100" w:type="dxa"/>
              <w:right w:w="100" w:type="dxa"/>
            </w:tcMar>
          </w:tcPr>
          <w:p w14:paraId="4F22CD26"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Kulturni centar u Peterancu</w:t>
            </w:r>
          </w:p>
        </w:tc>
        <w:tc>
          <w:tcPr>
            <w:tcW w:w="1110" w:type="dxa"/>
            <w:shd w:val="clear" w:color="auto" w:fill="EFEFEF"/>
            <w:tcMar>
              <w:top w:w="100" w:type="dxa"/>
              <w:left w:w="100" w:type="dxa"/>
              <w:bottom w:w="100" w:type="dxa"/>
              <w:right w:w="100" w:type="dxa"/>
            </w:tcMar>
          </w:tcPr>
          <w:p w14:paraId="05250792"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78A01A91"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31282529"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6C2672BA"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1A0C4BCC"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4C49F42"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61E921F"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43F814CA" w14:textId="77777777">
        <w:tc>
          <w:tcPr>
            <w:tcW w:w="660" w:type="dxa"/>
            <w:shd w:val="clear" w:color="auto" w:fill="096EB3"/>
            <w:tcMar>
              <w:top w:w="100" w:type="dxa"/>
              <w:left w:w="100" w:type="dxa"/>
              <w:bottom w:w="100" w:type="dxa"/>
              <w:right w:w="100" w:type="dxa"/>
            </w:tcMar>
          </w:tcPr>
          <w:p w14:paraId="3B5A8AB7" w14:textId="77777777" w:rsidR="002F7564" w:rsidRDefault="00000000">
            <w:pPr>
              <w:widowControl w:val="0"/>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27.</w:t>
            </w:r>
          </w:p>
        </w:tc>
        <w:tc>
          <w:tcPr>
            <w:tcW w:w="5520" w:type="dxa"/>
            <w:shd w:val="clear" w:color="auto" w:fill="096EB3"/>
            <w:tcMar>
              <w:top w:w="100" w:type="dxa"/>
              <w:left w:w="100" w:type="dxa"/>
              <w:bottom w:w="100" w:type="dxa"/>
              <w:right w:w="100" w:type="dxa"/>
            </w:tcMar>
          </w:tcPr>
          <w:p w14:paraId="1B886686"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HlebinARTS</w:t>
            </w:r>
          </w:p>
        </w:tc>
        <w:tc>
          <w:tcPr>
            <w:tcW w:w="1110" w:type="dxa"/>
            <w:shd w:val="clear" w:color="auto" w:fill="EFEFEF"/>
            <w:tcMar>
              <w:top w:w="100" w:type="dxa"/>
              <w:left w:w="100" w:type="dxa"/>
              <w:bottom w:w="100" w:type="dxa"/>
              <w:right w:w="100" w:type="dxa"/>
            </w:tcMar>
          </w:tcPr>
          <w:p w14:paraId="5AD1E690"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418711E2"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75C5D05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40D646CA"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F3F3F3"/>
            <w:tcMar>
              <w:top w:w="100" w:type="dxa"/>
              <w:left w:w="100" w:type="dxa"/>
              <w:bottom w:w="100" w:type="dxa"/>
              <w:right w:w="100" w:type="dxa"/>
            </w:tcMar>
          </w:tcPr>
          <w:p w14:paraId="77667B3C"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3192B46B"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4203E0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731F54D9" w14:textId="77777777">
        <w:tc>
          <w:tcPr>
            <w:tcW w:w="660" w:type="dxa"/>
            <w:shd w:val="clear" w:color="auto" w:fill="096EB3"/>
            <w:tcMar>
              <w:top w:w="100" w:type="dxa"/>
              <w:left w:w="100" w:type="dxa"/>
              <w:bottom w:w="100" w:type="dxa"/>
              <w:right w:w="100" w:type="dxa"/>
            </w:tcMar>
          </w:tcPr>
          <w:p w14:paraId="1F427475" w14:textId="77777777" w:rsidR="002F7564" w:rsidRDefault="00000000">
            <w:pPr>
              <w:widowControl w:val="0"/>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28.</w:t>
            </w:r>
          </w:p>
        </w:tc>
        <w:tc>
          <w:tcPr>
            <w:tcW w:w="5520" w:type="dxa"/>
            <w:shd w:val="clear" w:color="auto" w:fill="096EB3"/>
            <w:tcMar>
              <w:top w:w="100" w:type="dxa"/>
              <w:left w:w="100" w:type="dxa"/>
              <w:bottom w:w="100" w:type="dxa"/>
              <w:right w:w="100" w:type="dxa"/>
            </w:tcMar>
          </w:tcPr>
          <w:p w14:paraId="537A75A2"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Kulturni centar u Sigecu - Gruntovčani</w:t>
            </w:r>
          </w:p>
        </w:tc>
        <w:tc>
          <w:tcPr>
            <w:tcW w:w="1110" w:type="dxa"/>
            <w:shd w:val="clear" w:color="auto" w:fill="EFEFEF"/>
            <w:tcMar>
              <w:top w:w="100" w:type="dxa"/>
              <w:left w:w="100" w:type="dxa"/>
              <w:bottom w:w="100" w:type="dxa"/>
              <w:right w:w="100" w:type="dxa"/>
            </w:tcMar>
          </w:tcPr>
          <w:p w14:paraId="1BFFAC7C"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3A88C25A"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2B94BE1B"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044DC942"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372EAC57"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F3F3F3"/>
            <w:tcMar>
              <w:top w:w="100" w:type="dxa"/>
              <w:left w:w="100" w:type="dxa"/>
              <w:bottom w:w="100" w:type="dxa"/>
              <w:right w:w="100" w:type="dxa"/>
            </w:tcMar>
          </w:tcPr>
          <w:p w14:paraId="14964466"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3CAB8C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3022C62A" w14:textId="77777777">
        <w:tc>
          <w:tcPr>
            <w:tcW w:w="660" w:type="dxa"/>
            <w:shd w:val="clear" w:color="auto" w:fill="096EB3"/>
            <w:tcMar>
              <w:top w:w="100" w:type="dxa"/>
              <w:left w:w="100" w:type="dxa"/>
              <w:bottom w:w="100" w:type="dxa"/>
              <w:right w:w="100" w:type="dxa"/>
            </w:tcMar>
          </w:tcPr>
          <w:p w14:paraId="14070FA2" w14:textId="77777777" w:rsidR="002F7564" w:rsidRDefault="00000000">
            <w:pPr>
              <w:widowControl w:val="0"/>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29.</w:t>
            </w:r>
          </w:p>
        </w:tc>
        <w:tc>
          <w:tcPr>
            <w:tcW w:w="5520" w:type="dxa"/>
            <w:shd w:val="clear" w:color="auto" w:fill="096EB3"/>
            <w:tcMar>
              <w:top w:w="100" w:type="dxa"/>
              <w:left w:w="100" w:type="dxa"/>
              <w:bottom w:w="100" w:type="dxa"/>
              <w:right w:w="100" w:type="dxa"/>
            </w:tcMar>
          </w:tcPr>
          <w:p w14:paraId="6DEF64A2"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Kapetanija</w:t>
            </w:r>
          </w:p>
        </w:tc>
        <w:tc>
          <w:tcPr>
            <w:tcW w:w="1110" w:type="dxa"/>
            <w:shd w:val="clear" w:color="auto" w:fill="EFEFEF"/>
            <w:tcMar>
              <w:top w:w="100" w:type="dxa"/>
              <w:left w:w="100" w:type="dxa"/>
              <w:bottom w:w="100" w:type="dxa"/>
              <w:right w:w="100" w:type="dxa"/>
            </w:tcMar>
          </w:tcPr>
          <w:p w14:paraId="13F49031"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284C6CA9"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16F16677"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45F49941"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53A82B07"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F3F3F3"/>
            <w:tcMar>
              <w:top w:w="100" w:type="dxa"/>
              <w:left w:w="100" w:type="dxa"/>
              <w:bottom w:w="100" w:type="dxa"/>
              <w:right w:w="100" w:type="dxa"/>
            </w:tcMar>
          </w:tcPr>
          <w:p w14:paraId="7587924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D033C07"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6AD2A510" w14:textId="77777777">
        <w:tc>
          <w:tcPr>
            <w:tcW w:w="660" w:type="dxa"/>
            <w:shd w:val="clear" w:color="auto" w:fill="096EB3"/>
            <w:tcMar>
              <w:top w:w="100" w:type="dxa"/>
              <w:left w:w="100" w:type="dxa"/>
              <w:bottom w:w="100" w:type="dxa"/>
              <w:right w:w="100" w:type="dxa"/>
            </w:tcMar>
          </w:tcPr>
          <w:p w14:paraId="41190935" w14:textId="77777777" w:rsidR="002F7564" w:rsidRDefault="00000000">
            <w:pPr>
              <w:widowControl w:val="0"/>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30.</w:t>
            </w:r>
          </w:p>
        </w:tc>
        <w:tc>
          <w:tcPr>
            <w:tcW w:w="5520" w:type="dxa"/>
            <w:shd w:val="clear" w:color="auto" w:fill="096EB3"/>
            <w:tcMar>
              <w:top w:w="100" w:type="dxa"/>
              <w:left w:w="100" w:type="dxa"/>
              <w:bottom w:w="100" w:type="dxa"/>
              <w:right w:w="100" w:type="dxa"/>
            </w:tcMar>
          </w:tcPr>
          <w:p w14:paraId="788308D2"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Poduzetnička zona - vojarna</w:t>
            </w:r>
          </w:p>
        </w:tc>
        <w:tc>
          <w:tcPr>
            <w:tcW w:w="1110" w:type="dxa"/>
            <w:shd w:val="clear" w:color="auto" w:fill="EFEFEF"/>
            <w:tcMar>
              <w:top w:w="100" w:type="dxa"/>
              <w:left w:w="100" w:type="dxa"/>
              <w:bottom w:w="100" w:type="dxa"/>
              <w:right w:w="100" w:type="dxa"/>
            </w:tcMar>
          </w:tcPr>
          <w:p w14:paraId="55F666EF"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8D7C86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392FC846"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7922E963"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4B607180"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4DEF2320"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A23647B"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4606527F" w14:textId="77777777">
        <w:tc>
          <w:tcPr>
            <w:tcW w:w="660" w:type="dxa"/>
            <w:shd w:val="clear" w:color="auto" w:fill="096EB3"/>
            <w:tcMar>
              <w:top w:w="100" w:type="dxa"/>
              <w:left w:w="100" w:type="dxa"/>
              <w:bottom w:w="100" w:type="dxa"/>
              <w:right w:w="100" w:type="dxa"/>
            </w:tcMar>
          </w:tcPr>
          <w:p w14:paraId="2E13439C" w14:textId="77777777" w:rsidR="002F7564" w:rsidRDefault="00000000">
            <w:pPr>
              <w:widowControl w:val="0"/>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31.</w:t>
            </w:r>
          </w:p>
        </w:tc>
        <w:tc>
          <w:tcPr>
            <w:tcW w:w="5520" w:type="dxa"/>
            <w:shd w:val="clear" w:color="auto" w:fill="096EB3"/>
            <w:tcMar>
              <w:top w:w="100" w:type="dxa"/>
              <w:left w:w="100" w:type="dxa"/>
              <w:bottom w:w="100" w:type="dxa"/>
              <w:right w:w="100" w:type="dxa"/>
            </w:tcMar>
          </w:tcPr>
          <w:p w14:paraId="3415879F"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Proširenje poduzetničke zone</w:t>
            </w:r>
          </w:p>
        </w:tc>
        <w:tc>
          <w:tcPr>
            <w:tcW w:w="1110" w:type="dxa"/>
            <w:shd w:val="clear" w:color="auto" w:fill="EFEFEF"/>
            <w:tcMar>
              <w:top w:w="100" w:type="dxa"/>
              <w:left w:w="100" w:type="dxa"/>
              <w:bottom w:w="100" w:type="dxa"/>
              <w:right w:w="100" w:type="dxa"/>
            </w:tcMar>
          </w:tcPr>
          <w:p w14:paraId="3900B155"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6A9FEA29"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13E71066"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226CC2F1"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417F5FA2"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4E8499A6"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5007604D"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r w:rsidR="002F7564" w14:paraId="49735D5A" w14:textId="77777777">
        <w:tc>
          <w:tcPr>
            <w:tcW w:w="660" w:type="dxa"/>
            <w:shd w:val="clear" w:color="auto" w:fill="096EB3"/>
            <w:tcMar>
              <w:top w:w="100" w:type="dxa"/>
              <w:left w:w="100" w:type="dxa"/>
              <w:bottom w:w="100" w:type="dxa"/>
              <w:right w:w="100" w:type="dxa"/>
            </w:tcMar>
          </w:tcPr>
          <w:p w14:paraId="7B97BAE2"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32.</w:t>
            </w:r>
          </w:p>
        </w:tc>
        <w:tc>
          <w:tcPr>
            <w:tcW w:w="5520" w:type="dxa"/>
            <w:shd w:val="clear" w:color="auto" w:fill="096EB3"/>
            <w:tcMar>
              <w:top w:w="100" w:type="dxa"/>
              <w:left w:w="100" w:type="dxa"/>
              <w:bottom w:w="100" w:type="dxa"/>
              <w:right w:w="100" w:type="dxa"/>
            </w:tcMar>
          </w:tcPr>
          <w:p w14:paraId="06E96DC3" w14:textId="77777777" w:rsidR="002F7564" w:rsidRDefault="00000000">
            <w:pPr>
              <w:widowControl w:val="0"/>
              <w:pBdr>
                <w:top w:val="nil"/>
                <w:left w:val="nil"/>
                <w:bottom w:val="nil"/>
                <w:right w:val="nil"/>
                <w:between w:val="nil"/>
              </w:pBdr>
              <w:spacing w:line="240" w:lineRule="auto"/>
              <w:rPr>
                <w:rFonts w:ascii="Source Sans Pro" w:eastAsia="Source Sans Pro" w:hAnsi="Source Sans Pro" w:cs="Source Sans Pro"/>
                <w:color w:val="FFFFFF"/>
                <w:sz w:val="20"/>
                <w:szCs w:val="20"/>
              </w:rPr>
            </w:pPr>
            <w:r>
              <w:rPr>
                <w:rFonts w:ascii="Source Sans Pro" w:eastAsia="Source Sans Pro" w:hAnsi="Source Sans Pro" w:cs="Source Sans Pro"/>
                <w:color w:val="FFFFFF"/>
                <w:sz w:val="20"/>
                <w:szCs w:val="20"/>
              </w:rPr>
              <w:t>Centar za digitalnu transformaciju</w:t>
            </w:r>
          </w:p>
        </w:tc>
        <w:tc>
          <w:tcPr>
            <w:tcW w:w="1110" w:type="dxa"/>
            <w:shd w:val="clear" w:color="auto" w:fill="EFEFEF"/>
            <w:tcMar>
              <w:top w:w="100" w:type="dxa"/>
              <w:left w:w="100" w:type="dxa"/>
              <w:bottom w:w="100" w:type="dxa"/>
              <w:right w:w="100" w:type="dxa"/>
            </w:tcMar>
          </w:tcPr>
          <w:p w14:paraId="4424767B"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45E21FB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0EE72020"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EFEFEF"/>
            <w:tcMar>
              <w:top w:w="100" w:type="dxa"/>
              <w:left w:w="100" w:type="dxa"/>
              <w:bottom w:w="100" w:type="dxa"/>
              <w:right w:w="100" w:type="dxa"/>
            </w:tcMar>
          </w:tcPr>
          <w:p w14:paraId="53C81609"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3E0229C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74091D84"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c>
          <w:tcPr>
            <w:tcW w:w="1110" w:type="dxa"/>
            <w:shd w:val="clear" w:color="auto" w:fill="096EB3"/>
            <w:tcMar>
              <w:top w:w="100" w:type="dxa"/>
              <w:left w:w="100" w:type="dxa"/>
              <w:bottom w:w="100" w:type="dxa"/>
              <w:right w:w="100" w:type="dxa"/>
            </w:tcMar>
          </w:tcPr>
          <w:p w14:paraId="1CBE3E93" w14:textId="77777777" w:rsidR="002F7564" w:rsidRDefault="002F7564">
            <w:pPr>
              <w:widowControl w:val="0"/>
              <w:pBdr>
                <w:top w:val="nil"/>
                <w:left w:val="nil"/>
                <w:bottom w:val="nil"/>
                <w:right w:val="nil"/>
                <w:between w:val="nil"/>
              </w:pBdr>
              <w:spacing w:line="240" w:lineRule="auto"/>
              <w:rPr>
                <w:rFonts w:ascii="Source Sans Pro" w:eastAsia="Source Sans Pro" w:hAnsi="Source Sans Pro" w:cs="Source Sans Pro"/>
                <w:sz w:val="20"/>
                <w:szCs w:val="20"/>
              </w:rPr>
            </w:pPr>
          </w:p>
        </w:tc>
      </w:tr>
    </w:tbl>
    <w:p w14:paraId="69D11844" w14:textId="77777777" w:rsidR="002F7564" w:rsidRDefault="002F7564">
      <w:pPr>
        <w:rPr>
          <w:rFonts w:ascii="Source Sans Pro" w:eastAsia="Source Sans Pro" w:hAnsi="Source Sans Pro" w:cs="Source Sans Pro"/>
          <w:sz w:val="18"/>
          <w:szCs w:val="18"/>
        </w:rPr>
        <w:sectPr w:rsidR="002F7564">
          <w:pgSz w:w="16834" w:h="11909" w:orient="landscape"/>
          <w:pgMar w:top="1440" w:right="1440" w:bottom="1440" w:left="1440" w:header="720" w:footer="720" w:gutter="0"/>
          <w:cols w:space="720"/>
        </w:sectPr>
      </w:pPr>
    </w:p>
    <w:p w14:paraId="159CC8FD" w14:textId="77777777" w:rsidR="002F7564" w:rsidRDefault="00000000">
      <w:pPr>
        <w:pStyle w:val="Heading1"/>
        <w:ind w:firstLine="720"/>
      </w:pPr>
      <w:bookmarkStart w:id="28" w:name="_3as4poj" w:colFirst="0" w:colLast="0"/>
      <w:bookmarkEnd w:id="28"/>
      <w:r>
        <w:lastRenderedPageBreak/>
        <w:t>11. Indikativni financijski plan</w:t>
      </w:r>
    </w:p>
    <w:p w14:paraId="3AD7550C" w14:textId="77777777" w:rsidR="002F7564" w:rsidRDefault="00000000">
      <w:pPr>
        <w:rPr>
          <w:rFonts w:ascii="Source Sans Pro" w:eastAsia="Source Sans Pro" w:hAnsi="Source Sans Pro" w:cs="Source Sans Pro"/>
          <w:sz w:val="20"/>
          <w:szCs w:val="20"/>
        </w:rPr>
      </w:pPr>
      <w:r>
        <w:rPr>
          <w:rFonts w:ascii="Source Sans Pro" w:eastAsia="Source Sans Pro" w:hAnsi="Source Sans Pro" w:cs="Source Sans Pro"/>
          <w:sz w:val="20"/>
          <w:szCs w:val="20"/>
        </w:rPr>
        <w:t>Tablica 8 Indikativni financijski plan</w:t>
      </w:r>
    </w:p>
    <w:tbl>
      <w:tblPr>
        <w:tblStyle w:val="af8"/>
        <w:tblW w:w="14085" w:type="dxa"/>
        <w:tblInd w:w="-1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185"/>
        <w:gridCol w:w="1575"/>
        <w:gridCol w:w="1395"/>
        <w:gridCol w:w="1395"/>
        <w:gridCol w:w="1395"/>
        <w:gridCol w:w="1395"/>
        <w:gridCol w:w="1395"/>
        <w:gridCol w:w="1395"/>
        <w:gridCol w:w="1395"/>
        <w:gridCol w:w="1560"/>
      </w:tblGrid>
      <w:tr w:rsidR="002F7564" w14:paraId="15684659" w14:textId="77777777">
        <w:trPr>
          <w:trHeight w:val="476"/>
        </w:trPr>
        <w:tc>
          <w:tcPr>
            <w:tcW w:w="1185" w:type="dxa"/>
            <w:shd w:val="clear" w:color="auto" w:fill="096EB3"/>
            <w:tcMar>
              <w:top w:w="100" w:type="dxa"/>
              <w:left w:w="100" w:type="dxa"/>
              <w:bottom w:w="100" w:type="dxa"/>
              <w:right w:w="100" w:type="dxa"/>
            </w:tcMar>
            <w:vAlign w:val="center"/>
          </w:tcPr>
          <w:p w14:paraId="71E67D9B"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 xml:space="preserve">Strateški cilj </w:t>
            </w:r>
            <w:r>
              <w:rPr>
                <w:rFonts w:ascii="Source Sans Pro" w:eastAsia="Source Sans Pro" w:hAnsi="Source Sans Pro" w:cs="Source Sans Pro"/>
                <w:b/>
                <w:color w:val="FFFFFF"/>
                <w:sz w:val="18"/>
                <w:szCs w:val="18"/>
              </w:rPr>
              <w:br/>
              <w:t>(NRS 2030.)</w:t>
            </w:r>
          </w:p>
        </w:tc>
        <w:tc>
          <w:tcPr>
            <w:tcW w:w="12900" w:type="dxa"/>
            <w:gridSpan w:val="9"/>
            <w:shd w:val="clear" w:color="auto" w:fill="096EB3"/>
            <w:tcMar>
              <w:top w:w="100" w:type="dxa"/>
              <w:left w:w="100" w:type="dxa"/>
              <w:bottom w:w="100" w:type="dxa"/>
              <w:right w:w="100" w:type="dxa"/>
            </w:tcMar>
            <w:vAlign w:val="center"/>
          </w:tcPr>
          <w:p w14:paraId="326D91C1"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1.</w:t>
            </w:r>
            <w:r>
              <w:rPr>
                <w:rFonts w:ascii="Source Sans Pro" w:eastAsia="Source Sans Pro" w:hAnsi="Source Sans Pro" w:cs="Source Sans Pro"/>
                <w:color w:val="FFFFFF"/>
                <w:sz w:val="18"/>
                <w:szCs w:val="18"/>
              </w:rPr>
              <w:t xml:space="preserve"> Konkurentno i inovativno gospodarstvo</w:t>
            </w:r>
          </w:p>
          <w:p w14:paraId="307D6910"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 xml:space="preserve">SC 2. </w:t>
            </w:r>
            <w:r>
              <w:rPr>
                <w:rFonts w:ascii="Source Sans Pro" w:eastAsia="Source Sans Pro" w:hAnsi="Source Sans Pro" w:cs="Source Sans Pro"/>
                <w:color w:val="FFFFFF"/>
                <w:sz w:val="18"/>
                <w:szCs w:val="18"/>
              </w:rPr>
              <w:t>Obrazovani i zaposleni ljudi</w:t>
            </w:r>
          </w:p>
          <w:p w14:paraId="56345D62"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3</w:t>
            </w:r>
            <w:r>
              <w:rPr>
                <w:rFonts w:ascii="Source Sans Pro" w:eastAsia="Source Sans Pro" w:hAnsi="Source Sans Pro" w:cs="Source Sans Pro"/>
                <w:color w:val="FFFFFF"/>
                <w:sz w:val="18"/>
                <w:szCs w:val="18"/>
              </w:rPr>
              <w:t>. Učinkovito i djelotvorno pravosuđe, javna uprava i upravljanje državnom imovinom</w:t>
            </w:r>
          </w:p>
          <w:p w14:paraId="31EF58E3"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5.</w:t>
            </w:r>
            <w:r>
              <w:rPr>
                <w:rFonts w:ascii="Source Sans Pro" w:eastAsia="Source Sans Pro" w:hAnsi="Source Sans Pro" w:cs="Source Sans Pro"/>
                <w:color w:val="FFFFFF"/>
                <w:sz w:val="18"/>
                <w:szCs w:val="18"/>
              </w:rPr>
              <w:t xml:space="preserve"> Zdrav, aktivan i kvalitetan život</w:t>
            </w:r>
          </w:p>
          <w:p w14:paraId="4631BF9A"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6.</w:t>
            </w:r>
            <w:r>
              <w:rPr>
                <w:rFonts w:ascii="Source Sans Pro" w:eastAsia="Source Sans Pro" w:hAnsi="Source Sans Pro" w:cs="Source Sans Pro"/>
                <w:color w:val="FFFFFF"/>
                <w:sz w:val="18"/>
                <w:szCs w:val="18"/>
              </w:rPr>
              <w:t xml:space="preserve"> Demografska revitalizacija i bolji položaj obitelji</w:t>
            </w:r>
          </w:p>
          <w:p w14:paraId="7D904731"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8</w:t>
            </w:r>
            <w:r>
              <w:rPr>
                <w:rFonts w:ascii="Source Sans Pro" w:eastAsia="Source Sans Pro" w:hAnsi="Source Sans Pro" w:cs="Source Sans Pro"/>
                <w:color w:val="FFFFFF"/>
                <w:sz w:val="18"/>
                <w:szCs w:val="18"/>
              </w:rPr>
              <w:t>. Ekološka i energetska tranzicija za klimatsku neutralnost</w:t>
            </w:r>
          </w:p>
          <w:p w14:paraId="2308113F"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9.</w:t>
            </w:r>
            <w:r>
              <w:rPr>
                <w:rFonts w:ascii="Source Sans Pro" w:eastAsia="Source Sans Pro" w:hAnsi="Source Sans Pro" w:cs="Source Sans Pro"/>
                <w:color w:val="FFFFFF"/>
                <w:sz w:val="18"/>
                <w:szCs w:val="18"/>
              </w:rPr>
              <w:t xml:space="preserve"> Samodostatnost u hrani i razvoj biogospodarstva</w:t>
            </w:r>
          </w:p>
          <w:p w14:paraId="078A6DD7"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10</w:t>
            </w:r>
            <w:r>
              <w:rPr>
                <w:rFonts w:ascii="Source Sans Pro" w:eastAsia="Source Sans Pro" w:hAnsi="Source Sans Pro" w:cs="Source Sans Pro"/>
                <w:color w:val="FFFFFF"/>
                <w:sz w:val="18"/>
                <w:szCs w:val="18"/>
              </w:rPr>
              <w:t>. Održiva mobilnost</w:t>
            </w:r>
          </w:p>
          <w:p w14:paraId="64A47D50"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11</w:t>
            </w:r>
            <w:r>
              <w:rPr>
                <w:rFonts w:ascii="Source Sans Pro" w:eastAsia="Source Sans Pro" w:hAnsi="Source Sans Pro" w:cs="Source Sans Pro"/>
                <w:color w:val="FFFFFF"/>
                <w:sz w:val="18"/>
                <w:szCs w:val="18"/>
              </w:rPr>
              <w:t>. Digitalna tranzicija društva i gospodarstva</w:t>
            </w:r>
          </w:p>
        </w:tc>
      </w:tr>
      <w:tr w:rsidR="002F7564" w14:paraId="56788BFB" w14:textId="77777777">
        <w:trPr>
          <w:trHeight w:val="400"/>
        </w:trPr>
        <w:tc>
          <w:tcPr>
            <w:tcW w:w="1185" w:type="dxa"/>
            <w:shd w:val="clear" w:color="auto" w:fill="096EB3"/>
            <w:tcMar>
              <w:top w:w="100" w:type="dxa"/>
              <w:left w:w="100" w:type="dxa"/>
              <w:bottom w:w="100" w:type="dxa"/>
              <w:right w:w="100" w:type="dxa"/>
            </w:tcMar>
            <w:vAlign w:val="center"/>
          </w:tcPr>
          <w:p w14:paraId="5C5F8777" w14:textId="77777777" w:rsidR="002F7564" w:rsidRDefault="00000000">
            <w:pPr>
              <w:widowControl w:val="0"/>
              <w:pBdr>
                <w:top w:val="nil"/>
                <w:left w:val="nil"/>
                <w:bottom w:val="nil"/>
                <w:right w:val="nil"/>
                <w:between w:val="nil"/>
              </w:pBdr>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Pokazatelj učinka</w:t>
            </w:r>
          </w:p>
        </w:tc>
        <w:tc>
          <w:tcPr>
            <w:tcW w:w="12900" w:type="dxa"/>
            <w:gridSpan w:val="9"/>
            <w:shd w:val="clear" w:color="auto" w:fill="096EB3"/>
            <w:tcMar>
              <w:top w:w="100" w:type="dxa"/>
              <w:left w:w="100" w:type="dxa"/>
              <w:bottom w:w="100" w:type="dxa"/>
              <w:right w:w="100" w:type="dxa"/>
            </w:tcMar>
            <w:vAlign w:val="center"/>
          </w:tcPr>
          <w:p w14:paraId="57DCD6D7" w14:textId="77777777" w:rsidR="002F7564" w:rsidRDefault="00000000">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 xml:space="preserve">SC 1. </w:t>
            </w:r>
            <w:r>
              <w:rPr>
                <w:rFonts w:ascii="Source Sans Pro" w:eastAsia="Source Sans Pro" w:hAnsi="Source Sans Pro" w:cs="Source Sans Pro"/>
                <w:color w:val="FFFFFF"/>
                <w:sz w:val="18"/>
                <w:szCs w:val="18"/>
              </w:rPr>
              <w:t>BDP po stanovniku prema paritetu kupovne moći, u % prosjeka EU;  Vrijednost izvoza roba i usluga, u % BDP-a;</w:t>
            </w:r>
          </w:p>
          <w:p w14:paraId="4E2AE48D" w14:textId="77777777" w:rsidR="002F7564" w:rsidRDefault="00000000">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2.</w:t>
            </w:r>
            <w:r>
              <w:rPr>
                <w:rFonts w:ascii="Source Sans Pro" w:eastAsia="Source Sans Pro" w:hAnsi="Source Sans Pro" w:cs="Source Sans Pro"/>
                <w:color w:val="FFFFFF"/>
                <w:sz w:val="18"/>
                <w:szCs w:val="18"/>
              </w:rPr>
              <w:t xml:space="preserve"> Obuhvat djece od 4 godine do početka obveznog obrazovanja (predškolski odgoj); Stopa zaposlenosti (dobna skupina 20 - 64 godine)</w:t>
            </w:r>
          </w:p>
          <w:p w14:paraId="5E8EC505" w14:textId="77777777" w:rsidR="002F7564" w:rsidRDefault="00000000">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3.</w:t>
            </w:r>
            <w:r>
              <w:rPr>
                <w:rFonts w:ascii="Source Sans Pro" w:eastAsia="Source Sans Pro" w:hAnsi="Source Sans Pro" w:cs="Source Sans Pro"/>
                <w:color w:val="FFFFFF"/>
                <w:sz w:val="18"/>
                <w:szCs w:val="18"/>
              </w:rPr>
              <w:t xml:space="preserve"> Indeks globalne konkurentnosti (GCI) - Stup 1. „Institucije”</w:t>
            </w:r>
          </w:p>
          <w:p w14:paraId="26293BD1" w14:textId="77777777" w:rsidR="002F7564" w:rsidRDefault="00000000">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5</w:t>
            </w:r>
            <w:r>
              <w:rPr>
                <w:rFonts w:ascii="Source Sans Pro" w:eastAsia="Source Sans Pro" w:hAnsi="Source Sans Pro" w:cs="Source Sans Pro"/>
                <w:color w:val="FFFFFF"/>
                <w:sz w:val="18"/>
                <w:szCs w:val="18"/>
              </w:rPr>
              <w:t>. Očekivani broj godina zdravog života; Osobe u riziku od siromaštva i socijalne isključenosti</w:t>
            </w:r>
          </w:p>
          <w:p w14:paraId="16E88317" w14:textId="77777777" w:rsidR="002F7564" w:rsidRDefault="00000000">
            <w:pPr>
              <w:widowControl w:val="0"/>
              <w:pBdr>
                <w:top w:val="nil"/>
                <w:left w:val="nil"/>
                <w:bottom w:val="nil"/>
                <w:right w:val="nil"/>
                <w:between w:val="nil"/>
              </w:pBdr>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 xml:space="preserve">SC 6. </w:t>
            </w:r>
            <w:r>
              <w:rPr>
                <w:rFonts w:ascii="Source Sans Pro" w:eastAsia="Source Sans Pro" w:hAnsi="Source Sans Pro" w:cs="Source Sans Pro"/>
                <w:color w:val="FFFFFF"/>
                <w:sz w:val="18"/>
                <w:szCs w:val="18"/>
              </w:rPr>
              <w:t>Stopa totalnog fertiliteta</w:t>
            </w:r>
            <w:r>
              <w:rPr>
                <w:rFonts w:ascii="Source Sans Pro" w:eastAsia="Source Sans Pro" w:hAnsi="Source Sans Pro" w:cs="Source Sans Pro"/>
                <w:color w:val="FFFFFF"/>
                <w:sz w:val="18"/>
                <w:szCs w:val="18"/>
              </w:rPr>
              <w:br/>
            </w:r>
            <w:r>
              <w:rPr>
                <w:rFonts w:ascii="Source Sans Pro" w:eastAsia="Source Sans Pro" w:hAnsi="Source Sans Pro" w:cs="Source Sans Pro"/>
                <w:b/>
                <w:color w:val="FFFFFF"/>
                <w:sz w:val="18"/>
                <w:szCs w:val="18"/>
              </w:rPr>
              <w:t>SC 8.</w:t>
            </w:r>
            <w:r>
              <w:rPr>
                <w:rFonts w:ascii="Source Sans Pro" w:eastAsia="Source Sans Pro" w:hAnsi="Source Sans Pro" w:cs="Source Sans Pro"/>
                <w:color w:val="FFFFFF"/>
                <w:sz w:val="18"/>
                <w:szCs w:val="18"/>
              </w:rPr>
              <w:t xml:space="preserve"> Stopa recikliranja komunalnog otpada; Udio obnovljivih izvora energije u bruto ukupnoj potrošnji energije</w:t>
            </w:r>
          </w:p>
          <w:p w14:paraId="70F9CBBD" w14:textId="77777777" w:rsidR="002F7564" w:rsidRDefault="00000000">
            <w:pPr>
              <w:widowControl w:val="0"/>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 xml:space="preserve">SC 9. </w:t>
            </w:r>
            <w:r>
              <w:rPr>
                <w:rFonts w:ascii="Source Sans Pro" w:eastAsia="Source Sans Pro" w:hAnsi="Source Sans Pro" w:cs="Source Sans Pro"/>
                <w:color w:val="FFFFFF"/>
                <w:sz w:val="18"/>
                <w:szCs w:val="18"/>
              </w:rPr>
              <w:t>Produktivnost rada u poljoprivredi</w:t>
            </w:r>
          </w:p>
          <w:p w14:paraId="3A0A0F51" w14:textId="77777777" w:rsidR="002F7564" w:rsidRDefault="00000000">
            <w:pPr>
              <w:widowControl w:val="0"/>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10</w:t>
            </w:r>
            <w:r>
              <w:rPr>
                <w:rFonts w:ascii="Source Sans Pro" w:eastAsia="Source Sans Pro" w:hAnsi="Source Sans Pro" w:cs="Source Sans Pro"/>
                <w:color w:val="FFFFFF"/>
                <w:sz w:val="18"/>
                <w:szCs w:val="18"/>
              </w:rPr>
              <w:t>. Indeks globalne konkurentnosti (GCI) komponenta “Infrastruktura”</w:t>
            </w:r>
          </w:p>
          <w:p w14:paraId="2EFA616E" w14:textId="77777777" w:rsidR="002F7564" w:rsidRDefault="00000000">
            <w:pPr>
              <w:widowControl w:val="0"/>
              <w:rPr>
                <w:rFonts w:ascii="Source Sans Pro" w:eastAsia="Source Sans Pro" w:hAnsi="Source Sans Pro" w:cs="Source Sans Pro"/>
                <w:color w:val="FFFFFF"/>
                <w:sz w:val="18"/>
                <w:szCs w:val="18"/>
              </w:rPr>
            </w:pPr>
            <w:r>
              <w:rPr>
                <w:rFonts w:ascii="Source Sans Pro" w:eastAsia="Source Sans Pro" w:hAnsi="Source Sans Pro" w:cs="Source Sans Pro"/>
                <w:b/>
                <w:color w:val="FFFFFF"/>
                <w:sz w:val="18"/>
                <w:szCs w:val="18"/>
              </w:rPr>
              <w:t>SC 11</w:t>
            </w:r>
            <w:r>
              <w:rPr>
                <w:rFonts w:ascii="Source Sans Pro" w:eastAsia="Source Sans Pro" w:hAnsi="Source Sans Pro" w:cs="Source Sans Pro"/>
                <w:color w:val="FFFFFF"/>
                <w:sz w:val="18"/>
                <w:szCs w:val="18"/>
              </w:rPr>
              <w:t>. DESI indeks gospodarske i društvene digitalizacije</w:t>
            </w:r>
          </w:p>
        </w:tc>
      </w:tr>
      <w:tr w:rsidR="002F7564" w14:paraId="29B41A50" w14:textId="77777777">
        <w:tc>
          <w:tcPr>
            <w:tcW w:w="1185" w:type="dxa"/>
            <w:shd w:val="clear" w:color="auto" w:fill="CCCCCC"/>
            <w:tcMar>
              <w:top w:w="100" w:type="dxa"/>
              <w:left w:w="100" w:type="dxa"/>
              <w:bottom w:w="100" w:type="dxa"/>
              <w:right w:w="100" w:type="dxa"/>
            </w:tcMar>
            <w:vAlign w:val="center"/>
          </w:tcPr>
          <w:p w14:paraId="699EFFE9" w14:textId="77777777" w:rsidR="002F7564" w:rsidRDefault="00000000">
            <w:pPr>
              <w:widowControl w:val="0"/>
              <w:pBdr>
                <w:top w:val="nil"/>
                <w:left w:val="nil"/>
                <w:bottom w:val="nil"/>
                <w:right w:val="nil"/>
                <w:between w:val="nil"/>
              </w:pBdr>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ciljevi</w:t>
            </w:r>
          </w:p>
        </w:tc>
        <w:tc>
          <w:tcPr>
            <w:tcW w:w="1575" w:type="dxa"/>
            <w:shd w:val="clear" w:color="auto" w:fill="CCCCCC"/>
            <w:tcMar>
              <w:top w:w="100" w:type="dxa"/>
              <w:left w:w="100" w:type="dxa"/>
              <w:bottom w:w="100" w:type="dxa"/>
              <w:right w:w="100" w:type="dxa"/>
            </w:tcMar>
            <w:vAlign w:val="center"/>
          </w:tcPr>
          <w:p w14:paraId="13CC84C9"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Pokazatelji ishoda</w:t>
            </w:r>
          </w:p>
        </w:tc>
        <w:tc>
          <w:tcPr>
            <w:tcW w:w="1395" w:type="dxa"/>
            <w:shd w:val="clear" w:color="auto" w:fill="CCCCCC"/>
            <w:tcMar>
              <w:top w:w="100" w:type="dxa"/>
              <w:left w:w="100" w:type="dxa"/>
              <w:bottom w:w="100" w:type="dxa"/>
              <w:right w:w="100" w:type="dxa"/>
            </w:tcMar>
            <w:vAlign w:val="center"/>
          </w:tcPr>
          <w:p w14:paraId="280EBF27"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Financijski plan 2021. (u HRK)</w:t>
            </w:r>
          </w:p>
        </w:tc>
        <w:tc>
          <w:tcPr>
            <w:tcW w:w="1395" w:type="dxa"/>
            <w:shd w:val="clear" w:color="auto" w:fill="CCCCCC"/>
            <w:tcMar>
              <w:top w:w="100" w:type="dxa"/>
              <w:left w:w="100" w:type="dxa"/>
              <w:bottom w:w="100" w:type="dxa"/>
              <w:right w:w="100" w:type="dxa"/>
            </w:tcMar>
            <w:vAlign w:val="center"/>
          </w:tcPr>
          <w:p w14:paraId="58C8147B"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Financijski plan 2022. (u HRK)</w:t>
            </w:r>
          </w:p>
        </w:tc>
        <w:tc>
          <w:tcPr>
            <w:tcW w:w="1395" w:type="dxa"/>
            <w:shd w:val="clear" w:color="auto" w:fill="CCCCCC"/>
            <w:tcMar>
              <w:top w:w="100" w:type="dxa"/>
              <w:left w:w="100" w:type="dxa"/>
              <w:bottom w:w="100" w:type="dxa"/>
              <w:right w:w="100" w:type="dxa"/>
            </w:tcMar>
            <w:vAlign w:val="center"/>
          </w:tcPr>
          <w:p w14:paraId="0EC6A04F"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Financijski plan 2023. (u HRK)</w:t>
            </w:r>
          </w:p>
        </w:tc>
        <w:tc>
          <w:tcPr>
            <w:tcW w:w="1395" w:type="dxa"/>
            <w:shd w:val="clear" w:color="auto" w:fill="CCCCCC"/>
            <w:tcMar>
              <w:top w:w="100" w:type="dxa"/>
              <w:left w:w="100" w:type="dxa"/>
              <w:bottom w:w="100" w:type="dxa"/>
              <w:right w:w="100" w:type="dxa"/>
            </w:tcMar>
            <w:vAlign w:val="center"/>
          </w:tcPr>
          <w:p w14:paraId="7500A035"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Financijski plan 2024. (u HRK)</w:t>
            </w:r>
          </w:p>
        </w:tc>
        <w:tc>
          <w:tcPr>
            <w:tcW w:w="1395" w:type="dxa"/>
            <w:shd w:val="clear" w:color="auto" w:fill="CCCCCC"/>
            <w:tcMar>
              <w:top w:w="100" w:type="dxa"/>
              <w:left w:w="100" w:type="dxa"/>
              <w:bottom w:w="100" w:type="dxa"/>
              <w:right w:w="100" w:type="dxa"/>
            </w:tcMar>
            <w:vAlign w:val="center"/>
          </w:tcPr>
          <w:p w14:paraId="340F0339"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Financijski plan 2025. (u HRK)</w:t>
            </w:r>
          </w:p>
        </w:tc>
        <w:tc>
          <w:tcPr>
            <w:tcW w:w="1395" w:type="dxa"/>
            <w:shd w:val="clear" w:color="auto" w:fill="CCCCCC"/>
            <w:tcMar>
              <w:top w:w="100" w:type="dxa"/>
              <w:left w:w="100" w:type="dxa"/>
              <w:bottom w:w="100" w:type="dxa"/>
              <w:right w:w="100" w:type="dxa"/>
            </w:tcMar>
            <w:vAlign w:val="center"/>
          </w:tcPr>
          <w:p w14:paraId="3EFB5FD3"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Financijski plan 2026. (u HRK)</w:t>
            </w:r>
          </w:p>
        </w:tc>
        <w:tc>
          <w:tcPr>
            <w:tcW w:w="1395" w:type="dxa"/>
            <w:shd w:val="clear" w:color="auto" w:fill="CCCCCC"/>
            <w:tcMar>
              <w:top w:w="100" w:type="dxa"/>
              <w:left w:w="100" w:type="dxa"/>
              <w:bottom w:w="100" w:type="dxa"/>
              <w:right w:w="100" w:type="dxa"/>
            </w:tcMar>
            <w:vAlign w:val="center"/>
          </w:tcPr>
          <w:p w14:paraId="4C97EB62"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Financijski plan 2027. (u HRK)</w:t>
            </w:r>
          </w:p>
        </w:tc>
        <w:tc>
          <w:tcPr>
            <w:tcW w:w="1560" w:type="dxa"/>
            <w:shd w:val="clear" w:color="auto" w:fill="CCCCCC"/>
            <w:tcMar>
              <w:top w:w="100" w:type="dxa"/>
              <w:left w:w="100" w:type="dxa"/>
              <w:bottom w:w="100" w:type="dxa"/>
              <w:right w:w="100" w:type="dxa"/>
            </w:tcMar>
            <w:vAlign w:val="center"/>
          </w:tcPr>
          <w:p w14:paraId="7B2DDE3F"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Ukupna alokacija po posebnom cilju (u HRK)</w:t>
            </w:r>
          </w:p>
        </w:tc>
      </w:tr>
      <w:tr w:rsidR="002F7564" w14:paraId="474FDDF7" w14:textId="77777777">
        <w:tc>
          <w:tcPr>
            <w:tcW w:w="1185" w:type="dxa"/>
            <w:shd w:val="clear" w:color="auto" w:fill="D9EAD3"/>
            <w:tcMar>
              <w:top w:w="100" w:type="dxa"/>
              <w:left w:w="100" w:type="dxa"/>
              <w:bottom w:w="100" w:type="dxa"/>
              <w:right w:w="100" w:type="dxa"/>
            </w:tcMar>
            <w:vAlign w:val="center"/>
          </w:tcPr>
          <w:p w14:paraId="7D62399D" w14:textId="77777777" w:rsidR="002F7564" w:rsidRDefault="00000000">
            <w:pPr>
              <w:widowControl w:val="0"/>
              <w:pBdr>
                <w:top w:val="nil"/>
                <w:left w:val="nil"/>
                <w:bottom w:val="nil"/>
                <w:right w:val="nil"/>
                <w:between w:val="nil"/>
              </w:pBdr>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1.1.</w:t>
            </w:r>
          </w:p>
        </w:tc>
        <w:tc>
          <w:tcPr>
            <w:tcW w:w="1575" w:type="dxa"/>
            <w:shd w:val="clear" w:color="auto" w:fill="D9EAD3"/>
            <w:tcMar>
              <w:top w:w="100" w:type="dxa"/>
              <w:left w:w="100" w:type="dxa"/>
              <w:bottom w:w="100" w:type="dxa"/>
              <w:right w:w="100" w:type="dxa"/>
            </w:tcMar>
            <w:vAlign w:val="center"/>
          </w:tcPr>
          <w:p w14:paraId="3C4931F9"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 xml:space="preserve"> (OI.02.2.58)</w:t>
            </w:r>
          </w:p>
          <w:p w14:paraId="5F0EF3B3"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(OI.02.2.61)</w:t>
            </w:r>
          </w:p>
        </w:tc>
        <w:tc>
          <w:tcPr>
            <w:tcW w:w="1395" w:type="dxa"/>
            <w:shd w:val="clear" w:color="auto" w:fill="D9EAD3"/>
            <w:tcMar>
              <w:top w:w="100" w:type="dxa"/>
              <w:left w:w="100" w:type="dxa"/>
              <w:bottom w:w="100" w:type="dxa"/>
              <w:right w:w="100" w:type="dxa"/>
            </w:tcMar>
            <w:vAlign w:val="center"/>
          </w:tcPr>
          <w:p w14:paraId="5BA7F67D"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shd w:val="clear" w:color="auto" w:fill="D9EAD3"/>
            <w:tcMar>
              <w:top w:w="100" w:type="dxa"/>
              <w:left w:w="100" w:type="dxa"/>
              <w:bottom w:w="100" w:type="dxa"/>
              <w:right w:w="100" w:type="dxa"/>
            </w:tcMar>
            <w:vAlign w:val="center"/>
          </w:tcPr>
          <w:p w14:paraId="55A7F8CB"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5.732.500,00</w:t>
            </w:r>
          </w:p>
        </w:tc>
        <w:tc>
          <w:tcPr>
            <w:tcW w:w="1395" w:type="dxa"/>
            <w:shd w:val="clear" w:color="auto" w:fill="D9EAD3"/>
            <w:tcMar>
              <w:top w:w="100" w:type="dxa"/>
              <w:left w:w="100" w:type="dxa"/>
              <w:bottom w:w="100" w:type="dxa"/>
              <w:right w:w="100" w:type="dxa"/>
            </w:tcMar>
            <w:vAlign w:val="center"/>
          </w:tcPr>
          <w:p w14:paraId="2800665A"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20.839.620,18</w:t>
            </w:r>
          </w:p>
        </w:tc>
        <w:tc>
          <w:tcPr>
            <w:tcW w:w="1395" w:type="dxa"/>
            <w:shd w:val="clear" w:color="auto" w:fill="D9EAD3"/>
            <w:tcMar>
              <w:top w:w="100" w:type="dxa"/>
              <w:left w:w="100" w:type="dxa"/>
              <w:bottom w:w="100" w:type="dxa"/>
              <w:right w:w="100" w:type="dxa"/>
            </w:tcMar>
            <w:vAlign w:val="center"/>
          </w:tcPr>
          <w:p w14:paraId="32636609"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42.188.045,50</w:t>
            </w:r>
          </w:p>
        </w:tc>
        <w:tc>
          <w:tcPr>
            <w:tcW w:w="1395" w:type="dxa"/>
            <w:shd w:val="clear" w:color="auto" w:fill="D9EAD3"/>
            <w:tcMar>
              <w:top w:w="100" w:type="dxa"/>
              <w:left w:w="100" w:type="dxa"/>
              <w:bottom w:w="100" w:type="dxa"/>
              <w:right w:w="100" w:type="dxa"/>
            </w:tcMar>
            <w:vAlign w:val="center"/>
          </w:tcPr>
          <w:p w14:paraId="2A4E2ADB"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73.830.511,00</w:t>
            </w:r>
          </w:p>
        </w:tc>
        <w:tc>
          <w:tcPr>
            <w:tcW w:w="1395" w:type="dxa"/>
            <w:shd w:val="clear" w:color="auto" w:fill="D9EAD3"/>
            <w:tcMar>
              <w:top w:w="100" w:type="dxa"/>
              <w:left w:w="100" w:type="dxa"/>
              <w:bottom w:w="100" w:type="dxa"/>
              <w:right w:w="100" w:type="dxa"/>
            </w:tcMar>
            <w:vAlign w:val="center"/>
          </w:tcPr>
          <w:p w14:paraId="13CEE742"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35.544.326,50</w:t>
            </w:r>
          </w:p>
        </w:tc>
        <w:tc>
          <w:tcPr>
            <w:tcW w:w="1395" w:type="dxa"/>
            <w:shd w:val="clear" w:color="auto" w:fill="D9EAD3"/>
            <w:tcMar>
              <w:top w:w="100" w:type="dxa"/>
              <w:left w:w="100" w:type="dxa"/>
              <w:bottom w:w="100" w:type="dxa"/>
              <w:right w:w="100" w:type="dxa"/>
            </w:tcMar>
            <w:vAlign w:val="center"/>
          </w:tcPr>
          <w:p w14:paraId="038A7E56"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11.690.691,50</w:t>
            </w:r>
          </w:p>
        </w:tc>
        <w:tc>
          <w:tcPr>
            <w:tcW w:w="1560" w:type="dxa"/>
            <w:shd w:val="clear" w:color="auto" w:fill="D9EAD3"/>
            <w:tcMar>
              <w:top w:w="100" w:type="dxa"/>
              <w:left w:w="100" w:type="dxa"/>
              <w:bottom w:w="100" w:type="dxa"/>
              <w:right w:w="100" w:type="dxa"/>
            </w:tcMar>
            <w:vAlign w:val="center"/>
          </w:tcPr>
          <w:p w14:paraId="731D54EC"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189.825.694,68</w:t>
            </w:r>
          </w:p>
        </w:tc>
      </w:tr>
      <w:tr w:rsidR="002F7564" w14:paraId="159ACB1B" w14:textId="77777777">
        <w:tc>
          <w:tcPr>
            <w:tcW w:w="1185" w:type="dxa"/>
            <w:shd w:val="clear" w:color="auto" w:fill="D9EAD3"/>
            <w:tcMar>
              <w:top w:w="100" w:type="dxa"/>
              <w:left w:w="100" w:type="dxa"/>
              <w:bottom w:w="100" w:type="dxa"/>
              <w:right w:w="100" w:type="dxa"/>
            </w:tcMar>
            <w:vAlign w:val="center"/>
          </w:tcPr>
          <w:p w14:paraId="5E032CDD" w14:textId="77777777" w:rsidR="002F7564" w:rsidRDefault="00000000">
            <w:pPr>
              <w:widowControl w:val="0"/>
              <w:pBdr>
                <w:top w:val="nil"/>
                <w:left w:val="nil"/>
                <w:bottom w:val="nil"/>
                <w:right w:val="nil"/>
                <w:between w:val="nil"/>
              </w:pBdr>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1.2.</w:t>
            </w:r>
          </w:p>
        </w:tc>
        <w:tc>
          <w:tcPr>
            <w:tcW w:w="1575" w:type="dxa"/>
            <w:shd w:val="clear" w:color="auto" w:fill="D9EAD3"/>
            <w:tcMar>
              <w:top w:w="100" w:type="dxa"/>
              <w:left w:w="100" w:type="dxa"/>
              <w:bottom w:w="100" w:type="dxa"/>
              <w:right w:w="100" w:type="dxa"/>
            </w:tcMar>
            <w:vAlign w:val="center"/>
          </w:tcPr>
          <w:p w14:paraId="3ADCF5D9"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(OI.02.3.04)</w:t>
            </w:r>
          </w:p>
          <w:p w14:paraId="49D05E52"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(OI.02.13.21 )</w:t>
            </w:r>
          </w:p>
        </w:tc>
        <w:tc>
          <w:tcPr>
            <w:tcW w:w="1395" w:type="dxa"/>
            <w:shd w:val="clear" w:color="auto" w:fill="D9EAD3"/>
            <w:tcMar>
              <w:top w:w="100" w:type="dxa"/>
              <w:left w:w="100" w:type="dxa"/>
              <w:bottom w:w="100" w:type="dxa"/>
              <w:right w:w="100" w:type="dxa"/>
            </w:tcMar>
            <w:vAlign w:val="center"/>
          </w:tcPr>
          <w:p w14:paraId="59BF5D7C"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shd w:val="clear" w:color="auto" w:fill="D9EAD3"/>
            <w:tcMar>
              <w:top w:w="100" w:type="dxa"/>
              <w:left w:w="100" w:type="dxa"/>
              <w:bottom w:w="100" w:type="dxa"/>
              <w:right w:w="100" w:type="dxa"/>
            </w:tcMar>
            <w:vAlign w:val="center"/>
          </w:tcPr>
          <w:p w14:paraId="1D7234E4"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1.052.900,00</w:t>
            </w:r>
          </w:p>
        </w:tc>
        <w:tc>
          <w:tcPr>
            <w:tcW w:w="1395" w:type="dxa"/>
            <w:shd w:val="clear" w:color="auto" w:fill="D9EAD3"/>
            <w:tcMar>
              <w:top w:w="100" w:type="dxa"/>
              <w:left w:w="100" w:type="dxa"/>
              <w:bottom w:w="100" w:type="dxa"/>
              <w:right w:w="100" w:type="dxa"/>
            </w:tcMar>
            <w:vAlign w:val="center"/>
          </w:tcPr>
          <w:p w14:paraId="4163D64F"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990.600,00</w:t>
            </w:r>
          </w:p>
        </w:tc>
        <w:tc>
          <w:tcPr>
            <w:tcW w:w="1395" w:type="dxa"/>
            <w:shd w:val="clear" w:color="auto" w:fill="D9EAD3"/>
            <w:tcMar>
              <w:top w:w="100" w:type="dxa"/>
              <w:left w:w="100" w:type="dxa"/>
              <w:bottom w:w="100" w:type="dxa"/>
              <w:right w:w="100" w:type="dxa"/>
            </w:tcMar>
            <w:vAlign w:val="center"/>
          </w:tcPr>
          <w:p w14:paraId="2E21797B"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296.900,00</w:t>
            </w:r>
          </w:p>
        </w:tc>
        <w:tc>
          <w:tcPr>
            <w:tcW w:w="1395" w:type="dxa"/>
            <w:shd w:val="clear" w:color="auto" w:fill="D9EAD3"/>
            <w:tcMar>
              <w:top w:w="100" w:type="dxa"/>
              <w:left w:w="100" w:type="dxa"/>
              <w:bottom w:w="100" w:type="dxa"/>
              <w:right w:w="100" w:type="dxa"/>
            </w:tcMar>
            <w:vAlign w:val="center"/>
          </w:tcPr>
          <w:p w14:paraId="553E22EC"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2.330.000,00</w:t>
            </w:r>
          </w:p>
        </w:tc>
        <w:tc>
          <w:tcPr>
            <w:tcW w:w="1395" w:type="dxa"/>
            <w:shd w:val="clear" w:color="auto" w:fill="D9EAD3"/>
            <w:tcMar>
              <w:top w:w="100" w:type="dxa"/>
              <w:left w:w="100" w:type="dxa"/>
              <w:bottom w:w="100" w:type="dxa"/>
              <w:right w:w="100" w:type="dxa"/>
            </w:tcMar>
            <w:vAlign w:val="center"/>
          </w:tcPr>
          <w:p w14:paraId="4BCE9D43"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7.830.000,00</w:t>
            </w:r>
          </w:p>
        </w:tc>
        <w:tc>
          <w:tcPr>
            <w:tcW w:w="1395" w:type="dxa"/>
            <w:shd w:val="clear" w:color="auto" w:fill="D9EAD3"/>
            <w:tcMar>
              <w:top w:w="100" w:type="dxa"/>
              <w:left w:w="100" w:type="dxa"/>
              <w:bottom w:w="100" w:type="dxa"/>
              <w:right w:w="100" w:type="dxa"/>
            </w:tcMar>
            <w:vAlign w:val="center"/>
          </w:tcPr>
          <w:p w14:paraId="5073F1E6"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338.500,00</w:t>
            </w:r>
          </w:p>
        </w:tc>
        <w:tc>
          <w:tcPr>
            <w:tcW w:w="1560" w:type="dxa"/>
            <w:shd w:val="clear" w:color="auto" w:fill="D9EAD3"/>
            <w:tcMar>
              <w:top w:w="100" w:type="dxa"/>
              <w:left w:w="100" w:type="dxa"/>
              <w:bottom w:w="100" w:type="dxa"/>
              <w:right w:w="100" w:type="dxa"/>
            </w:tcMar>
            <w:vAlign w:val="center"/>
          </w:tcPr>
          <w:p w14:paraId="0B13E73D"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12.838.900,00</w:t>
            </w:r>
          </w:p>
        </w:tc>
      </w:tr>
      <w:tr w:rsidR="002F7564" w14:paraId="418AA223" w14:textId="77777777">
        <w:tc>
          <w:tcPr>
            <w:tcW w:w="1185" w:type="dxa"/>
            <w:shd w:val="clear" w:color="auto" w:fill="D9EAD3"/>
            <w:tcMar>
              <w:top w:w="100" w:type="dxa"/>
              <w:left w:w="100" w:type="dxa"/>
              <w:bottom w:w="100" w:type="dxa"/>
              <w:right w:w="100" w:type="dxa"/>
            </w:tcMar>
            <w:vAlign w:val="center"/>
          </w:tcPr>
          <w:p w14:paraId="6E6E8A45" w14:textId="77777777" w:rsidR="002F7564" w:rsidRDefault="00000000">
            <w:pPr>
              <w:widowControl w:val="0"/>
              <w:pBdr>
                <w:top w:val="nil"/>
                <w:left w:val="nil"/>
                <w:bottom w:val="nil"/>
                <w:right w:val="nil"/>
                <w:between w:val="nil"/>
              </w:pBdr>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1.3.</w:t>
            </w:r>
          </w:p>
        </w:tc>
        <w:tc>
          <w:tcPr>
            <w:tcW w:w="1575" w:type="dxa"/>
            <w:shd w:val="clear" w:color="auto" w:fill="D9EAD3"/>
            <w:tcMar>
              <w:top w:w="100" w:type="dxa"/>
              <w:left w:w="100" w:type="dxa"/>
              <w:bottom w:w="100" w:type="dxa"/>
              <w:right w:w="100" w:type="dxa"/>
            </w:tcMar>
            <w:vAlign w:val="center"/>
          </w:tcPr>
          <w:p w14:paraId="21BB7380" w14:textId="77777777" w:rsidR="002F7564" w:rsidRDefault="00000000">
            <w:pPr>
              <w:widowControl w:val="0"/>
              <w:pBdr>
                <w:top w:val="nil"/>
                <w:left w:val="nil"/>
                <w:bottom w:val="nil"/>
                <w:right w:val="nil"/>
                <w:between w:val="nil"/>
              </w:pBdr>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(OI.02.3.63)</w:t>
            </w:r>
          </w:p>
        </w:tc>
        <w:tc>
          <w:tcPr>
            <w:tcW w:w="1395" w:type="dxa"/>
            <w:shd w:val="clear" w:color="auto" w:fill="D9EAD3"/>
            <w:tcMar>
              <w:top w:w="100" w:type="dxa"/>
              <w:left w:w="100" w:type="dxa"/>
              <w:bottom w:w="100" w:type="dxa"/>
              <w:right w:w="100" w:type="dxa"/>
            </w:tcMar>
            <w:vAlign w:val="center"/>
          </w:tcPr>
          <w:p w14:paraId="2F4AC7D9"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shd w:val="clear" w:color="auto" w:fill="D9EAD3"/>
            <w:tcMar>
              <w:top w:w="100" w:type="dxa"/>
              <w:left w:w="100" w:type="dxa"/>
              <w:bottom w:w="100" w:type="dxa"/>
              <w:right w:w="100" w:type="dxa"/>
            </w:tcMar>
            <w:vAlign w:val="center"/>
          </w:tcPr>
          <w:p w14:paraId="62E19B35"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370.085,00</w:t>
            </w:r>
          </w:p>
        </w:tc>
        <w:tc>
          <w:tcPr>
            <w:tcW w:w="1395" w:type="dxa"/>
            <w:shd w:val="clear" w:color="auto" w:fill="D9EAD3"/>
            <w:tcMar>
              <w:top w:w="100" w:type="dxa"/>
              <w:left w:w="100" w:type="dxa"/>
              <w:bottom w:w="100" w:type="dxa"/>
              <w:right w:w="100" w:type="dxa"/>
            </w:tcMar>
            <w:vAlign w:val="center"/>
          </w:tcPr>
          <w:p w14:paraId="040C361F"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3.650.000,00</w:t>
            </w:r>
          </w:p>
        </w:tc>
        <w:tc>
          <w:tcPr>
            <w:tcW w:w="1395" w:type="dxa"/>
            <w:shd w:val="clear" w:color="auto" w:fill="D9EAD3"/>
            <w:tcMar>
              <w:top w:w="100" w:type="dxa"/>
              <w:left w:w="100" w:type="dxa"/>
              <w:bottom w:w="100" w:type="dxa"/>
              <w:right w:w="100" w:type="dxa"/>
            </w:tcMar>
            <w:vAlign w:val="center"/>
          </w:tcPr>
          <w:p w14:paraId="6384EC05"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5.000.000,00</w:t>
            </w:r>
          </w:p>
        </w:tc>
        <w:tc>
          <w:tcPr>
            <w:tcW w:w="1395" w:type="dxa"/>
            <w:shd w:val="clear" w:color="auto" w:fill="D9EAD3"/>
            <w:tcMar>
              <w:top w:w="100" w:type="dxa"/>
              <w:left w:w="100" w:type="dxa"/>
              <w:bottom w:w="100" w:type="dxa"/>
              <w:right w:w="100" w:type="dxa"/>
            </w:tcMar>
            <w:vAlign w:val="center"/>
          </w:tcPr>
          <w:p w14:paraId="7D5F74D2"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8.940.000,00</w:t>
            </w:r>
          </w:p>
        </w:tc>
        <w:tc>
          <w:tcPr>
            <w:tcW w:w="1395" w:type="dxa"/>
            <w:shd w:val="clear" w:color="auto" w:fill="D9EAD3"/>
            <w:tcMar>
              <w:top w:w="100" w:type="dxa"/>
              <w:left w:w="100" w:type="dxa"/>
              <w:bottom w:w="100" w:type="dxa"/>
              <w:right w:w="100" w:type="dxa"/>
            </w:tcMar>
            <w:vAlign w:val="center"/>
          </w:tcPr>
          <w:p w14:paraId="5211A9E7"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1.750.000,00</w:t>
            </w:r>
          </w:p>
        </w:tc>
        <w:tc>
          <w:tcPr>
            <w:tcW w:w="1395" w:type="dxa"/>
            <w:shd w:val="clear" w:color="auto" w:fill="D9EAD3"/>
            <w:tcMar>
              <w:top w:w="100" w:type="dxa"/>
              <w:left w:w="100" w:type="dxa"/>
              <w:bottom w:w="100" w:type="dxa"/>
              <w:right w:w="100" w:type="dxa"/>
            </w:tcMar>
            <w:vAlign w:val="center"/>
          </w:tcPr>
          <w:p w14:paraId="0AAFE873"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560" w:type="dxa"/>
            <w:shd w:val="clear" w:color="auto" w:fill="D9EAD3"/>
            <w:tcMar>
              <w:top w:w="100" w:type="dxa"/>
              <w:left w:w="100" w:type="dxa"/>
              <w:bottom w:w="100" w:type="dxa"/>
              <w:right w:w="100" w:type="dxa"/>
            </w:tcMar>
            <w:vAlign w:val="center"/>
          </w:tcPr>
          <w:p w14:paraId="19753BFA"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19.710.085,00</w:t>
            </w:r>
          </w:p>
        </w:tc>
      </w:tr>
      <w:tr w:rsidR="002F7564" w14:paraId="3A319481" w14:textId="77777777">
        <w:tc>
          <w:tcPr>
            <w:tcW w:w="1185" w:type="dxa"/>
            <w:shd w:val="clear" w:color="auto" w:fill="F3F3F3"/>
            <w:tcMar>
              <w:top w:w="100" w:type="dxa"/>
              <w:left w:w="100" w:type="dxa"/>
              <w:bottom w:w="100" w:type="dxa"/>
              <w:right w:w="100" w:type="dxa"/>
            </w:tcMar>
            <w:vAlign w:val="center"/>
          </w:tcPr>
          <w:p w14:paraId="7E7AFB04" w14:textId="77777777" w:rsidR="002F7564" w:rsidRDefault="00000000">
            <w:pPr>
              <w:widowControl w:val="0"/>
              <w:pBdr>
                <w:top w:val="nil"/>
                <w:left w:val="nil"/>
                <w:bottom w:val="nil"/>
                <w:right w:val="nil"/>
                <w:between w:val="nil"/>
              </w:pBdr>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2.1.</w:t>
            </w:r>
          </w:p>
        </w:tc>
        <w:tc>
          <w:tcPr>
            <w:tcW w:w="1575" w:type="dxa"/>
            <w:shd w:val="clear" w:color="auto" w:fill="F3F3F3"/>
            <w:tcMar>
              <w:top w:w="100" w:type="dxa"/>
              <w:left w:w="100" w:type="dxa"/>
              <w:bottom w:w="100" w:type="dxa"/>
              <w:right w:w="100" w:type="dxa"/>
            </w:tcMar>
            <w:vAlign w:val="center"/>
          </w:tcPr>
          <w:p w14:paraId="4EFCD4A5" w14:textId="77777777" w:rsidR="002F7564" w:rsidRDefault="00000000">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(OI.02.11.44)</w:t>
            </w:r>
          </w:p>
        </w:tc>
        <w:tc>
          <w:tcPr>
            <w:tcW w:w="1395" w:type="dxa"/>
            <w:shd w:val="clear" w:color="auto" w:fill="F3F3F3"/>
            <w:tcMar>
              <w:top w:w="100" w:type="dxa"/>
              <w:left w:w="100" w:type="dxa"/>
              <w:bottom w:w="100" w:type="dxa"/>
              <w:right w:w="100" w:type="dxa"/>
            </w:tcMar>
            <w:vAlign w:val="center"/>
          </w:tcPr>
          <w:p w14:paraId="54769216"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shd w:val="clear" w:color="auto" w:fill="F3F3F3"/>
            <w:tcMar>
              <w:top w:w="100" w:type="dxa"/>
              <w:left w:w="100" w:type="dxa"/>
              <w:bottom w:w="100" w:type="dxa"/>
              <w:right w:w="100" w:type="dxa"/>
            </w:tcMar>
            <w:vAlign w:val="center"/>
          </w:tcPr>
          <w:p w14:paraId="63CF2F28"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9.979.500,00</w:t>
            </w:r>
          </w:p>
        </w:tc>
        <w:tc>
          <w:tcPr>
            <w:tcW w:w="1395" w:type="dxa"/>
            <w:shd w:val="clear" w:color="auto" w:fill="F3F3F3"/>
            <w:tcMar>
              <w:top w:w="100" w:type="dxa"/>
              <w:left w:w="100" w:type="dxa"/>
              <w:bottom w:w="100" w:type="dxa"/>
              <w:right w:w="100" w:type="dxa"/>
            </w:tcMar>
            <w:vAlign w:val="center"/>
          </w:tcPr>
          <w:p w14:paraId="1E50F138"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30.075.883,90</w:t>
            </w:r>
          </w:p>
        </w:tc>
        <w:tc>
          <w:tcPr>
            <w:tcW w:w="1395" w:type="dxa"/>
            <w:shd w:val="clear" w:color="auto" w:fill="F3F3F3"/>
            <w:tcMar>
              <w:top w:w="100" w:type="dxa"/>
              <w:left w:w="100" w:type="dxa"/>
              <w:bottom w:w="100" w:type="dxa"/>
              <w:right w:w="100" w:type="dxa"/>
            </w:tcMar>
            <w:vAlign w:val="center"/>
          </w:tcPr>
          <w:p w14:paraId="2242A319"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55.291.552,40</w:t>
            </w:r>
          </w:p>
        </w:tc>
        <w:tc>
          <w:tcPr>
            <w:tcW w:w="1395" w:type="dxa"/>
            <w:shd w:val="clear" w:color="auto" w:fill="F3F3F3"/>
            <w:tcMar>
              <w:top w:w="100" w:type="dxa"/>
              <w:left w:w="100" w:type="dxa"/>
              <w:bottom w:w="100" w:type="dxa"/>
              <w:right w:w="100" w:type="dxa"/>
            </w:tcMar>
            <w:vAlign w:val="center"/>
          </w:tcPr>
          <w:p w14:paraId="7177C0EF"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58.936.299,31</w:t>
            </w:r>
          </w:p>
        </w:tc>
        <w:tc>
          <w:tcPr>
            <w:tcW w:w="1395" w:type="dxa"/>
            <w:shd w:val="clear" w:color="auto" w:fill="F3F3F3"/>
            <w:tcMar>
              <w:top w:w="100" w:type="dxa"/>
              <w:left w:w="100" w:type="dxa"/>
              <w:bottom w:w="100" w:type="dxa"/>
              <w:right w:w="100" w:type="dxa"/>
            </w:tcMar>
            <w:vAlign w:val="center"/>
          </w:tcPr>
          <w:p w14:paraId="1A317C46"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42.203.472,90</w:t>
            </w:r>
          </w:p>
        </w:tc>
        <w:tc>
          <w:tcPr>
            <w:tcW w:w="1395" w:type="dxa"/>
            <w:shd w:val="clear" w:color="auto" w:fill="F3F3F3"/>
            <w:tcMar>
              <w:top w:w="100" w:type="dxa"/>
              <w:left w:w="100" w:type="dxa"/>
              <w:bottom w:w="100" w:type="dxa"/>
              <w:right w:w="100" w:type="dxa"/>
            </w:tcMar>
            <w:vAlign w:val="center"/>
          </w:tcPr>
          <w:p w14:paraId="77794F2F"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12.050.450,40</w:t>
            </w:r>
          </w:p>
        </w:tc>
        <w:tc>
          <w:tcPr>
            <w:tcW w:w="1560" w:type="dxa"/>
            <w:shd w:val="clear" w:color="auto" w:fill="F3F3F3"/>
            <w:tcMar>
              <w:top w:w="100" w:type="dxa"/>
              <w:left w:w="100" w:type="dxa"/>
              <w:bottom w:w="100" w:type="dxa"/>
              <w:right w:w="100" w:type="dxa"/>
            </w:tcMar>
            <w:vAlign w:val="center"/>
          </w:tcPr>
          <w:p w14:paraId="03DFC267"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208.537.158,91</w:t>
            </w:r>
          </w:p>
        </w:tc>
      </w:tr>
      <w:tr w:rsidR="002F7564" w14:paraId="31C7A761" w14:textId="77777777">
        <w:tc>
          <w:tcPr>
            <w:tcW w:w="1185" w:type="dxa"/>
            <w:shd w:val="clear" w:color="auto" w:fill="F3F3F3"/>
            <w:tcMar>
              <w:top w:w="100" w:type="dxa"/>
              <w:left w:w="100" w:type="dxa"/>
              <w:bottom w:w="100" w:type="dxa"/>
              <w:right w:w="100" w:type="dxa"/>
            </w:tcMar>
            <w:vAlign w:val="center"/>
          </w:tcPr>
          <w:p w14:paraId="1B1ADD5A" w14:textId="77777777" w:rsidR="002F7564" w:rsidRDefault="00000000">
            <w:pPr>
              <w:widowControl w:val="0"/>
              <w:pBdr>
                <w:top w:val="nil"/>
                <w:left w:val="nil"/>
                <w:bottom w:val="nil"/>
                <w:right w:val="nil"/>
                <w:between w:val="nil"/>
              </w:pBdr>
              <w:rPr>
                <w:rFonts w:ascii="Source Sans Pro" w:eastAsia="Source Sans Pro" w:hAnsi="Source Sans Pro" w:cs="Source Sans Pro"/>
                <w:b/>
                <w:sz w:val="18"/>
                <w:szCs w:val="18"/>
              </w:rPr>
            </w:pPr>
            <w:r>
              <w:rPr>
                <w:rFonts w:ascii="Source Sans Pro" w:eastAsia="Source Sans Pro" w:hAnsi="Source Sans Pro" w:cs="Source Sans Pro"/>
                <w:b/>
                <w:sz w:val="18"/>
                <w:szCs w:val="18"/>
              </w:rPr>
              <w:lastRenderedPageBreak/>
              <w:t>Posebni cilj 2.2.</w:t>
            </w:r>
          </w:p>
        </w:tc>
        <w:tc>
          <w:tcPr>
            <w:tcW w:w="1575" w:type="dxa"/>
            <w:shd w:val="clear" w:color="auto" w:fill="F3F3F3"/>
            <w:tcMar>
              <w:top w:w="100" w:type="dxa"/>
              <w:left w:w="100" w:type="dxa"/>
              <w:bottom w:w="100" w:type="dxa"/>
              <w:right w:w="100" w:type="dxa"/>
            </w:tcMar>
            <w:vAlign w:val="center"/>
          </w:tcPr>
          <w:p w14:paraId="70AA79EB" w14:textId="77777777" w:rsidR="002F7564" w:rsidRDefault="00000000">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(OI.02.7.05)</w:t>
            </w:r>
          </w:p>
        </w:tc>
        <w:tc>
          <w:tcPr>
            <w:tcW w:w="1395" w:type="dxa"/>
            <w:shd w:val="clear" w:color="auto" w:fill="F3F3F3"/>
            <w:tcMar>
              <w:top w:w="100" w:type="dxa"/>
              <w:left w:w="100" w:type="dxa"/>
              <w:bottom w:w="100" w:type="dxa"/>
              <w:right w:w="100" w:type="dxa"/>
            </w:tcMar>
            <w:vAlign w:val="center"/>
          </w:tcPr>
          <w:p w14:paraId="57141D5D"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shd w:val="clear" w:color="auto" w:fill="F3F3F3"/>
            <w:tcMar>
              <w:top w:w="100" w:type="dxa"/>
              <w:left w:w="100" w:type="dxa"/>
              <w:bottom w:w="100" w:type="dxa"/>
              <w:right w:w="100" w:type="dxa"/>
            </w:tcMar>
            <w:vAlign w:val="center"/>
          </w:tcPr>
          <w:p w14:paraId="39B74F54"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1.364.800,00</w:t>
            </w:r>
          </w:p>
        </w:tc>
        <w:tc>
          <w:tcPr>
            <w:tcW w:w="1395" w:type="dxa"/>
            <w:shd w:val="clear" w:color="auto" w:fill="F3F3F3"/>
            <w:tcMar>
              <w:top w:w="100" w:type="dxa"/>
              <w:left w:w="100" w:type="dxa"/>
              <w:bottom w:w="100" w:type="dxa"/>
              <w:right w:w="100" w:type="dxa"/>
            </w:tcMar>
            <w:vAlign w:val="center"/>
          </w:tcPr>
          <w:p w14:paraId="486B1B7D"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1.521.000,00</w:t>
            </w:r>
          </w:p>
        </w:tc>
        <w:tc>
          <w:tcPr>
            <w:tcW w:w="1395" w:type="dxa"/>
            <w:shd w:val="clear" w:color="auto" w:fill="F3F3F3"/>
            <w:tcMar>
              <w:top w:w="100" w:type="dxa"/>
              <w:left w:w="100" w:type="dxa"/>
              <w:bottom w:w="100" w:type="dxa"/>
              <w:right w:w="100" w:type="dxa"/>
            </w:tcMar>
            <w:vAlign w:val="center"/>
          </w:tcPr>
          <w:p w14:paraId="500A594F"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2.551.000,00</w:t>
            </w:r>
          </w:p>
        </w:tc>
        <w:tc>
          <w:tcPr>
            <w:tcW w:w="1395" w:type="dxa"/>
            <w:shd w:val="clear" w:color="auto" w:fill="F3F3F3"/>
            <w:tcMar>
              <w:top w:w="100" w:type="dxa"/>
              <w:left w:w="100" w:type="dxa"/>
              <w:bottom w:w="100" w:type="dxa"/>
              <w:right w:w="100" w:type="dxa"/>
            </w:tcMar>
            <w:vAlign w:val="center"/>
          </w:tcPr>
          <w:p w14:paraId="38110FCE"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1.551.000,00</w:t>
            </w:r>
          </w:p>
        </w:tc>
        <w:tc>
          <w:tcPr>
            <w:tcW w:w="1395" w:type="dxa"/>
            <w:shd w:val="clear" w:color="auto" w:fill="F3F3F3"/>
            <w:tcMar>
              <w:top w:w="100" w:type="dxa"/>
              <w:left w:w="100" w:type="dxa"/>
              <w:bottom w:w="100" w:type="dxa"/>
              <w:right w:w="100" w:type="dxa"/>
            </w:tcMar>
            <w:vAlign w:val="center"/>
          </w:tcPr>
          <w:p w14:paraId="01981F17"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1.571.000,00</w:t>
            </w:r>
          </w:p>
        </w:tc>
        <w:tc>
          <w:tcPr>
            <w:tcW w:w="1395" w:type="dxa"/>
            <w:shd w:val="clear" w:color="auto" w:fill="F3F3F3"/>
            <w:tcMar>
              <w:top w:w="100" w:type="dxa"/>
              <w:left w:w="100" w:type="dxa"/>
              <w:bottom w:w="100" w:type="dxa"/>
              <w:right w:w="100" w:type="dxa"/>
            </w:tcMar>
            <w:vAlign w:val="center"/>
          </w:tcPr>
          <w:p w14:paraId="43ED733F"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1.521.000,00</w:t>
            </w:r>
          </w:p>
        </w:tc>
        <w:tc>
          <w:tcPr>
            <w:tcW w:w="1560" w:type="dxa"/>
            <w:shd w:val="clear" w:color="auto" w:fill="F3F3F3"/>
            <w:tcMar>
              <w:top w:w="100" w:type="dxa"/>
              <w:left w:w="100" w:type="dxa"/>
              <w:bottom w:w="100" w:type="dxa"/>
              <w:right w:w="100" w:type="dxa"/>
            </w:tcMar>
            <w:vAlign w:val="center"/>
          </w:tcPr>
          <w:p w14:paraId="076B1314"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10.079.800,00</w:t>
            </w:r>
          </w:p>
        </w:tc>
      </w:tr>
      <w:tr w:rsidR="002F7564" w14:paraId="58BEC2B2" w14:textId="77777777">
        <w:tc>
          <w:tcPr>
            <w:tcW w:w="1185" w:type="dxa"/>
            <w:shd w:val="clear" w:color="auto" w:fill="F3F3F3"/>
            <w:tcMar>
              <w:top w:w="100" w:type="dxa"/>
              <w:left w:w="100" w:type="dxa"/>
              <w:bottom w:w="100" w:type="dxa"/>
              <w:right w:w="100" w:type="dxa"/>
            </w:tcMar>
            <w:vAlign w:val="center"/>
          </w:tcPr>
          <w:p w14:paraId="536D0828" w14:textId="77777777" w:rsidR="002F7564" w:rsidRDefault="00000000">
            <w:pPr>
              <w:widowControl w:val="0"/>
              <w:pBdr>
                <w:top w:val="nil"/>
                <w:left w:val="nil"/>
                <w:bottom w:val="nil"/>
                <w:right w:val="nil"/>
                <w:between w:val="nil"/>
              </w:pBdr>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2.3.</w:t>
            </w:r>
          </w:p>
        </w:tc>
        <w:tc>
          <w:tcPr>
            <w:tcW w:w="1575" w:type="dxa"/>
            <w:shd w:val="clear" w:color="auto" w:fill="F3F3F3"/>
            <w:tcMar>
              <w:top w:w="100" w:type="dxa"/>
              <w:left w:w="100" w:type="dxa"/>
              <w:bottom w:w="100" w:type="dxa"/>
              <w:right w:w="100" w:type="dxa"/>
            </w:tcMar>
            <w:vAlign w:val="center"/>
          </w:tcPr>
          <w:p w14:paraId="18DED128" w14:textId="77777777" w:rsidR="002F7564" w:rsidRDefault="00000000">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(OI.02.6.64)</w:t>
            </w:r>
          </w:p>
          <w:p w14:paraId="370AB137" w14:textId="77777777" w:rsidR="002F7564" w:rsidRDefault="00000000">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(OI.02.6.35)</w:t>
            </w:r>
          </w:p>
        </w:tc>
        <w:tc>
          <w:tcPr>
            <w:tcW w:w="1395" w:type="dxa"/>
            <w:shd w:val="clear" w:color="auto" w:fill="F3F3F3"/>
            <w:tcMar>
              <w:top w:w="100" w:type="dxa"/>
              <w:left w:w="100" w:type="dxa"/>
              <w:bottom w:w="100" w:type="dxa"/>
              <w:right w:w="100" w:type="dxa"/>
            </w:tcMar>
            <w:vAlign w:val="center"/>
          </w:tcPr>
          <w:p w14:paraId="303D61F9"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shd w:val="clear" w:color="auto" w:fill="F3F3F3"/>
            <w:tcMar>
              <w:top w:w="100" w:type="dxa"/>
              <w:left w:w="100" w:type="dxa"/>
              <w:bottom w:w="100" w:type="dxa"/>
              <w:right w:w="100" w:type="dxa"/>
            </w:tcMar>
            <w:vAlign w:val="center"/>
          </w:tcPr>
          <w:p w14:paraId="3DE462E0"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281.694.707,67</w:t>
            </w:r>
          </w:p>
        </w:tc>
        <w:tc>
          <w:tcPr>
            <w:tcW w:w="1395" w:type="dxa"/>
            <w:shd w:val="clear" w:color="auto" w:fill="F3F3F3"/>
            <w:tcMar>
              <w:top w:w="100" w:type="dxa"/>
              <w:left w:w="100" w:type="dxa"/>
              <w:bottom w:w="100" w:type="dxa"/>
              <w:right w:w="100" w:type="dxa"/>
            </w:tcMar>
            <w:vAlign w:val="center"/>
          </w:tcPr>
          <w:p w14:paraId="7DB207E8"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113.375.250,00</w:t>
            </w:r>
          </w:p>
        </w:tc>
        <w:tc>
          <w:tcPr>
            <w:tcW w:w="1395" w:type="dxa"/>
            <w:shd w:val="clear" w:color="auto" w:fill="F3F3F3"/>
            <w:tcMar>
              <w:top w:w="100" w:type="dxa"/>
              <w:left w:w="100" w:type="dxa"/>
              <w:bottom w:w="100" w:type="dxa"/>
              <w:right w:w="100" w:type="dxa"/>
            </w:tcMar>
            <w:vAlign w:val="center"/>
          </w:tcPr>
          <w:p w14:paraId="31E65BFF"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8.070.000,00</w:t>
            </w:r>
          </w:p>
        </w:tc>
        <w:tc>
          <w:tcPr>
            <w:tcW w:w="1395" w:type="dxa"/>
            <w:shd w:val="clear" w:color="auto" w:fill="F3F3F3"/>
            <w:tcMar>
              <w:top w:w="100" w:type="dxa"/>
              <w:left w:w="100" w:type="dxa"/>
              <w:bottom w:w="100" w:type="dxa"/>
              <w:right w:w="100" w:type="dxa"/>
            </w:tcMar>
            <w:vAlign w:val="center"/>
          </w:tcPr>
          <w:p w14:paraId="6D642445"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30.372.573,80</w:t>
            </w:r>
          </w:p>
        </w:tc>
        <w:tc>
          <w:tcPr>
            <w:tcW w:w="1395" w:type="dxa"/>
            <w:shd w:val="clear" w:color="auto" w:fill="F3F3F3"/>
            <w:tcMar>
              <w:top w:w="100" w:type="dxa"/>
              <w:left w:w="100" w:type="dxa"/>
              <w:bottom w:w="100" w:type="dxa"/>
              <w:right w:w="100" w:type="dxa"/>
            </w:tcMar>
            <w:vAlign w:val="center"/>
          </w:tcPr>
          <w:p w14:paraId="35D054B7"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21.282.573,80</w:t>
            </w:r>
          </w:p>
        </w:tc>
        <w:tc>
          <w:tcPr>
            <w:tcW w:w="1395" w:type="dxa"/>
            <w:shd w:val="clear" w:color="auto" w:fill="F3F3F3"/>
            <w:tcMar>
              <w:top w:w="100" w:type="dxa"/>
              <w:left w:w="100" w:type="dxa"/>
              <w:bottom w:w="100" w:type="dxa"/>
              <w:right w:w="100" w:type="dxa"/>
            </w:tcMar>
            <w:vAlign w:val="center"/>
          </w:tcPr>
          <w:p w14:paraId="144ECED1"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17.032.573,80</w:t>
            </w:r>
          </w:p>
        </w:tc>
        <w:tc>
          <w:tcPr>
            <w:tcW w:w="1560" w:type="dxa"/>
            <w:shd w:val="clear" w:color="auto" w:fill="F3F3F3"/>
            <w:tcMar>
              <w:top w:w="100" w:type="dxa"/>
              <w:left w:w="100" w:type="dxa"/>
              <w:bottom w:w="100" w:type="dxa"/>
              <w:right w:w="100" w:type="dxa"/>
            </w:tcMar>
            <w:vAlign w:val="center"/>
          </w:tcPr>
          <w:p w14:paraId="2E60F5B4"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471.827.679,07</w:t>
            </w:r>
          </w:p>
        </w:tc>
      </w:tr>
      <w:tr w:rsidR="002F7564" w14:paraId="123A0834" w14:textId="77777777">
        <w:tc>
          <w:tcPr>
            <w:tcW w:w="1185" w:type="dxa"/>
            <w:shd w:val="clear" w:color="auto" w:fill="D9EAD3"/>
            <w:tcMar>
              <w:top w:w="100" w:type="dxa"/>
              <w:left w:w="100" w:type="dxa"/>
              <w:bottom w:w="100" w:type="dxa"/>
              <w:right w:w="100" w:type="dxa"/>
            </w:tcMar>
            <w:vAlign w:val="center"/>
          </w:tcPr>
          <w:p w14:paraId="29400B5F" w14:textId="77777777" w:rsidR="002F7564" w:rsidRDefault="00000000">
            <w:pPr>
              <w:widowControl w:val="0"/>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3.1.</w:t>
            </w:r>
          </w:p>
        </w:tc>
        <w:tc>
          <w:tcPr>
            <w:tcW w:w="1575" w:type="dxa"/>
            <w:shd w:val="clear" w:color="auto" w:fill="D9EAD3"/>
            <w:tcMar>
              <w:top w:w="100" w:type="dxa"/>
              <w:left w:w="100" w:type="dxa"/>
              <w:bottom w:w="100" w:type="dxa"/>
              <w:right w:w="100" w:type="dxa"/>
            </w:tcMar>
            <w:vAlign w:val="center"/>
          </w:tcPr>
          <w:p w14:paraId="1900F3C9" w14:textId="77777777" w:rsidR="002F7564" w:rsidRDefault="00000000">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(OI.02.1.31)</w:t>
            </w:r>
          </w:p>
          <w:p w14:paraId="5495294E" w14:textId="77777777" w:rsidR="002F7564" w:rsidRDefault="00000000">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(OI.02.12.77)</w:t>
            </w:r>
          </w:p>
        </w:tc>
        <w:tc>
          <w:tcPr>
            <w:tcW w:w="1395" w:type="dxa"/>
            <w:shd w:val="clear" w:color="auto" w:fill="D9EAD3"/>
            <w:tcMar>
              <w:top w:w="100" w:type="dxa"/>
              <w:left w:w="100" w:type="dxa"/>
              <w:bottom w:w="100" w:type="dxa"/>
              <w:right w:w="100" w:type="dxa"/>
            </w:tcMar>
            <w:vAlign w:val="center"/>
          </w:tcPr>
          <w:p w14:paraId="795E7385"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shd w:val="clear" w:color="auto" w:fill="D9EAD3"/>
            <w:tcMar>
              <w:top w:w="100" w:type="dxa"/>
              <w:left w:w="100" w:type="dxa"/>
              <w:bottom w:w="100" w:type="dxa"/>
              <w:right w:w="100" w:type="dxa"/>
            </w:tcMar>
            <w:vAlign w:val="center"/>
          </w:tcPr>
          <w:p w14:paraId="37829B85"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1.260.725,00</w:t>
            </w:r>
          </w:p>
        </w:tc>
        <w:tc>
          <w:tcPr>
            <w:tcW w:w="1395" w:type="dxa"/>
            <w:shd w:val="clear" w:color="auto" w:fill="D9EAD3"/>
            <w:tcMar>
              <w:top w:w="100" w:type="dxa"/>
              <w:left w:w="100" w:type="dxa"/>
              <w:bottom w:w="100" w:type="dxa"/>
              <w:right w:w="100" w:type="dxa"/>
            </w:tcMar>
            <w:vAlign w:val="center"/>
          </w:tcPr>
          <w:p w14:paraId="28950DDE"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1.100.000,00</w:t>
            </w:r>
          </w:p>
        </w:tc>
        <w:tc>
          <w:tcPr>
            <w:tcW w:w="1395" w:type="dxa"/>
            <w:shd w:val="clear" w:color="auto" w:fill="D9EAD3"/>
            <w:tcMar>
              <w:top w:w="100" w:type="dxa"/>
              <w:left w:w="100" w:type="dxa"/>
              <w:bottom w:w="100" w:type="dxa"/>
              <w:right w:w="100" w:type="dxa"/>
            </w:tcMar>
            <w:vAlign w:val="center"/>
          </w:tcPr>
          <w:p w14:paraId="7941BB3C"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11.890.990,00</w:t>
            </w:r>
          </w:p>
        </w:tc>
        <w:tc>
          <w:tcPr>
            <w:tcW w:w="1395" w:type="dxa"/>
            <w:shd w:val="clear" w:color="auto" w:fill="D9EAD3"/>
            <w:tcMar>
              <w:top w:w="100" w:type="dxa"/>
              <w:left w:w="100" w:type="dxa"/>
              <w:bottom w:w="100" w:type="dxa"/>
              <w:right w:w="100" w:type="dxa"/>
            </w:tcMar>
            <w:vAlign w:val="center"/>
          </w:tcPr>
          <w:p w14:paraId="69B8F8D6"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43.132.938,00</w:t>
            </w:r>
          </w:p>
        </w:tc>
        <w:tc>
          <w:tcPr>
            <w:tcW w:w="1395" w:type="dxa"/>
            <w:shd w:val="clear" w:color="auto" w:fill="D9EAD3"/>
            <w:tcMar>
              <w:top w:w="100" w:type="dxa"/>
              <w:left w:w="100" w:type="dxa"/>
              <w:bottom w:w="100" w:type="dxa"/>
              <w:right w:w="100" w:type="dxa"/>
            </w:tcMar>
            <w:vAlign w:val="center"/>
          </w:tcPr>
          <w:p w14:paraId="782F164F"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37.711.948,00</w:t>
            </w:r>
          </w:p>
        </w:tc>
        <w:tc>
          <w:tcPr>
            <w:tcW w:w="1395" w:type="dxa"/>
            <w:shd w:val="clear" w:color="auto" w:fill="D9EAD3"/>
            <w:tcMar>
              <w:top w:w="100" w:type="dxa"/>
              <w:left w:w="100" w:type="dxa"/>
              <w:bottom w:w="100" w:type="dxa"/>
              <w:right w:w="100" w:type="dxa"/>
            </w:tcMar>
            <w:vAlign w:val="center"/>
          </w:tcPr>
          <w:p w14:paraId="4177DC78"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33.961.948,00</w:t>
            </w:r>
          </w:p>
        </w:tc>
        <w:tc>
          <w:tcPr>
            <w:tcW w:w="1560" w:type="dxa"/>
            <w:shd w:val="clear" w:color="auto" w:fill="D9EAD3"/>
            <w:tcMar>
              <w:top w:w="100" w:type="dxa"/>
              <w:left w:w="100" w:type="dxa"/>
              <w:bottom w:w="100" w:type="dxa"/>
              <w:right w:w="100" w:type="dxa"/>
            </w:tcMar>
            <w:vAlign w:val="center"/>
          </w:tcPr>
          <w:p w14:paraId="2E51C688"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129.058.549,00</w:t>
            </w:r>
          </w:p>
        </w:tc>
      </w:tr>
      <w:tr w:rsidR="002F7564" w14:paraId="1E80116A" w14:textId="77777777">
        <w:tc>
          <w:tcPr>
            <w:tcW w:w="1185" w:type="dxa"/>
            <w:shd w:val="clear" w:color="auto" w:fill="D9EAD3"/>
            <w:tcMar>
              <w:top w:w="100" w:type="dxa"/>
              <w:left w:w="100" w:type="dxa"/>
              <w:bottom w:w="100" w:type="dxa"/>
              <w:right w:w="100" w:type="dxa"/>
            </w:tcMar>
            <w:vAlign w:val="center"/>
          </w:tcPr>
          <w:p w14:paraId="57598097" w14:textId="77777777" w:rsidR="002F7564" w:rsidRDefault="00000000">
            <w:pPr>
              <w:widowControl w:val="0"/>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3.2.</w:t>
            </w:r>
          </w:p>
        </w:tc>
        <w:tc>
          <w:tcPr>
            <w:tcW w:w="1575" w:type="dxa"/>
            <w:shd w:val="clear" w:color="auto" w:fill="D9EAD3"/>
            <w:tcMar>
              <w:top w:w="100" w:type="dxa"/>
              <w:left w:w="100" w:type="dxa"/>
              <w:bottom w:w="100" w:type="dxa"/>
              <w:right w:w="100" w:type="dxa"/>
            </w:tcMar>
            <w:vAlign w:val="center"/>
          </w:tcPr>
          <w:p w14:paraId="1FA7088F" w14:textId="77777777" w:rsidR="002F7564" w:rsidRDefault="00000000">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(OI.02.6.50)</w:t>
            </w:r>
          </w:p>
        </w:tc>
        <w:tc>
          <w:tcPr>
            <w:tcW w:w="1395" w:type="dxa"/>
            <w:shd w:val="clear" w:color="auto" w:fill="D9EAD3"/>
            <w:tcMar>
              <w:top w:w="100" w:type="dxa"/>
              <w:left w:w="100" w:type="dxa"/>
              <w:bottom w:w="100" w:type="dxa"/>
              <w:right w:w="100" w:type="dxa"/>
            </w:tcMar>
            <w:vAlign w:val="center"/>
          </w:tcPr>
          <w:p w14:paraId="66001869"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shd w:val="clear" w:color="auto" w:fill="D9EAD3"/>
            <w:tcMar>
              <w:top w:w="100" w:type="dxa"/>
              <w:left w:w="100" w:type="dxa"/>
              <w:bottom w:w="100" w:type="dxa"/>
              <w:right w:w="100" w:type="dxa"/>
            </w:tcMar>
            <w:vAlign w:val="center"/>
          </w:tcPr>
          <w:p w14:paraId="2CB55268"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2.089.558,13</w:t>
            </w:r>
          </w:p>
        </w:tc>
        <w:tc>
          <w:tcPr>
            <w:tcW w:w="1395" w:type="dxa"/>
            <w:shd w:val="clear" w:color="auto" w:fill="D9EAD3"/>
            <w:tcMar>
              <w:top w:w="100" w:type="dxa"/>
              <w:left w:w="100" w:type="dxa"/>
              <w:bottom w:w="100" w:type="dxa"/>
              <w:right w:w="100" w:type="dxa"/>
            </w:tcMar>
            <w:vAlign w:val="center"/>
          </w:tcPr>
          <w:p w14:paraId="43272697"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4.942.503,00</w:t>
            </w:r>
          </w:p>
        </w:tc>
        <w:tc>
          <w:tcPr>
            <w:tcW w:w="1395" w:type="dxa"/>
            <w:shd w:val="clear" w:color="auto" w:fill="D9EAD3"/>
            <w:tcMar>
              <w:top w:w="100" w:type="dxa"/>
              <w:left w:w="100" w:type="dxa"/>
              <w:bottom w:w="100" w:type="dxa"/>
              <w:right w:w="100" w:type="dxa"/>
            </w:tcMar>
            <w:vAlign w:val="center"/>
          </w:tcPr>
          <w:p w14:paraId="50003B48"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7.680.000,00</w:t>
            </w:r>
          </w:p>
        </w:tc>
        <w:tc>
          <w:tcPr>
            <w:tcW w:w="1395" w:type="dxa"/>
            <w:shd w:val="clear" w:color="auto" w:fill="D9EAD3"/>
            <w:tcMar>
              <w:top w:w="100" w:type="dxa"/>
              <w:left w:w="100" w:type="dxa"/>
              <w:bottom w:w="100" w:type="dxa"/>
              <w:right w:w="100" w:type="dxa"/>
            </w:tcMar>
            <w:vAlign w:val="center"/>
          </w:tcPr>
          <w:p w14:paraId="33EF1D7C"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27.733.326,00</w:t>
            </w:r>
          </w:p>
        </w:tc>
        <w:tc>
          <w:tcPr>
            <w:tcW w:w="1395" w:type="dxa"/>
            <w:shd w:val="clear" w:color="auto" w:fill="D9EAD3"/>
            <w:tcMar>
              <w:top w:w="100" w:type="dxa"/>
              <w:left w:w="100" w:type="dxa"/>
              <w:bottom w:w="100" w:type="dxa"/>
              <w:right w:w="100" w:type="dxa"/>
            </w:tcMar>
            <w:vAlign w:val="center"/>
          </w:tcPr>
          <w:p w14:paraId="774B0033"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28.165.766,00</w:t>
            </w:r>
          </w:p>
        </w:tc>
        <w:tc>
          <w:tcPr>
            <w:tcW w:w="1395" w:type="dxa"/>
            <w:shd w:val="clear" w:color="auto" w:fill="D9EAD3"/>
            <w:tcMar>
              <w:top w:w="100" w:type="dxa"/>
              <w:left w:w="100" w:type="dxa"/>
              <w:bottom w:w="100" w:type="dxa"/>
              <w:right w:w="100" w:type="dxa"/>
            </w:tcMar>
            <w:vAlign w:val="center"/>
          </w:tcPr>
          <w:p w14:paraId="1353A2C9"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26.605.766,00</w:t>
            </w:r>
          </w:p>
        </w:tc>
        <w:tc>
          <w:tcPr>
            <w:tcW w:w="1560" w:type="dxa"/>
            <w:shd w:val="clear" w:color="auto" w:fill="D9EAD3"/>
            <w:tcMar>
              <w:top w:w="100" w:type="dxa"/>
              <w:left w:w="100" w:type="dxa"/>
              <w:bottom w:w="100" w:type="dxa"/>
              <w:right w:w="100" w:type="dxa"/>
            </w:tcMar>
            <w:vAlign w:val="center"/>
          </w:tcPr>
          <w:p w14:paraId="0A98AF0C"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97.216.919,13</w:t>
            </w:r>
          </w:p>
        </w:tc>
      </w:tr>
      <w:tr w:rsidR="002F7564" w14:paraId="4A5EC7C5" w14:textId="77777777">
        <w:tc>
          <w:tcPr>
            <w:tcW w:w="1185" w:type="dxa"/>
            <w:shd w:val="clear" w:color="auto" w:fill="F3F3F3"/>
            <w:tcMar>
              <w:top w:w="100" w:type="dxa"/>
              <w:left w:w="100" w:type="dxa"/>
              <w:bottom w:w="100" w:type="dxa"/>
              <w:right w:w="100" w:type="dxa"/>
            </w:tcMar>
            <w:vAlign w:val="center"/>
          </w:tcPr>
          <w:p w14:paraId="3228CFDF" w14:textId="77777777" w:rsidR="002F7564" w:rsidRDefault="00000000">
            <w:pPr>
              <w:widowControl w:val="0"/>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4.1.</w:t>
            </w:r>
          </w:p>
        </w:tc>
        <w:tc>
          <w:tcPr>
            <w:tcW w:w="1575" w:type="dxa"/>
            <w:shd w:val="clear" w:color="auto" w:fill="F3F3F3"/>
            <w:tcMar>
              <w:top w:w="100" w:type="dxa"/>
              <w:left w:w="100" w:type="dxa"/>
              <w:bottom w:w="100" w:type="dxa"/>
              <w:right w:w="100" w:type="dxa"/>
            </w:tcMar>
            <w:vAlign w:val="center"/>
          </w:tcPr>
          <w:p w14:paraId="62BB78F9" w14:textId="77777777" w:rsidR="002F7564" w:rsidRDefault="00000000">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(OI.02.8.48)</w:t>
            </w:r>
          </w:p>
        </w:tc>
        <w:tc>
          <w:tcPr>
            <w:tcW w:w="1395" w:type="dxa"/>
            <w:shd w:val="clear" w:color="auto" w:fill="F3F3F3"/>
            <w:tcMar>
              <w:top w:w="100" w:type="dxa"/>
              <w:left w:w="100" w:type="dxa"/>
              <w:bottom w:w="100" w:type="dxa"/>
              <w:right w:w="100" w:type="dxa"/>
            </w:tcMar>
            <w:vAlign w:val="center"/>
          </w:tcPr>
          <w:p w14:paraId="4D1CD5ED"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shd w:val="clear" w:color="auto" w:fill="F3F3F3"/>
            <w:tcMar>
              <w:top w:w="100" w:type="dxa"/>
              <w:left w:w="100" w:type="dxa"/>
              <w:bottom w:w="100" w:type="dxa"/>
              <w:right w:w="100" w:type="dxa"/>
            </w:tcMar>
            <w:vAlign w:val="center"/>
          </w:tcPr>
          <w:p w14:paraId="6647CD65"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17.942.282,00</w:t>
            </w:r>
          </w:p>
        </w:tc>
        <w:tc>
          <w:tcPr>
            <w:tcW w:w="1395" w:type="dxa"/>
            <w:shd w:val="clear" w:color="auto" w:fill="F3F3F3"/>
            <w:tcMar>
              <w:top w:w="100" w:type="dxa"/>
              <w:left w:w="100" w:type="dxa"/>
              <w:bottom w:w="100" w:type="dxa"/>
              <w:right w:w="100" w:type="dxa"/>
            </w:tcMar>
            <w:vAlign w:val="center"/>
          </w:tcPr>
          <w:p w14:paraId="6B9F95E6"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31.007.088,20</w:t>
            </w:r>
          </w:p>
        </w:tc>
        <w:tc>
          <w:tcPr>
            <w:tcW w:w="1395" w:type="dxa"/>
            <w:shd w:val="clear" w:color="auto" w:fill="F3F3F3"/>
            <w:tcMar>
              <w:top w:w="100" w:type="dxa"/>
              <w:left w:w="100" w:type="dxa"/>
              <w:bottom w:w="100" w:type="dxa"/>
              <w:right w:w="100" w:type="dxa"/>
            </w:tcMar>
            <w:vAlign w:val="center"/>
          </w:tcPr>
          <w:p w14:paraId="64467C35"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41.107.088,20</w:t>
            </w:r>
          </w:p>
        </w:tc>
        <w:tc>
          <w:tcPr>
            <w:tcW w:w="1395" w:type="dxa"/>
            <w:shd w:val="clear" w:color="auto" w:fill="F3F3F3"/>
            <w:tcMar>
              <w:top w:w="100" w:type="dxa"/>
              <w:left w:w="100" w:type="dxa"/>
              <w:bottom w:w="100" w:type="dxa"/>
              <w:right w:w="100" w:type="dxa"/>
            </w:tcMar>
            <w:vAlign w:val="center"/>
          </w:tcPr>
          <w:p w14:paraId="7F17ED91"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44.091.198,20</w:t>
            </w:r>
          </w:p>
        </w:tc>
        <w:tc>
          <w:tcPr>
            <w:tcW w:w="1395" w:type="dxa"/>
            <w:shd w:val="clear" w:color="auto" w:fill="F3F3F3"/>
            <w:tcMar>
              <w:top w:w="100" w:type="dxa"/>
              <w:left w:w="100" w:type="dxa"/>
              <w:bottom w:w="100" w:type="dxa"/>
              <w:right w:w="100" w:type="dxa"/>
            </w:tcMar>
            <w:vAlign w:val="center"/>
          </w:tcPr>
          <w:p w14:paraId="5401DE98"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28.508.910,00</w:t>
            </w:r>
          </w:p>
        </w:tc>
        <w:tc>
          <w:tcPr>
            <w:tcW w:w="1395" w:type="dxa"/>
            <w:shd w:val="clear" w:color="auto" w:fill="F3F3F3"/>
            <w:tcMar>
              <w:top w:w="100" w:type="dxa"/>
              <w:left w:w="100" w:type="dxa"/>
              <w:bottom w:w="100" w:type="dxa"/>
              <w:right w:w="100" w:type="dxa"/>
            </w:tcMar>
            <w:vAlign w:val="center"/>
          </w:tcPr>
          <w:p w14:paraId="66C53E10"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9.884.110,00</w:t>
            </w:r>
          </w:p>
        </w:tc>
        <w:tc>
          <w:tcPr>
            <w:tcW w:w="1560" w:type="dxa"/>
            <w:shd w:val="clear" w:color="auto" w:fill="F3F3F3"/>
            <w:tcMar>
              <w:top w:w="100" w:type="dxa"/>
              <w:left w:w="100" w:type="dxa"/>
              <w:bottom w:w="100" w:type="dxa"/>
              <w:right w:w="100" w:type="dxa"/>
            </w:tcMar>
            <w:vAlign w:val="center"/>
          </w:tcPr>
          <w:p w14:paraId="37EAEBA4"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172.540.676,60</w:t>
            </w:r>
          </w:p>
        </w:tc>
      </w:tr>
      <w:tr w:rsidR="002F7564" w14:paraId="22506E26" w14:textId="77777777">
        <w:tc>
          <w:tcPr>
            <w:tcW w:w="1185" w:type="dxa"/>
            <w:shd w:val="clear" w:color="auto" w:fill="F3F3F3"/>
            <w:tcMar>
              <w:top w:w="100" w:type="dxa"/>
              <w:left w:w="100" w:type="dxa"/>
              <w:bottom w:w="100" w:type="dxa"/>
              <w:right w:w="100" w:type="dxa"/>
            </w:tcMar>
            <w:vAlign w:val="center"/>
          </w:tcPr>
          <w:p w14:paraId="3122BE90" w14:textId="77777777" w:rsidR="002F7564" w:rsidRDefault="00000000">
            <w:pPr>
              <w:widowControl w:val="0"/>
              <w:rPr>
                <w:rFonts w:ascii="Source Sans Pro" w:eastAsia="Source Sans Pro" w:hAnsi="Source Sans Pro" w:cs="Source Sans Pro"/>
                <w:b/>
                <w:sz w:val="18"/>
                <w:szCs w:val="18"/>
              </w:rPr>
            </w:pPr>
            <w:r>
              <w:rPr>
                <w:rFonts w:ascii="Source Sans Pro" w:eastAsia="Source Sans Pro" w:hAnsi="Source Sans Pro" w:cs="Source Sans Pro"/>
                <w:b/>
                <w:sz w:val="18"/>
                <w:szCs w:val="18"/>
              </w:rPr>
              <w:t>Posebni cilj 4.2.</w:t>
            </w:r>
          </w:p>
        </w:tc>
        <w:tc>
          <w:tcPr>
            <w:tcW w:w="1575" w:type="dxa"/>
            <w:shd w:val="clear" w:color="auto" w:fill="F3F3F3"/>
            <w:tcMar>
              <w:top w:w="100" w:type="dxa"/>
              <w:left w:w="100" w:type="dxa"/>
              <w:bottom w:w="100" w:type="dxa"/>
              <w:right w:w="100" w:type="dxa"/>
            </w:tcMar>
            <w:vAlign w:val="center"/>
          </w:tcPr>
          <w:p w14:paraId="1CF566AB" w14:textId="77777777" w:rsidR="002F7564" w:rsidRDefault="00000000">
            <w:pPr>
              <w:widowControl w:val="0"/>
              <w:jc w:val="center"/>
              <w:rPr>
                <w:rFonts w:ascii="Source Sans Pro" w:eastAsia="Source Sans Pro" w:hAnsi="Source Sans Pro" w:cs="Source Sans Pro"/>
                <w:sz w:val="18"/>
                <w:szCs w:val="18"/>
              </w:rPr>
            </w:pPr>
            <w:r>
              <w:rPr>
                <w:rFonts w:ascii="Source Sans Pro" w:eastAsia="Source Sans Pro" w:hAnsi="Source Sans Pro" w:cs="Source Sans Pro"/>
                <w:sz w:val="18"/>
                <w:szCs w:val="18"/>
              </w:rPr>
              <w:t>(OI.02.13.30)</w:t>
            </w:r>
          </w:p>
        </w:tc>
        <w:tc>
          <w:tcPr>
            <w:tcW w:w="1395" w:type="dxa"/>
            <w:shd w:val="clear" w:color="auto" w:fill="F3F3F3"/>
            <w:tcMar>
              <w:top w:w="100" w:type="dxa"/>
              <w:left w:w="100" w:type="dxa"/>
              <w:bottom w:w="100" w:type="dxa"/>
              <w:right w:w="100" w:type="dxa"/>
            </w:tcMar>
            <w:vAlign w:val="center"/>
          </w:tcPr>
          <w:p w14:paraId="0D70651F"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shd w:val="clear" w:color="auto" w:fill="F3F3F3"/>
            <w:tcMar>
              <w:top w:w="100" w:type="dxa"/>
              <w:left w:w="100" w:type="dxa"/>
              <w:bottom w:w="100" w:type="dxa"/>
              <w:right w:w="100" w:type="dxa"/>
            </w:tcMar>
            <w:vAlign w:val="center"/>
          </w:tcPr>
          <w:p w14:paraId="2BE4162D"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2.834.457,41</w:t>
            </w:r>
          </w:p>
        </w:tc>
        <w:tc>
          <w:tcPr>
            <w:tcW w:w="1395" w:type="dxa"/>
            <w:shd w:val="clear" w:color="auto" w:fill="F3F3F3"/>
            <w:tcMar>
              <w:top w:w="100" w:type="dxa"/>
              <w:left w:w="100" w:type="dxa"/>
              <w:bottom w:w="100" w:type="dxa"/>
              <w:right w:w="100" w:type="dxa"/>
            </w:tcMar>
            <w:vAlign w:val="center"/>
          </w:tcPr>
          <w:p w14:paraId="683393DD"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28.769.576,16</w:t>
            </w:r>
          </w:p>
        </w:tc>
        <w:tc>
          <w:tcPr>
            <w:tcW w:w="1395" w:type="dxa"/>
            <w:shd w:val="clear" w:color="auto" w:fill="F3F3F3"/>
            <w:tcMar>
              <w:top w:w="100" w:type="dxa"/>
              <w:left w:w="100" w:type="dxa"/>
              <w:bottom w:w="100" w:type="dxa"/>
              <w:right w:w="100" w:type="dxa"/>
            </w:tcMar>
            <w:vAlign w:val="center"/>
          </w:tcPr>
          <w:p w14:paraId="1DBC651F"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25.880.236,00</w:t>
            </w:r>
          </w:p>
        </w:tc>
        <w:tc>
          <w:tcPr>
            <w:tcW w:w="1395" w:type="dxa"/>
            <w:shd w:val="clear" w:color="auto" w:fill="F3F3F3"/>
            <w:tcMar>
              <w:top w:w="100" w:type="dxa"/>
              <w:left w:w="100" w:type="dxa"/>
              <w:bottom w:w="100" w:type="dxa"/>
              <w:right w:w="100" w:type="dxa"/>
            </w:tcMar>
            <w:vAlign w:val="center"/>
          </w:tcPr>
          <w:p w14:paraId="5F8015F3"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29.870.236,00</w:t>
            </w:r>
          </w:p>
        </w:tc>
        <w:tc>
          <w:tcPr>
            <w:tcW w:w="1395" w:type="dxa"/>
            <w:shd w:val="clear" w:color="auto" w:fill="F3F3F3"/>
            <w:tcMar>
              <w:top w:w="100" w:type="dxa"/>
              <w:left w:w="100" w:type="dxa"/>
              <w:bottom w:w="100" w:type="dxa"/>
              <w:right w:w="100" w:type="dxa"/>
            </w:tcMar>
            <w:vAlign w:val="center"/>
          </w:tcPr>
          <w:p w14:paraId="4FD6F440"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6.910.000,00</w:t>
            </w:r>
          </w:p>
        </w:tc>
        <w:tc>
          <w:tcPr>
            <w:tcW w:w="1395" w:type="dxa"/>
            <w:shd w:val="clear" w:color="auto" w:fill="F3F3F3"/>
            <w:tcMar>
              <w:top w:w="100" w:type="dxa"/>
              <w:left w:w="100" w:type="dxa"/>
              <w:bottom w:w="100" w:type="dxa"/>
              <w:right w:w="100" w:type="dxa"/>
            </w:tcMar>
            <w:vAlign w:val="center"/>
          </w:tcPr>
          <w:p w14:paraId="04652773"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10.900.000,00</w:t>
            </w:r>
          </w:p>
        </w:tc>
        <w:tc>
          <w:tcPr>
            <w:tcW w:w="1560" w:type="dxa"/>
            <w:shd w:val="clear" w:color="auto" w:fill="F3F3F3"/>
            <w:tcMar>
              <w:top w:w="100" w:type="dxa"/>
              <w:left w:w="100" w:type="dxa"/>
              <w:bottom w:w="100" w:type="dxa"/>
              <w:right w:w="100" w:type="dxa"/>
            </w:tcMar>
            <w:vAlign w:val="center"/>
          </w:tcPr>
          <w:p w14:paraId="37A72558"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105.164.505,57</w:t>
            </w:r>
          </w:p>
        </w:tc>
      </w:tr>
      <w:tr w:rsidR="002F7564" w14:paraId="746EE40F" w14:textId="77777777">
        <w:trPr>
          <w:trHeight w:val="400"/>
        </w:trPr>
        <w:tc>
          <w:tcPr>
            <w:tcW w:w="2760" w:type="dxa"/>
            <w:gridSpan w:val="2"/>
            <w:shd w:val="clear" w:color="auto" w:fill="7CA361"/>
            <w:tcMar>
              <w:top w:w="100" w:type="dxa"/>
              <w:left w:w="100" w:type="dxa"/>
              <w:bottom w:w="100" w:type="dxa"/>
              <w:right w:w="100" w:type="dxa"/>
            </w:tcMar>
            <w:vAlign w:val="center"/>
          </w:tcPr>
          <w:p w14:paraId="029E5EBB" w14:textId="77777777" w:rsidR="002F7564" w:rsidRDefault="00000000">
            <w:pPr>
              <w:widowControl w:val="0"/>
              <w:pBdr>
                <w:top w:val="nil"/>
                <w:left w:val="nil"/>
                <w:bottom w:val="nil"/>
                <w:right w:val="nil"/>
                <w:between w:val="nil"/>
              </w:pBdr>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Indikativna alokacija za provedbu SRUP-a po godinama</w:t>
            </w:r>
          </w:p>
        </w:tc>
        <w:tc>
          <w:tcPr>
            <w:tcW w:w="1395" w:type="dxa"/>
            <w:shd w:val="clear" w:color="auto" w:fill="7CA361"/>
            <w:tcMar>
              <w:top w:w="100" w:type="dxa"/>
              <w:left w:w="100" w:type="dxa"/>
              <w:bottom w:w="100" w:type="dxa"/>
              <w:right w:w="100" w:type="dxa"/>
            </w:tcMar>
            <w:vAlign w:val="center"/>
          </w:tcPr>
          <w:p w14:paraId="10A4E4E2" w14:textId="77777777" w:rsidR="002F7564" w:rsidRDefault="00000000">
            <w:pPr>
              <w:widowControl w:val="0"/>
              <w:pBdr>
                <w:top w:val="nil"/>
                <w:left w:val="nil"/>
                <w:bottom w:val="nil"/>
                <w:right w:val="nil"/>
                <w:between w:val="nil"/>
              </w:pBdr>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Ukupna alokacija 2021. (u HRK)</w:t>
            </w:r>
          </w:p>
        </w:tc>
        <w:tc>
          <w:tcPr>
            <w:tcW w:w="1395" w:type="dxa"/>
            <w:shd w:val="clear" w:color="auto" w:fill="7CA361"/>
            <w:tcMar>
              <w:top w:w="100" w:type="dxa"/>
              <w:left w:w="100" w:type="dxa"/>
              <w:bottom w:w="100" w:type="dxa"/>
              <w:right w:w="100" w:type="dxa"/>
            </w:tcMar>
            <w:vAlign w:val="center"/>
          </w:tcPr>
          <w:p w14:paraId="20ED6761" w14:textId="77777777" w:rsidR="002F7564" w:rsidRDefault="00000000">
            <w:pPr>
              <w:widowControl w:val="0"/>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Ukupna alokacija 2022. (u HRK)</w:t>
            </w:r>
          </w:p>
        </w:tc>
        <w:tc>
          <w:tcPr>
            <w:tcW w:w="1395" w:type="dxa"/>
            <w:shd w:val="clear" w:color="auto" w:fill="7CA361"/>
            <w:tcMar>
              <w:top w:w="100" w:type="dxa"/>
              <w:left w:w="100" w:type="dxa"/>
              <w:bottom w:w="100" w:type="dxa"/>
              <w:right w:w="100" w:type="dxa"/>
            </w:tcMar>
            <w:vAlign w:val="center"/>
          </w:tcPr>
          <w:p w14:paraId="4EA3C456" w14:textId="77777777" w:rsidR="002F7564" w:rsidRDefault="00000000">
            <w:pPr>
              <w:widowControl w:val="0"/>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Ukupna alokacija 2023. (u HRK)</w:t>
            </w:r>
          </w:p>
        </w:tc>
        <w:tc>
          <w:tcPr>
            <w:tcW w:w="1395" w:type="dxa"/>
            <w:shd w:val="clear" w:color="auto" w:fill="7CA361"/>
            <w:tcMar>
              <w:top w:w="100" w:type="dxa"/>
              <w:left w:w="100" w:type="dxa"/>
              <w:bottom w:w="100" w:type="dxa"/>
              <w:right w:w="100" w:type="dxa"/>
            </w:tcMar>
            <w:vAlign w:val="center"/>
          </w:tcPr>
          <w:p w14:paraId="7BAFF7BF" w14:textId="77777777" w:rsidR="002F7564" w:rsidRDefault="00000000">
            <w:pPr>
              <w:widowControl w:val="0"/>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Ukupna alokacija 2024. (u HRK)</w:t>
            </w:r>
          </w:p>
        </w:tc>
        <w:tc>
          <w:tcPr>
            <w:tcW w:w="1395" w:type="dxa"/>
            <w:shd w:val="clear" w:color="auto" w:fill="7CA361"/>
            <w:tcMar>
              <w:top w:w="100" w:type="dxa"/>
              <w:left w:w="100" w:type="dxa"/>
              <w:bottom w:w="100" w:type="dxa"/>
              <w:right w:w="100" w:type="dxa"/>
            </w:tcMar>
            <w:vAlign w:val="center"/>
          </w:tcPr>
          <w:p w14:paraId="28C058CB" w14:textId="77777777" w:rsidR="002F7564" w:rsidRDefault="00000000">
            <w:pPr>
              <w:widowControl w:val="0"/>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Ukupna alokacija 2025. (u HRK)</w:t>
            </w:r>
          </w:p>
        </w:tc>
        <w:tc>
          <w:tcPr>
            <w:tcW w:w="1395" w:type="dxa"/>
            <w:shd w:val="clear" w:color="auto" w:fill="7CA361"/>
            <w:tcMar>
              <w:top w:w="100" w:type="dxa"/>
              <w:left w:w="100" w:type="dxa"/>
              <w:bottom w:w="100" w:type="dxa"/>
              <w:right w:w="100" w:type="dxa"/>
            </w:tcMar>
            <w:vAlign w:val="center"/>
          </w:tcPr>
          <w:p w14:paraId="761B27B4" w14:textId="77777777" w:rsidR="002F7564" w:rsidRDefault="00000000">
            <w:pPr>
              <w:widowControl w:val="0"/>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 xml:space="preserve">Ukupna alokacija 2026. (u HRK) </w:t>
            </w:r>
          </w:p>
        </w:tc>
        <w:tc>
          <w:tcPr>
            <w:tcW w:w="1395" w:type="dxa"/>
            <w:shd w:val="clear" w:color="auto" w:fill="7CA361"/>
            <w:tcMar>
              <w:top w:w="100" w:type="dxa"/>
              <w:left w:w="100" w:type="dxa"/>
              <w:bottom w:w="100" w:type="dxa"/>
              <w:right w:w="100" w:type="dxa"/>
            </w:tcMar>
            <w:vAlign w:val="center"/>
          </w:tcPr>
          <w:p w14:paraId="0ACF1AEE" w14:textId="77777777" w:rsidR="002F7564" w:rsidRDefault="00000000">
            <w:pPr>
              <w:widowControl w:val="0"/>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Ukupna alokacija a 2027. (u HRK)</w:t>
            </w:r>
          </w:p>
        </w:tc>
        <w:tc>
          <w:tcPr>
            <w:tcW w:w="1560" w:type="dxa"/>
            <w:shd w:val="clear" w:color="auto" w:fill="7CA361"/>
            <w:tcMar>
              <w:top w:w="100" w:type="dxa"/>
              <w:left w:w="100" w:type="dxa"/>
              <w:bottom w:w="100" w:type="dxa"/>
              <w:right w:w="100" w:type="dxa"/>
            </w:tcMar>
            <w:vAlign w:val="center"/>
          </w:tcPr>
          <w:p w14:paraId="4648DDB9" w14:textId="77777777" w:rsidR="002F7564" w:rsidRDefault="00000000">
            <w:pPr>
              <w:widowControl w:val="0"/>
              <w:pBdr>
                <w:top w:val="nil"/>
                <w:left w:val="nil"/>
                <w:bottom w:val="nil"/>
                <w:right w:val="nil"/>
                <w:between w:val="nil"/>
              </w:pBdr>
              <w:rPr>
                <w:rFonts w:ascii="Source Sans Pro" w:eastAsia="Source Sans Pro" w:hAnsi="Source Sans Pro" w:cs="Source Sans Pro"/>
                <w:b/>
                <w:color w:val="FFFFFF"/>
                <w:sz w:val="18"/>
                <w:szCs w:val="18"/>
              </w:rPr>
            </w:pPr>
            <w:r>
              <w:rPr>
                <w:rFonts w:ascii="Source Sans Pro" w:eastAsia="Source Sans Pro" w:hAnsi="Source Sans Pro" w:cs="Source Sans Pro"/>
                <w:b/>
                <w:color w:val="FFFFFF"/>
                <w:sz w:val="18"/>
                <w:szCs w:val="18"/>
              </w:rPr>
              <w:t>Ukupna alokacija</w:t>
            </w:r>
            <w:r>
              <w:rPr>
                <w:rFonts w:ascii="Source Sans Pro" w:eastAsia="Source Sans Pro" w:hAnsi="Source Sans Pro" w:cs="Source Sans Pro"/>
                <w:b/>
                <w:color w:val="FFFFFF"/>
                <w:sz w:val="18"/>
                <w:szCs w:val="18"/>
              </w:rPr>
              <w:br/>
              <w:t xml:space="preserve"> (u HRK)</w:t>
            </w:r>
          </w:p>
        </w:tc>
      </w:tr>
      <w:tr w:rsidR="002F7564" w14:paraId="66D17614" w14:textId="77777777">
        <w:trPr>
          <w:trHeight w:val="400"/>
        </w:trPr>
        <w:tc>
          <w:tcPr>
            <w:tcW w:w="1185" w:type="dxa"/>
            <w:vMerge w:val="restart"/>
            <w:shd w:val="clear" w:color="auto" w:fill="F3F3F3"/>
            <w:tcMar>
              <w:top w:w="100" w:type="dxa"/>
              <w:left w:w="100" w:type="dxa"/>
              <w:bottom w:w="100" w:type="dxa"/>
              <w:right w:w="100" w:type="dxa"/>
            </w:tcMar>
            <w:vAlign w:val="center"/>
          </w:tcPr>
          <w:p w14:paraId="5D301C31" w14:textId="77777777" w:rsidR="002F7564" w:rsidRDefault="00000000">
            <w:pPr>
              <w:widowControl w:val="0"/>
              <w:pBdr>
                <w:top w:val="nil"/>
                <w:left w:val="nil"/>
                <w:bottom w:val="nil"/>
                <w:right w:val="nil"/>
                <w:between w:val="nil"/>
              </w:pBdr>
              <w:rPr>
                <w:rFonts w:ascii="Source Sans Pro" w:eastAsia="Source Sans Pro" w:hAnsi="Source Sans Pro" w:cs="Source Sans Pro"/>
                <w:b/>
                <w:sz w:val="18"/>
                <w:szCs w:val="18"/>
              </w:rPr>
            </w:pPr>
            <w:r>
              <w:rPr>
                <w:rFonts w:ascii="Source Sans Pro" w:eastAsia="Source Sans Pro" w:hAnsi="Source Sans Pro" w:cs="Source Sans Pro"/>
                <w:b/>
                <w:sz w:val="18"/>
                <w:szCs w:val="18"/>
              </w:rPr>
              <w:t>Planirani izvori financiranja</w:t>
            </w:r>
          </w:p>
        </w:tc>
        <w:tc>
          <w:tcPr>
            <w:tcW w:w="1575" w:type="dxa"/>
            <w:shd w:val="clear" w:color="auto" w:fill="F3F3F3"/>
            <w:tcMar>
              <w:top w:w="100" w:type="dxa"/>
              <w:left w:w="100" w:type="dxa"/>
              <w:bottom w:w="100" w:type="dxa"/>
              <w:right w:w="100" w:type="dxa"/>
            </w:tcMar>
            <w:vAlign w:val="center"/>
          </w:tcPr>
          <w:p w14:paraId="19B670AD"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Državni proračun</w:t>
            </w:r>
          </w:p>
        </w:tc>
        <w:tc>
          <w:tcPr>
            <w:tcW w:w="1395" w:type="dxa"/>
            <w:shd w:val="clear" w:color="auto" w:fill="F3F3F3"/>
            <w:tcMar>
              <w:top w:w="100" w:type="dxa"/>
              <w:left w:w="100" w:type="dxa"/>
              <w:bottom w:w="100" w:type="dxa"/>
              <w:right w:w="100" w:type="dxa"/>
            </w:tcMar>
            <w:vAlign w:val="center"/>
          </w:tcPr>
          <w:p w14:paraId="070D4D68"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shd w:val="clear" w:color="auto" w:fill="F3F3F3"/>
            <w:tcMar>
              <w:top w:w="100" w:type="dxa"/>
              <w:left w:w="100" w:type="dxa"/>
              <w:bottom w:w="100" w:type="dxa"/>
              <w:right w:w="100" w:type="dxa"/>
            </w:tcMar>
            <w:vAlign w:val="center"/>
          </w:tcPr>
          <w:p w14:paraId="245F36DF"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42.995.396,09</w:t>
            </w:r>
          </w:p>
        </w:tc>
        <w:tc>
          <w:tcPr>
            <w:tcW w:w="1395" w:type="dxa"/>
            <w:shd w:val="clear" w:color="auto" w:fill="F3F3F3"/>
            <w:tcMar>
              <w:top w:w="100" w:type="dxa"/>
              <w:left w:w="100" w:type="dxa"/>
              <w:bottom w:w="100" w:type="dxa"/>
              <w:right w:w="100" w:type="dxa"/>
            </w:tcMar>
            <w:vAlign w:val="center"/>
          </w:tcPr>
          <w:p w14:paraId="73C8C34E"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31.345.900,00</w:t>
            </w:r>
          </w:p>
        </w:tc>
        <w:tc>
          <w:tcPr>
            <w:tcW w:w="1395" w:type="dxa"/>
            <w:shd w:val="clear" w:color="auto" w:fill="F3F3F3"/>
            <w:tcMar>
              <w:top w:w="100" w:type="dxa"/>
              <w:left w:w="100" w:type="dxa"/>
              <w:bottom w:w="100" w:type="dxa"/>
              <w:right w:w="100" w:type="dxa"/>
            </w:tcMar>
            <w:vAlign w:val="center"/>
          </w:tcPr>
          <w:p w14:paraId="77F96D4F"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10.691.350,00</w:t>
            </w:r>
          </w:p>
        </w:tc>
        <w:tc>
          <w:tcPr>
            <w:tcW w:w="1395" w:type="dxa"/>
            <w:shd w:val="clear" w:color="auto" w:fill="F3F3F3"/>
            <w:tcMar>
              <w:top w:w="100" w:type="dxa"/>
              <w:left w:w="100" w:type="dxa"/>
              <w:bottom w:w="100" w:type="dxa"/>
              <w:right w:w="100" w:type="dxa"/>
            </w:tcMar>
            <w:vAlign w:val="center"/>
          </w:tcPr>
          <w:p w14:paraId="36E37825"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42.166.000,00</w:t>
            </w:r>
          </w:p>
        </w:tc>
        <w:tc>
          <w:tcPr>
            <w:tcW w:w="1395" w:type="dxa"/>
            <w:shd w:val="clear" w:color="auto" w:fill="F3F3F3"/>
            <w:tcMar>
              <w:top w:w="100" w:type="dxa"/>
              <w:left w:w="100" w:type="dxa"/>
              <w:bottom w:w="100" w:type="dxa"/>
              <w:right w:w="100" w:type="dxa"/>
            </w:tcMar>
            <w:vAlign w:val="center"/>
          </w:tcPr>
          <w:p w14:paraId="4F84F470"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18.991.000,00</w:t>
            </w:r>
          </w:p>
        </w:tc>
        <w:tc>
          <w:tcPr>
            <w:tcW w:w="1395" w:type="dxa"/>
            <w:shd w:val="clear" w:color="auto" w:fill="F3F3F3"/>
            <w:tcMar>
              <w:top w:w="100" w:type="dxa"/>
              <w:left w:w="100" w:type="dxa"/>
              <w:bottom w:w="100" w:type="dxa"/>
              <w:right w:w="100" w:type="dxa"/>
            </w:tcMar>
            <w:vAlign w:val="center"/>
          </w:tcPr>
          <w:p w14:paraId="3AA25417"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5.266.500,00</w:t>
            </w:r>
          </w:p>
        </w:tc>
        <w:tc>
          <w:tcPr>
            <w:tcW w:w="1560" w:type="dxa"/>
            <w:shd w:val="clear" w:color="auto" w:fill="F3F3F3"/>
            <w:tcMar>
              <w:top w:w="100" w:type="dxa"/>
              <w:left w:w="100" w:type="dxa"/>
              <w:bottom w:w="100" w:type="dxa"/>
              <w:right w:w="100" w:type="dxa"/>
            </w:tcMar>
            <w:vAlign w:val="center"/>
          </w:tcPr>
          <w:p w14:paraId="0080C350"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113.506.746,09</w:t>
            </w:r>
          </w:p>
        </w:tc>
      </w:tr>
      <w:tr w:rsidR="002F7564" w14:paraId="7301FA1C" w14:textId="77777777">
        <w:trPr>
          <w:trHeight w:val="400"/>
        </w:trPr>
        <w:tc>
          <w:tcPr>
            <w:tcW w:w="1185" w:type="dxa"/>
            <w:vMerge/>
            <w:shd w:val="clear" w:color="auto" w:fill="F3F3F3"/>
            <w:tcMar>
              <w:top w:w="100" w:type="dxa"/>
              <w:left w:w="100" w:type="dxa"/>
              <w:bottom w:w="100" w:type="dxa"/>
              <w:right w:w="100" w:type="dxa"/>
            </w:tcMar>
            <w:vAlign w:val="center"/>
          </w:tcPr>
          <w:p w14:paraId="0CABC8F1" w14:textId="77777777" w:rsidR="002F7564" w:rsidRDefault="002F7564">
            <w:pPr>
              <w:widowControl w:val="0"/>
              <w:pBdr>
                <w:top w:val="nil"/>
                <w:left w:val="nil"/>
                <w:bottom w:val="nil"/>
                <w:right w:val="nil"/>
                <w:between w:val="nil"/>
              </w:pBdr>
              <w:spacing w:line="276" w:lineRule="auto"/>
              <w:rPr>
                <w:rFonts w:ascii="Source Sans Pro" w:eastAsia="Source Sans Pro" w:hAnsi="Source Sans Pro" w:cs="Source Sans Pro"/>
                <w:sz w:val="20"/>
                <w:szCs w:val="20"/>
              </w:rPr>
            </w:pPr>
          </w:p>
        </w:tc>
        <w:tc>
          <w:tcPr>
            <w:tcW w:w="1575" w:type="dxa"/>
            <w:shd w:val="clear" w:color="auto" w:fill="F3F3F3"/>
            <w:tcMar>
              <w:top w:w="100" w:type="dxa"/>
              <w:left w:w="100" w:type="dxa"/>
              <w:bottom w:w="100" w:type="dxa"/>
              <w:right w:w="100" w:type="dxa"/>
            </w:tcMar>
            <w:vAlign w:val="center"/>
          </w:tcPr>
          <w:p w14:paraId="3548852A"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Fondovi EU/zajmovi/ pomoći/ostalo</w:t>
            </w:r>
          </w:p>
        </w:tc>
        <w:tc>
          <w:tcPr>
            <w:tcW w:w="1395" w:type="dxa"/>
            <w:shd w:val="clear" w:color="auto" w:fill="F3F3F3"/>
            <w:tcMar>
              <w:top w:w="100" w:type="dxa"/>
              <w:left w:w="100" w:type="dxa"/>
              <w:bottom w:w="100" w:type="dxa"/>
              <w:right w:w="100" w:type="dxa"/>
            </w:tcMar>
            <w:vAlign w:val="center"/>
          </w:tcPr>
          <w:p w14:paraId="3A297E44" w14:textId="77777777" w:rsidR="002F7564" w:rsidRDefault="00000000">
            <w:pPr>
              <w:widowControl w:val="0"/>
              <w:pBdr>
                <w:top w:val="nil"/>
                <w:left w:val="nil"/>
                <w:bottom w:val="nil"/>
                <w:right w:val="nil"/>
                <w:between w:val="nil"/>
              </w:pBdr>
              <w:rPr>
                <w:rFonts w:ascii="Source Sans Pro" w:eastAsia="Source Sans Pro" w:hAnsi="Source Sans Pro" w:cs="Source Sans Pro"/>
                <w:sz w:val="18"/>
                <w:szCs w:val="18"/>
              </w:rPr>
            </w:pPr>
            <w:r>
              <w:rPr>
                <w:rFonts w:ascii="Source Sans Pro" w:eastAsia="Source Sans Pro" w:hAnsi="Source Sans Pro" w:cs="Source Sans Pro"/>
                <w:sz w:val="18"/>
                <w:szCs w:val="18"/>
              </w:rPr>
              <w:t>0,00</w:t>
            </w:r>
          </w:p>
        </w:tc>
        <w:tc>
          <w:tcPr>
            <w:tcW w:w="1395" w:type="dxa"/>
            <w:shd w:val="clear" w:color="auto" w:fill="F3F3F3"/>
            <w:tcMar>
              <w:top w:w="100" w:type="dxa"/>
              <w:left w:w="100" w:type="dxa"/>
              <w:bottom w:w="100" w:type="dxa"/>
              <w:right w:w="100" w:type="dxa"/>
            </w:tcMar>
            <w:vAlign w:val="center"/>
          </w:tcPr>
          <w:p w14:paraId="64DDC0A8"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201.720.407,03</w:t>
            </w:r>
          </w:p>
        </w:tc>
        <w:tc>
          <w:tcPr>
            <w:tcW w:w="1395" w:type="dxa"/>
            <w:shd w:val="clear" w:color="auto" w:fill="F3F3F3"/>
            <w:tcMar>
              <w:top w:w="100" w:type="dxa"/>
              <w:left w:w="100" w:type="dxa"/>
              <w:bottom w:w="100" w:type="dxa"/>
              <w:right w:w="100" w:type="dxa"/>
            </w:tcMar>
            <w:vAlign w:val="center"/>
          </w:tcPr>
          <w:p w14:paraId="2A34D196"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136.532.592,18</w:t>
            </w:r>
          </w:p>
        </w:tc>
        <w:tc>
          <w:tcPr>
            <w:tcW w:w="1395" w:type="dxa"/>
            <w:shd w:val="clear" w:color="auto" w:fill="F3F3F3"/>
            <w:tcMar>
              <w:top w:w="100" w:type="dxa"/>
              <w:left w:w="100" w:type="dxa"/>
              <w:bottom w:w="100" w:type="dxa"/>
              <w:right w:w="100" w:type="dxa"/>
            </w:tcMar>
            <w:vAlign w:val="center"/>
          </w:tcPr>
          <w:p w14:paraId="47593831"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114.415.803,50</w:t>
            </w:r>
          </w:p>
        </w:tc>
        <w:tc>
          <w:tcPr>
            <w:tcW w:w="1395" w:type="dxa"/>
            <w:shd w:val="clear" w:color="auto" w:fill="F3F3F3"/>
            <w:tcMar>
              <w:top w:w="100" w:type="dxa"/>
              <w:left w:w="100" w:type="dxa"/>
              <w:bottom w:w="100" w:type="dxa"/>
              <w:right w:w="100" w:type="dxa"/>
            </w:tcMar>
            <w:vAlign w:val="center"/>
          </w:tcPr>
          <w:p w14:paraId="44CD7B54"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193.889.803,90</w:t>
            </w:r>
          </w:p>
        </w:tc>
        <w:tc>
          <w:tcPr>
            <w:tcW w:w="1395" w:type="dxa"/>
            <w:shd w:val="clear" w:color="auto" w:fill="F3F3F3"/>
            <w:tcMar>
              <w:top w:w="100" w:type="dxa"/>
              <w:left w:w="100" w:type="dxa"/>
              <w:bottom w:w="100" w:type="dxa"/>
              <w:right w:w="100" w:type="dxa"/>
            </w:tcMar>
            <w:vAlign w:val="center"/>
          </w:tcPr>
          <w:p w14:paraId="1A0122F4"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119.547.229,90</w:t>
            </w:r>
          </w:p>
        </w:tc>
        <w:tc>
          <w:tcPr>
            <w:tcW w:w="1395" w:type="dxa"/>
            <w:shd w:val="clear" w:color="auto" w:fill="F3F3F3"/>
            <w:tcMar>
              <w:top w:w="100" w:type="dxa"/>
              <w:left w:w="100" w:type="dxa"/>
              <w:bottom w:w="100" w:type="dxa"/>
              <w:right w:w="100" w:type="dxa"/>
            </w:tcMar>
            <w:vAlign w:val="center"/>
          </w:tcPr>
          <w:p w14:paraId="38A6B186"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74.992.438,90</w:t>
            </w:r>
          </w:p>
        </w:tc>
        <w:tc>
          <w:tcPr>
            <w:tcW w:w="1560" w:type="dxa"/>
            <w:shd w:val="clear" w:color="auto" w:fill="F3F3F3"/>
            <w:tcMar>
              <w:top w:w="100" w:type="dxa"/>
              <w:left w:w="100" w:type="dxa"/>
              <w:bottom w:w="100" w:type="dxa"/>
              <w:right w:w="100" w:type="dxa"/>
            </w:tcMar>
            <w:vAlign w:val="center"/>
          </w:tcPr>
          <w:p w14:paraId="6DF53513" w14:textId="77777777" w:rsidR="002F7564" w:rsidRDefault="00000000">
            <w:pPr>
              <w:widowControl w:val="0"/>
              <w:rPr>
                <w:rFonts w:ascii="Source Sans Pro" w:eastAsia="Source Sans Pro" w:hAnsi="Source Sans Pro" w:cs="Source Sans Pro"/>
                <w:sz w:val="18"/>
                <w:szCs w:val="18"/>
              </w:rPr>
            </w:pPr>
            <w:r>
              <w:rPr>
                <w:rFonts w:ascii="Source Sans Pro" w:eastAsia="Source Sans Pro" w:hAnsi="Source Sans Pro" w:cs="Source Sans Pro"/>
                <w:sz w:val="18"/>
                <w:szCs w:val="18"/>
              </w:rPr>
              <w:t>846.098.275,41</w:t>
            </w:r>
          </w:p>
        </w:tc>
      </w:tr>
    </w:tbl>
    <w:p w14:paraId="2DE4E6B4" w14:textId="77777777" w:rsidR="002F7564" w:rsidRDefault="00000000">
      <w:pPr>
        <w:rPr>
          <w:rFonts w:ascii="Source Sans Pro" w:eastAsia="Source Sans Pro" w:hAnsi="Source Sans Pro" w:cs="Source Sans Pro"/>
          <w:i/>
          <w:sz w:val="20"/>
          <w:szCs w:val="20"/>
        </w:rPr>
        <w:sectPr w:rsidR="002F7564">
          <w:pgSz w:w="16834" w:h="11909" w:orient="landscape"/>
          <w:pgMar w:top="1440" w:right="1440" w:bottom="1440" w:left="1440" w:header="720" w:footer="720" w:gutter="0"/>
          <w:cols w:space="720"/>
        </w:sectPr>
      </w:pPr>
      <w:r>
        <w:rPr>
          <w:rFonts w:ascii="Source Sans Pro" w:eastAsia="Source Sans Pro" w:hAnsi="Source Sans Pro" w:cs="Source Sans Pro"/>
          <w:i/>
          <w:sz w:val="20"/>
          <w:szCs w:val="20"/>
        </w:rPr>
        <w:t>Izvor: izrada autora</w:t>
      </w:r>
    </w:p>
    <w:p w14:paraId="41735BD6" w14:textId="77777777" w:rsidR="002F7564" w:rsidRDefault="00000000">
      <w:pPr>
        <w:pStyle w:val="Heading1"/>
        <w:ind w:firstLine="720"/>
      </w:pPr>
      <w:bookmarkStart w:id="29" w:name="_1pxezwc" w:colFirst="0" w:colLast="0"/>
      <w:bookmarkEnd w:id="29"/>
      <w:r>
        <w:lastRenderedPageBreak/>
        <w:t>12. Okvir za praćenje i vrednovanje</w:t>
      </w:r>
    </w:p>
    <w:p w14:paraId="0196EF6C" w14:textId="77777777" w:rsidR="002F7564" w:rsidRDefault="002F7564">
      <w:pPr>
        <w:jc w:val="both"/>
        <w:rPr>
          <w:rFonts w:ascii="Source Sans Pro" w:eastAsia="Source Sans Pro" w:hAnsi="Source Sans Pro" w:cs="Source Sans Pro"/>
          <w:i/>
        </w:rPr>
      </w:pPr>
    </w:p>
    <w:p w14:paraId="166BAB13"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Strategija razvoja Urbanog područja Koprivnica za razdoblje 2021.-2027. planski je dokument politike regionalnog razvoja kojim se utvrđuju ciljevi i prioriteti razvoja Urbanog područja Koprivnica. Zakonodavni okvir koji regulira regionalni razvoj i strateško planiranje definira obavezu praćenja i vrednovanja s ciljem povećanja djelotvornosti, učinkovitosti i utjecaja na regionalni razvoj.</w:t>
      </w:r>
    </w:p>
    <w:p w14:paraId="3B8EAB28" w14:textId="77777777" w:rsidR="002F7564" w:rsidRDefault="002F7564">
      <w:pPr>
        <w:jc w:val="both"/>
        <w:rPr>
          <w:rFonts w:ascii="Source Sans Pro" w:eastAsia="Source Sans Pro" w:hAnsi="Source Sans Pro" w:cs="Source Sans Pro"/>
        </w:rPr>
      </w:pPr>
    </w:p>
    <w:p w14:paraId="6B48E5CC"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b/>
        </w:rPr>
        <w:t>Praćenje i izvještavanje</w:t>
      </w:r>
    </w:p>
    <w:p w14:paraId="66A4B78C"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Praćenje i izvještavanje o provedbi SRUP-a dio je procesa strateškog planiranja koji podrazumijeva  prikupljanje, analizu i usporedbu pokazatelja kojima se sustavno prati uspješnost provedbe ciljeva akta strateškog planiranja.</w:t>
      </w:r>
    </w:p>
    <w:p w14:paraId="58225A30"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Za izvještavanje o provedbi SRUP-a nadležan je Grad Koprivnica, kao središte Urbanog područja i nositelj izrade dokumenta, a Izvješće se izrađuje temeljem uputa koje Gradu dostavlja Ministarstvo. Sukladno Smjernicama, nositelj izrade SRUP-a Izvješće o provedbi podnosi Ministarstvu regionalnog razvoja i fondova Europske unije, jednom godišnje, najkasnije do 31. srpnja tekuće godine za prethodnu godinu. Prije podnošenja, mišljenje na Izvješće daje Koordinacijsko vijeće Urbanog područja. </w:t>
      </w:r>
    </w:p>
    <w:p w14:paraId="38EAC598"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Osim toga, u pogledu izvještavanja šire javnosti o statusu provedbe SRUP-a, Grad Koprivnica na svojim internetskim stranicama objavljivat će podatke i godišnja izvješća o provedbi SRUP-a, sukladno odredbama propisa koji uređuje pravo na pristup informacijama. </w:t>
      </w:r>
    </w:p>
    <w:p w14:paraId="21AB301D" w14:textId="77777777" w:rsidR="002F7564" w:rsidRDefault="002F7564">
      <w:pPr>
        <w:jc w:val="both"/>
        <w:rPr>
          <w:rFonts w:ascii="Source Sans Pro" w:eastAsia="Source Sans Pro" w:hAnsi="Source Sans Pro" w:cs="Source Sans Pro"/>
        </w:rPr>
      </w:pPr>
    </w:p>
    <w:p w14:paraId="3F617E7C" w14:textId="77777777" w:rsidR="002F7564" w:rsidRDefault="00000000">
      <w:pPr>
        <w:jc w:val="both"/>
        <w:rPr>
          <w:rFonts w:ascii="Source Sans Pro" w:eastAsia="Source Sans Pro" w:hAnsi="Source Sans Pro" w:cs="Source Sans Pro"/>
          <w:b/>
        </w:rPr>
      </w:pPr>
      <w:r>
        <w:rPr>
          <w:rFonts w:ascii="Source Sans Pro" w:eastAsia="Source Sans Pro" w:hAnsi="Source Sans Pro" w:cs="Source Sans Pro"/>
          <w:b/>
        </w:rPr>
        <w:t>Vrednovanje</w:t>
      </w:r>
    </w:p>
    <w:p w14:paraId="1A3E2C7F"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Zakonom o regionalnom razvoju Republike Hrvatske (NN 147/14, 123/17, 118/18) utvrđena je obaveza postupka vrednovanja planskih dokumenata politika regionalnog razvoja, uključujući i strategija razvoja urbanih područja, što podrazumijeva vrednovanje tijekom izrade, vrednovanje tijekom provedbe i vrednovanje nakon provedbe. </w:t>
      </w:r>
    </w:p>
    <w:p w14:paraId="5E3DC89F" w14:textId="77777777" w:rsidR="002F7564" w:rsidRDefault="002F7564">
      <w:pPr>
        <w:jc w:val="both"/>
        <w:rPr>
          <w:rFonts w:ascii="Source Sans Pro" w:eastAsia="Source Sans Pro" w:hAnsi="Source Sans Pro" w:cs="Source Sans Pro"/>
        </w:rPr>
      </w:pPr>
    </w:p>
    <w:p w14:paraId="0346565B" w14:textId="77777777" w:rsidR="002F7564" w:rsidRDefault="00000000">
      <w:pPr>
        <w:numPr>
          <w:ilvl w:val="0"/>
          <w:numId w:val="13"/>
        </w:numPr>
        <w:jc w:val="both"/>
        <w:rPr>
          <w:rFonts w:ascii="Source Sans Pro" w:eastAsia="Source Sans Pro" w:hAnsi="Source Sans Pro" w:cs="Source Sans Pro"/>
        </w:rPr>
      </w:pPr>
      <w:r>
        <w:rPr>
          <w:rFonts w:ascii="Source Sans Pro" w:eastAsia="Source Sans Pro" w:hAnsi="Source Sans Pro" w:cs="Source Sans Pro"/>
        </w:rPr>
        <w:t xml:space="preserve">Vrednovanje tijekom izrade (prethodno vrednovanje) provodi se tijekom izrade planskog dokumenta i prvenstveno je usmjereno na analizu snaga, slabosti i razvojnog potencijala. Svrha prethodnog vrednovanja je osiguravanje relevantnosti i koherentnosti dokumenta, te se zaključci istog integriraju u dokument tijekom izrade. </w:t>
      </w:r>
    </w:p>
    <w:p w14:paraId="3C6B8553" w14:textId="77777777" w:rsidR="002F7564" w:rsidRDefault="00000000">
      <w:pPr>
        <w:numPr>
          <w:ilvl w:val="0"/>
          <w:numId w:val="13"/>
        </w:numPr>
        <w:jc w:val="both"/>
        <w:rPr>
          <w:rFonts w:ascii="Source Sans Pro" w:eastAsia="Source Sans Pro" w:hAnsi="Source Sans Pro" w:cs="Source Sans Pro"/>
        </w:rPr>
      </w:pPr>
      <w:r>
        <w:rPr>
          <w:rFonts w:ascii="Source Sans Pro" w:eastAsia="Source Sans Pro" w:hAnsi="Source Sans Pro" w:cs="Source Sans Pro"/>
        </w:rPr>
        <w:t>Vrednovanje tijekom provedbe upravljački je alat kojim se pomaže izvedba planskih dokumenata, odnosno utvrđuju potencijalni nedostaci u provedbi i eventualne potrebe za njegovim izmjenama.</w:t>
      </w:r>
    </w:p>
    <w:p w14:paraId="03E697B3" w14:textId="77777777" w:rsidR="002F7564" w:rsidRDefault="00000000">
      <w:pPr>
        <w:numPr>
          <w:ilvl w:val="0"/>
          <w:numId w:val="13"/>
        </w:numPr>
        <w:jc w:val="both"/>
        <w:rPr>
          <w:rFonts w:ascii="Source Sans Pro" w:eastAsia="Source Sans Pro" w:hAnsi="Source Sans Pro" w:cs="Source Sans Pro"/>
        </w:rPr>
      </w:pPr>
      <w:r>
        <w:rPr>
          <w:rFonts w:ascii="Source Sans Pro" w:eastAsia="Source Sans Pro" w:hAnsi="Source Sans Pro" w:cs="Source Sans Pro"/>
        </w:rPr>
        <w:t>Vrednovanje nakon provedbe se provodi po završetku provedbe planskog dokumenta s ciljem ocjene cjelokupnog učinka planskog dokumenta, odnosno njegovu djelotvornost i učinkovitost na područje obuhvata.</w:t>
      </w:r>
    </w:p>
    <w:p w14:paraId="405670A4" w14:textId="77777777" w:rsidR="002F7564" w:rsidRDefault="00000000">
      <w:pPr>
        <w:jc w:val="both"/>
        <w:rPr>
          <w:rFonts w:ascii="Source Sans Pro" w:eastAsia="Source Sans Pro" w:hAnsi="Source Sans Pro" w:cs="Source Sans Pro"/>
        </w:rPr>
      </w:pPr>
      <w:r>
        <w:rPr>
          <w:rFonts w:ascii="Source Sans Pro" w:eastAsia="Source Sans Pro" w:hAnsi="Source Sans Pro" w:cs="Source Sans Pro"/>
        </w:rPr>
        <w:t xml:space="preserve">Sukladno Smjernicama, pokretanje postupka prethodnog vrednovanja (vrednovanje tijekom izrade SRUP-a) obavezna je aktivnost tijekom izrade nacrta SRUP-a, te je Grad Koprivnica pokrenuo  postupak prethodnog vrednovanja, čije su preporuke i zaključci integrirani u sam dokument. Sažetak rezultata prethodnog vrednovanja prilog je SRUP-a (Prilog 3). </w:t>
      </w:r>
    </w:p>
    <w:p w14:paraId="4F2C0969" w14:textId="77777777" w:rsidR="002F7564" w:rsidRDefault="002F7564">
      <w:pPr>
        <w:jc w:val="both"/>
        <w:rPr>
          <w:rFonts w:ascii="Source Sans Pro" w:eastAsia="Source Sans Pro" w:hAnsi="Source Sans Pro" w:cs="Source Sans Pro"/>
        </w:rPr>
      </w:pPr>
    </w:p>
    <w:p w14:paraId="6771E612" w14:textId="77777777" w:rsidR="002F7564" w:rsidRDefault="00000000">
      <w:pPr>
        <w:pStyle w:val="Heading1"/>
        <w:ind w:firstLine="720"/>
        <w:jc w:val="both"/>
      </w:pPr>
      <w:bookmarkStart w:id="30" w:name="_49x2ik5" w:colFirst="0" w:colLast="0"/>
      <w:bookmarkEnd w:id="30"/>
      <w:r>
        <w:lastRenderedPageBreak/>
        <w:t>Prilozi</w:t>
      </w:r>
    </w:p>
    <w:p w14:paraId="17943415" w14:textId="77777777" w:rsidR="002F7564" w:rsidRDefault="002F7564">
      <w:pPr>
        <w:rPr>
          <w:rFonts w:ascii="Source Sans Pro" w:eastAsia="Source Sans Pro" w:hAnsi="Source Sans Pro" w:cs="Source Sans Pro"/>
        </w:rPr>
      </w:pPr>
    </w:p>
    <w:p w14:paraId="2B9EC08E" w14:textId="77777777" w:rsidR="002F7564" w:rsidRDefault="00000000">
      <w:pPr>
        <w:rPr>
          <w:rFonts w:ascii="Source Sans Pro" w:eastAsia="Source Sans Pro" w:hAnsi="Source Sans Pro" w:cs="Source Sans Pro"/>
        </w:rPr>
      </w:pPr>
      <w:r>
        <w:rPr>
          <w:rFonts w:ascii="Source Sans Pro" w:eastAsia="Source Sans Pro" w:hAnsi="Source Sans Pro" w:cs="Source Sans Pro"/>
        </w:rPr>
        <w:t>Prilog 1. Analiza stanja</w:t>
      </w:r>
    </w:p>
    <w:p w14:paraId="044DC089" w14:textId="77777777" w:rsidR="002F7564" w:rsidRDefault="00000000">
      <w:pPr>
        <w:rPr>
          <w:rFonts w:ascii="Source Sans Pro" w:eastAsia="Source Sans Pro" w:hAnsi="Source Sans Pro" w:cs="Source Sans Pro"/>
        </w:rPr>
      </w:pPr>
      <w:r>
        <w:rPr>
          <w:rFonts w:ascii="Source Sans Pro" w:eastAsia="Source Sans Pro" w:hAnsi="Source Sans Pro" w:cs="Source Sans Pro"/>
        </w:rPr>
        <w:t>Prilog 2. SWOT analiza</w:t>
      </w:r>
    </w:p>
    <w:p w14:paraId="35DFFD0B" w14:textId="77777777" w:rsidR="002F7564" w:rsidRDefault="00000000">
      <w:pPr>
        <w:rPr>
          <w:rFonts w:ascii="Source Sans Pro" w:eastAsia="Source Sans Pro" w:hAnsi="Source Sans Pro" w:cs="Source Sans Pro"/>
        </w:rPr>
      </w:pPr>
      <w:r>
        <w:rPr>
          <w:rFonts w:ascii="Source Sans Pro" w:eastAsia="Source Sans Pro" w:hAnsi="Source Sans Pro" w:cs="Source Sans Pro"/>
        </w:rPr>
        <w:t>Prilog 3. Sažetak rezultata prethodnog vrednovanja</w:t>
      </w:r>
    </w:p>
    <w:p w14:paraId="6CFB6E74" w14:textId="77777777" w:rsidR="002F7564" w:rsidRDefault="00000000">
      <w:pPr>
        <w:rPr>
          <w:rFonts w:ascii="Source Sans Pro" w:eastAsia="Source Sans Pro" w:hAnsi="Source Sans Pro" w:cs="Source Sans Pro"/>
        </w:rPr>
      </w:pPr>
      <w:r>
        <w:rPr>
          <w:rFonts w:ascii="Source Sans Pro" w:eastAsia="Source Sans Pro" w:hAnsi="Source Sans Pro" w:cs="Source Sans Pro"/>
        </w:rPr>
        <w:t>Prilog 4. Sažetak provedenog postupka savjetovanja s javnošću</w:t>
      </w:r>
    </w:p>
    <w:p w14:paraId="04C941B8" w14:textId="77777777" w:rsidR="002F7564" w:rsidRDefault="00000000">
      <w:pPr>
        <w:rPr>
          <w:rFonts w:ascii="Source Sans Pro" w:eastAsia="Source Sans Pro" w:hAnsi="Source Sans Pro" w:cs="Source Sans Pro"/>
        </w:rPr>
      </w:pPr>
      <w:r>
        <w:rPr>
          <w:rFonts w:ascii="Source Sans Pro" w:eastAsia="Source Sans Pro" w:hAnsi="Source Sans Pro" w:cs="Source Sans Pro"/>
        </w:rPr>
        <w:t>Prilog 5. Odluka o osnivanju i imenovanju Partnerskog vijeća za izradu i praćenje Strategije razvoja manjeg urbanog područja Koprivnica za financijsko razdoblje od 2021. do 2027. godine (KLASA: 010-01/21-01/0003; URBROJ: 2137/01-03/2-21-88)</w:t>
      </w:r>
    </w:p>
    <w:p w14:paraId="37EAE0C6" w14:textId="77777777" w:rsidR="002F7564" w:rsidRDefault="00000000">
      <w:pPr>
        <w:rPr>
          <w:rFonts w:ascii="Source Sans Pro" w:eastAsia="Source Sans Pro" w:hAnsi="Source Sans Pro" w:cs="Source Sans Pro"/>
        </w:rPr>
      </w:pPr>
      <w:r>
        <w:rPr>
          <w:rFonts w:ascii="Source Sans Pro" w:eastAsia="Source Sans Pro" w:hAnsi="Source Sans Pro" w:cs="Source Sans Pro"/>
        </w:rPr>
        <w:t>Prilog 6. Izvještaji o provedenom konzultacijskom procesu</w:t>
      </w:r>
    </w:p>
    <w:p w14:paraId="48BDD6DC" w14:textId="77777777" w:rsidR="002F7564" w:rsidRDefault="00000000">
      <w:pPr>
        <w:rPr>
          <w:rFonts w:ascii="Source Sans Pro" w:eastAsia="Source Sans Pro" w:hAnsi="Source Sans Pro" w:cs="Source Sans Pro"/>
        </w:rPr>
      </w:pPr>
      <w:r>
        <w:rPr>
          <w:rFonts w:ascii="Source Sans Pro" w:eastAsia="Source Sans Pro" w:hAnsi="Source Sans Pro" w:cs="Source Sans Pro"/>
        </w:rPr>
        <w:t>Prilog 7. Odluka o osnivanju i imenovanju Koordinacijskog vijeća manjeg urbanog područja Koprivnica (KLASA: 010-01/21-01/0003; URBROJ: 2137/01-03/2-21 89)</w:t>
      </w:r>
    </w:p>
    <w:p w14:paraId="35E881FA" w14:textId="77777777" w:rsidR="002F7564" w:rsidRDefault="00000000">
      <w:pPr>
        <w:rPr>
          <w:rFonts w:ascii="Source Sans Pro" w:eastAsia="Source Sans Pro" w:hAnsi="Source Sans Pro" w:cs="Source Sans Pro"/>
        </w:rPr>
      </w:pPr>
      <w:r>
        <w:rPr>
          <w:rFonts w:ascii="Source Sans Pro" w:eastAsia="Source Sans Pro" w:hAnsi="Source Sans Pro" w:cs="Source Sans Pro"/>
        </w:rPr>
        <w:t>Prilog 8. Odluka kojom se utvrđuje da nije potrebno provesti stratešku procjenu utjecaja na okoliš</w:t>
      </w:r>
    </w:p>
    <w:p w14:paraId="33CF154F" w14:textId="77777777" w:rsidR="002F7564" w:rsidRDefault="00000000">
      <w:pPr>
        <w:rPr>
          <w:rFonts w:ascii="Source Sans Pro" w:eastAsia="Source Sans Pro" w:hAnsi="Source Sans Pro" w:cs="Source Sans Pro"/>
        </w:rPr>
      </w:pPr>
      <w:r>
        <w:rPr>
          <w:rFonts w:ascii="Source Sans Pro" w:eastAsia="Source Sans Pro" w:hAnsi="Source Sans Pro" w:cs="Source Sans Pro"/>
        </w:rPr>
        <w:t>Strategije razvoja manjeg urbanog područja Koprivnica (KLASA: 351-01/21-01/0013; URBROJ: 2137-1-03-02/3-22-14)</w:t>
      </w:r>
    </w:p>
    <w:p w14:paraId="2A714819" w14:textId="77777777" w:rsidR="002F7564" w:rsidRDefault="002F7564">
      <w:pPr>
        <w:rPr>
          <w:rFonts w:ascii="Source Sans Pro" w:eastAsia="Source Sans Pro" w:hAnsi="Source Sans Pro" w:cs="Source Sans Pro"/>
        </w:rPr>
      </w:pPr>
    </w:p>
    <w:p w14:paraId="56E7BD19" w14:textId="77777777" w:rsidR="002F7564" w:rsidRDefault="002F7564">
      <w:pPr>
        <w:rPr>
          <w:rFonts w:ascii="Source Sans Pro" w:eastAsia="Source Sans Pro" w:hAnsi="Source Sans Pro" w:cs="Source Sans Pro"/>
        </w:rPr>
      </w:pPr>
    </w:p>
    <w:sectPr w:rsidR="002F7564">
      <w:pgSz w:w="11909" w:h="16834"/>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7D140" w14:textId="77777777" w:rsidR="009A7555" w:rsidRDefault="009A7555">
      <w:pPr>
        <w:spacing w:line="240" w:lineRule="auto"/>
      </w:pPr>
      <w:r>
        <w:separator/>
      </w:r>
    </w:p>
  </w:endnote>
  <w:endnote w:type="continuationSeparator" w:id="0">
    <w:p w14:paraId="626DAC3E" w14:textId="77777777" w:rsidR="009A7555" w:rsidRDefault="009A75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Arial Unicode MS">
    <w:altName w:val="Arial"/>
    <w:panose1 w:val="020B0604020202020204"/>
    <w:charset w:val="00"/>
    <w:family w:val="auto"/>
    <w:pitch w:val="default"/>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D746B" w14:textId="77777777" w:rsidR="002F7564" w:rsidRDefault="00000000">
    <w:pPr>
      <w:jc w:val="right"/>
    </w:pPr>
    <w:r>
      <w:fldChar w:fldCharType="begin"/>
    </w:r>
    <w:r>
      <w:instrText>PAGE</w:instrText>
    </w:r>
    <w:r>
      <w:fldChar w:fldCharType="separate"/>
    </w:r>
    <w:r w:rsidR="00226205">
      <w:rPr>
        <w:noProof/>
      </w:rPr>
      <w:t>1</w:t>
    </w:r>
    <w:r>
      <w:fldChar w:fldCharType="end"/>
    </w:r>
    <w:r>
      <w:rPr>
        <w:noProof/>
      </w:rPr>
      <w:drawing>
        <wp:anchor distT="0" distB="0" distL="0" distR="0" simplePos="0" relativeHeight="251658240" behindDoc="1" locked="0" layoutInCell="1" hidden="0" allowOverlap="1" wp14:anchorId="692E5849" wp14:editId="31FDDF5B">
          <wp:simplePos x="0" y="0"/>
          <wp:positionH relativeFrom="column">
            <wp:posOffset>-35998</wp:posOffset>
          </wp:positionH>
          <wp:positionV relativeFrom="paragraph">
            <wp:posOffset>-158160</wp:posOffset>
          </wp:positionV>
          <wp:extent cx="1981200" cy="495300"/>
          <wp:effectExtent l="0" t="0" r="0" b="0"/>
          <wp:wrapNone/>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1981200" cy="4953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4D0A8" w14:textId="77777777" w:rsidR="002F7564" w:rsidRDefault="002F75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BFBA3" w14:textId="77777777" w:rsidR="009A7555" w:rsidRDefault="009A7555">
      <w:pPr>
        <w:spacing w:line="240" w:lineRule="auto"/>
      </w:pPr>
      <w:r>
        <w:separator/>
      </w:r>
    </w:p>
  </w:footnote>
  <w:footnote w:type="continuationSeparator" w:id="0">
    <w:p w14:paraId="2EEF8B7E" w14:textId="77777777" w:rsidR="009A7555" w:rsidRDefault="009A7555">
      <w:pPr>
        <w:spacing w:line="240" w:lineRule="auto"/>
      </w:pPr>
      <w:r>
        <w:continuationSeparator/>
      </w:r>
    </w:p>
  </w:footnote>
  <w:footnote w:id="1">
    <w:p w14:paraId="736E830B" w14:textId="77777777" w:rsidR="002F7564" w:rsidRDefault="00000000">
      <w:pPr>
        <w:spacing w:line="240" w:lineRule="auto"/>
        <w:jc w:val="both"/>
        <w:rPr>
          <w:rFonts w:ascii="Source Sans Pro" w:eastAsia="Source Sans Pro" w:hAnsi="Source Sans Pro" w:cs="Source Sans Pro"/>
          <w:sz w:val="20"/>
          <w:szCs w:val="20"/>
        </w:rPr>
      </w:pPr>
      <w:r>
        <w:rPr>
          <w:vertAlign w:val="superscript"/>
        </w:rPr>
        <w:footnoteRef/>
      </w:r>
      <w:r>
        <w:rPr>
          <w:rFonts w:ascii="Source Sans Pro" w:eastAsia="Source Sans Pro" w:hAnsi="Source Sans Pro" w:cs="Source Sans Pro"/>
          <w:sz w:val="20"/>
          <w:szCs w:val="20"/>
        </w:rPr>
        <w:t xml:space="preserve"> Iako bi korištenjem dodatnih kriterija definiranja obuhvata, prvenstveno funkcionalne povezanosti potencijalno i druge okolne općine mogle biti uključene, Grad Koprivnica kao središte, zajedno s Ministarstvom regionalnog razvoja i fondova Europske unije definiralo je optimalan obuhvat od ukupno 10 sastavnica, odnosno 9 okolnih općina koje imaju zajedničku viziju razvoja, zajedničke razvojne probleme i izazove s gradom središtem.</w:t>
      </w:r>
    </w:p>
  </w:footnote>
  <w:footnote w:id="2">
    <w:p w14:paraId="71A626CB" w14:textId="77777777" w:rsidR="002F7564" w:rsidRDefault="00000000">
      <w:pPr>
        <w:spacing w:line="240" w:lineRule="auto"/>
        <w:jc w:val="both"/>
        <w:rPr>
          <w:rFonts w:ascii="Source Sans Pro" w:eastAsia="Source Sans Pro" w:hAnsi="Source Sans Pro" w:cs="Source Sans Pro"/>
          <w:sz w:val="20"/>
          <w:szCs w:val="20"/>
        </w:rPr>
      </w:pPr>
      <w:r>
        <w:rPr>
          <w:vertAlign w:val="superscript"/>
        </w:rPr>
        <w:footnoteRef/>
      </w:r>
      <w:r>
        <w:rPr>
          <w:sz w:val="20"/>
          <w:szCs w:val="20"/>
        </w:rPr>
        <w:t xml:space="preserve"> </w:t>
      </w:r>
      <w:r>
        <w:rPr>
          <w:rFonts w:ascii="Source Sans Pro" w:eastAsia="Source Sans Pro" w:hAnsi="Source Sans Pro" w:cs="Source Sans Pro"/>
          <w:sz w:val="20"/>
          <w:szCs w:val="20"/>
        </w:rPr>
        <w:t xml:space="preserve">Podaci posljednjeg službenog Popisa stanovništva iz 2011. godine korišteni su pri definiranju obuhvata Urbanog područja, s obzirom da je vrijeme uspostave istog službeni rezultati Popisa stanovništva provedenog 2021. nisu bili dostupni. </w:t>
      </w:r>
    </w:p>
  </w:footnote>
  <w:footnote w:id="3">
    <w:p w14:paraId="0E2B25DF" w14:textId="77777777" w:rsidR="002F7564" w:rsidRDefault="00000000">
      <w:pPr>
        <w:spacing w:line="240" w:lineRule="auto"/>
        <w:rPr>
          <w:rFonts w:ascii="Source Sans Pro" w:eastAsia="Source Sans Pro" w:hAnsi="Source Sans Pro" w:cs="Source Sans Pro"/>
          <w:sz w:val="20"/>
          <w:szCs w:val="20"/>
        </w:rPr>
      </w:pPr>
      <w:r>
        <w:rPr>
          <w:vertAlign w:val="superscript"/>
        </w:rPr>
        <w:footnoteRef/>
      </w:r>
      <w:r>
        <w:rPr>
          <w:rFonts w:ascii="Source Sans Pro" w:eastAsia="Source Sans Pro" w:hAnsi="Source Sans Pro" w:cs="Source Sans Pro"/>
          <w:sz w:val="20"/>
          <w:szCs w:val="20"/>
        </w:rPr>
        <w:t xml:space="preserve"> Projekt Podravski baštinski punktovi predstavlja više odvojenih ulaganja, zasebno prikazanih u poglavlju 10. Terminski plan provedbe projekata od strateškog značaja, a koji čine jednu sadržajnu cjelinu zbog čega mogu predstavljati objedinjeni projekt. </w:t>
      </w:r>
    </w:p>
  </w:footnote>
  <w:footnote w:id="4">
    <w:p w14:paraId="285893AF" w14:textId="77777777" w:rsidR="002F7564" w:rsidRDefault="00000000">
      <w:pPr>
        <w:spacing w:line="240" w:lineRule="auto"/>
        <w:rPr>
          <w:rFonts w:ascii="Source Sans Pro" w:eastAsia="Source Sans Pro" w:hAnsi="Source Sans Pro" w:cs="Source Sans Pro"/>
          <w:sz w:val="20"/>
          <w:szCs w:val="20"/>
        </w:rPr>
      </w:pPr>
      <w:r>
        <w:rPr>
          <w:vertAlign w:val="superscript"/>
        </w:rPr>
        <w:footnoteRef/>
      </w:r>
      <w:r>
        <w:rPr>
          <w:rFonts w:ascii="Source Sans Pro" w:eastAsia="Source Sans Pro" w:hAnsi="Source Sans Pro" w:cs="Source Sans Pro"/>
          <w:sz w:val="20"/>
          <w:szCs w:val="20"/>
        </w:rPr>
        <w:t xml:space="preserve"> Pojedinačni prikaz svih strateških projekata koji se planiraju provoditi kroz ITU mehanizam razrađen je u poglavlju 10. Terminski plan provedbe projekata od strateškog značaja. </w:t>
      </w:r>
    </w:p>
  </w:footnote>
  <w:footnote w:id="5">
    <w:p w14:paraId="692678D6" w14:textId="77777777" w:rsidR="002F7564" w:rsidRDefault="00000000">
      <w:pPr>
        <w:spacing w:line="240" w:lineRule="auto"/>
        <w:jc w:val="both"/>
        <w:rPr>
          <w:rFonts w:ascii="Source Sans Pro" w:eastAsia="Source Sans Pro" w:hAnsi="Source Sans Pro" w:cs="Source Sans Pro"/>
          <w:sz w:val="20"/>
          <w:szCs w:val="20"/>
        </w:rPr>
      </w:pPr>
      <w:r>
        <w:rPr>
          <w:vertAlign w:val="superscript"/>
        </w:rPr>
        <w:footnoteRef/>
      </w:r>
      <w:r>
        <w:rPr>
          <w:rFonts w:ascii="Source Sans Pro" w:eastAsia="Source Sans Pro" w:hAnsi="Source Sans Pro" w:cs="Source Sans Pro"/>
          <w:sz w:val="20"/>
          <w:szCs w:val="20"/>
        </w:rPr>
        <w:t xml:space="preserve"> Temeljem naputka Ministarstva regionalnog razvoja i fondove Europske unije vezanih uz prioritizaciju projekata, projekti od strateškog značaja od rednog broja 23. do 33. prikazani su odvojeno s obzirom na različite nositelje projekata i različitu razinu spremnosti projekata, a sve zbog lakše provedbe metodologije prioritizacije. Ipak, projekti su tematski povezani odnosno čine jednu sadržajnu cjelinu obzirom da se odnose na unapređenje društveno-kulturne i kulturno-turističke infrastrukture te valorizaciju kulturne baštine, te je za iste planirana objedinjena provedba pod nazivom “Podravski baštinski punktovi”.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3D07D" w14:textId="77777777" w:rsidR="002F7564" w:rsidRDefault="002F75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A0A00"/>
    <w:multiLevelType w:val="multilevel"/>
    <w:tmpl w:val="A02E7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D2B6116"/>
    <w:multiLevelType w:val="multilevel"/>
    <w:tmpl w:val="95DA7B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C0050A3"/>
    <w:multiLevelType w:val="multilevel"/>
    <w:tmpl w:val="8CE6D1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2CB73B6"/>
    <w:multiLevelType w:val="multilevel"/>
    <w:tmpl w:val="9B70C3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7552148"/>
    <w:multiLevelType w:val="multilevel"/>
    <w:tmpl w:val="0F544E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9F554E9"/>
    <w:multiLevelType w:val="multilevel"/>
    <w:tmpl w:val="4FE437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DAD77E5"/>
    <w:multiLevelType w:val="multilevel"/>
    <w:tmpl w:val="DDFC9E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BFF5E12"/>
    <w:multiLevelType w:val="multilevel"/>
    <w:tmpl w:val="56DA3F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D8569DB"/>
    <w:multiLevelType w:val="multilevel"/>
    <w:tmpl w:val="788AE0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48153DB"/>
    <w:multiLevelType w:val="multilevel"/>
    <w:tmpl w:val="64C8B9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9017932"/>
    <w:multiLevelType w:val="multilevel"/>
    <w:tmpl w:val="B082E1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4963C68"/>
    <w:multiLevelType w:val="multilevel"/>
    <w:tmpl w:val="548E36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5708148F"/>
    <w:multiLevelType w:val="multilevel"/>
    <w:tmpl w:val="D42A0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8016255"/>
    <w:multiLevelType w:val="multilevel"/>
    <w:tmpl w:val="3FE230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CEF0B86"/>
    <w:multiLevelType w:val="multilevel"/>
    <w:tmpl w:val="7E201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5A5282C"/>
    <w:multiLevelType w:val="multilevel"/>
    <w:tmpl w:val="A78085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F856E27"/>
    <w:multiLevelType w:val="multilevel"/>
    <w:tmpl w:val="605E4D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28985257">
    <w:abstractNumId w:val="16"/>
  </w:num>
  <w:num w:numId="2" w16cid:durableId="1664164458">
    <w:abstractNumId w:val="8"/>
  </w:num>
  <w:num w:numId="3" w16cid:durableId="1552038299">
    <w:abstractNumId w:val="10"/>
  </w:num>
  <w:num w:numId="4" w16cid:durableId="1759596458">
    <w:abstractNumId w:val="4"/>
  </w:num>
  <w:num w:numId="5" w16cid:durableId="1757634954">
    <w:abstractNumId w:val="12"/>
  </w:num>
  <w:num w:numId="6" w16cid:durableId="1507748140">
    <w:abstractNumId w:val="11"/>
  </w:num>
  <w:num w:numId="7" w16cid:durableId="1572539222">
    <w:abstractNumId w:val="3"/>
  </w:num>
  <w:num w:numId="8" w16cid:durableId="2062286920">
    <w:abstractNumId w:val="2"/>
  </w:num>
  <w:num w:numId="9" w16cid:durableId="1886330706">
    <w:abstractNumId w:val="7"/>
  </w:num>
  <w:num w:numId="10" w16cid:durableId="413475152">
    <w:abstractNumId w:val="15"/>
  </w:num>
  <w:num w:numId="11" w16cid:durableId="799301102">
    <w:abstractNumId w:val="6"/>
  </w:num>
  <w:num w:numId="12" w16cid:durableId="302317809">
    <w:abstractNumId w:val="14"/>
  </w:num>
  <w:num w:numId="13" w16cid:durableId="1103649127">
    <w:abstractNumId w:val="0"/>
  </w:num>
  <w:num w:numId="14" w16cid:durableId="429203421">
    <w:abstractNumId w:val="1"/>
  </w:num>
  <w:num w:numId="15" w16cid:durableId="1748527372">
    <w:abstractNumId w:val="5"/>
  </w:num>
  <w:num w:numId="16" w16cid:durableId="994456332">
    <w:abstractNumId w:val="13"/>
  </w:num>
  <w:num w:numId="17" w16cid:durableId="6028040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564"/>
    <w:rsid w:val="00226205"/>
    <w:rsid w:val="002F7564"/>
    <w:rsid w:val="0033749F"/>
    <w:rsid w:val="007A1E4B"/>
    <w:rsid w:val="009A7555"/>
    <w:rsid w:val="00A8146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D3A7D"/>
  <w15:docId w15:val="{A9BC3CAD-7C75-4E5D-B884-66BF3EBAF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hr-HR" w:eastAsia="hr-H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ind w:left="720" w:hanging="360"/>
      <w:outlineLvl w:val="0"/>
    </w:pPr>
    <w:rPr>
      <w:rFonts w:ascii="Source Sans Pro" w:eastAsia="Source Sans Pro" w:hAnsi="Source Sans Pro" w:cs="Source Sans Pro"/>
      <w:b/>
      <w:sz w:val="24"/>
      <w:szCs w:val="24"/>
    </w:rPr>
  </w:style>
  <w:style w:type="paragraph" w:styleId="Heading2">
    <w:name w:val="heading 2"/>
    <w:basedOn w:val="Normal"/>
    <w:next w:val="Normal"/>
    <w:uiPriority w:val="9"/>
    <w:unhideWhenUsed/>
    <w:qFormat/>
    <w:pPr>
      <w:keepNext/>
      <w:keepLines/>
      <w:spacing w:before="360" w:after="120"/>
      <w:jc w:val="both"/>
      <w:outlineLvl w:val="1"/>
    </w:pPr>
    <w:rPr>
      <w:rFonts w:ascii="Source Sans Pro" w:eastAsia="Source Sans Pro" w:hAnsi="Source Sans Pro" w:cs="Source Sans Pro"/>
      <w:b/>
      <w:sz w:val="24"/>
      <w:szCs w:val="24"/>
    </w:rPr>
  </w:style>
  <w:style w:type="paragraph" w:styleId="Heading3">
    <w:name w:val="heading 3"/>
    <w:basedOn w:val="Normal"/>
    <w:next w:val="Normal"/>
    <w:uiPriority w:val="9"/>
    <w:unhideWhenUsed/>
    <w:qFormat/>
    <w:pPr>
      <w:keepNext/>
      <w:keepLines/>
      <w:spacing w:before="320" w:after="80"/>
      <w:jc w:val="both"/>
      <w:outlineLvl w:val="2"/>
    </w:pPr>
    <w:rPr>
      <w:rFonts w:ascii="Source Sans Pro" w:eastAsia="Source Sans Pro" w:hAnsi="Source Sans Pro" w:cs="Source Sans Pro"/>
      <w:b/>
      <w:sz w:val="24"/>
      <w:szCs w:val="24"/>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0">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1">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2">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3">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4">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5">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6">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7">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8">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c">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d">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e">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f">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f0">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f1">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f2">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f3">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f4">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f5">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f6">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pPr>
      <w:spacing w:line="240" w:lineRule="auto"/>
    </w:p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image" Target="media/image10.jp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image" Target="media/image9.jpg"/><Relationship Id="rId2" Type="http://schemas.openxmlformats.org/officeDocument/2006/relationships/styles" Target="styles.xml"/><Relationship Id="rId16" Type="http://schemas.openxmlformats.org/officeDocument/2006/relationships/image" Target="media/image8.jp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jpg"/><Relationship Id="rId23" Type="http://schemas.openxmlformats.org/officeDocument/2006/relationships/fontTable" Target="fontTable.xml"/><Relationship Id="rId10" Type="http://schemas.openxmlformats.org/officeDocument/2006/relationships/image" Target="media/image4.jp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 Id="rId22" Type="http://schemas.openxmlformats.org/officeDocument/2006/relationships/image" Target="media/image14.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20611</Words>
  <Characters>117483</Characters>
  <Application>Microsoft Office Word</Application>
  <DocSecurity>0</DocSecurity>
  <Lines>979</Lines>
  <Paragraphs>275</Paragraphs>
  <ScaleCrop>false</ScaleCrop>
  <Company/>
  <LinksUpToDate>false</LinksUpToDate>
  <CharactersWithSpaces>137819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 Burić</dc:creator>
  <cp:lastModifiedBy>Mia Burić</cp:lastModifiedBy>
  <cp:revision>6</cp:revision>
  <cp:lastPrinted>2022-11-30T16:02:00Z</cp:lastPrinted>
  <dcterms:created xsi:type="dcterms:W3CDTF">2022-11-30T15:55:00Z</dcterms:created>
  <dcterms:modified xsi:type="dcterms:W3CDTF">2022-11-30T16:04:00Z</dcterms:modified>
</cp:coreProperties>
</file>