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3548" w14:textId="77777777" w:rsidR="001E01B9" w:rsidRPr="008770A6" w:rsidRDefault="001E01B9" w:rsidP="000A3497">
      <w:pPr>
        <w:ind w:left="4860"/>
      </w:pPr>
    </w:p>
    <w:p w14:paraId="198CCFB7" w14:textId="77777777" w:rsidR="000976FE" w:rsidRDefault="000976FE" w:rsidP="000976FE">
      <w:pPr>
        <w:ind w:left="4860"/>
        <w:rPr>
          <w:sz w:val="22"/>
          <w:szCs w:val="22"/>
        </w:rPr>
      </w:pPr>
    </w:p>
    <w:p w14:paraId="4A096A09" w14:textId="6867B73F" w:rsidR="000976FE" w:rsidRDefault="00612DFC" w:rsidP="000976FE">
      <w:pPr>
        <w:pStyle w:val="Tijeloteksta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Na temelju članka 55. Statuta Grada Koprivnice („Glasnik Grada Koprivnice“ broj 4/09. 1/12, 1/13, 3/13. - pročišćeni tekst, 1/18, 2/20 i 1/21), članka 2. stavka 1. Plana upravljanja nekretninama u 2022. godini („Glasnik Grada Koprivnice“ broj 2/22) i članka 33. stavka 2. i 3. Odluke o upravljanju, raspolaganju i korištenju nekretnina u vlasništvu Grada Koprivnice („Glasnik Grada Koprivnice“ broj 3/16, 1/17, 2/17 i 9/19) gradonačelnik Grada Koprivnice dana </w:t>
      </w:r>
      <w:r w:rsidR="00930728">
        <w:fldChar w:fldCharType="begin">
          <w:ffData>
            <w:name w:val="datum2"/>
            <w:enabled/>
            <w:calcOnExit w:val="0"/>
            <w:textInput/>
          </w:ffData>
        </w:fldChar>
      </w:r>
      <w:bookmarkStart w:id="0" w:name="datum2"/>
      <w:r w:rsidR="00930728">
        <w:instrText xml:space="preserve"> FORMTEXT </w:instrText>
      </w:r>
      <w:r w:rsidR="00930728">
        <w:fldChar w:fldCharType="separate"/>
      </w:r>
      <w:r w:rsidR="00930728">
        <w:rPr>
          <w:noProof/>
        </w:rPr>
        <w:t>30.06.2022.</w:t>
      </w:r>
      <w:r w:rsidR="00930728">
        <w:fldChar w:fldCharType="end"/>
      </w:r>
      <w:bookmarkEnd w:id="0"/>
      <w:r>
        <w:rPr>
          <w:sz w:val="22"/>
          <w:szCs w:val="22"/>
        </w:rPr>
        <w:t xml:space="preserve"> godine, donio je </w:t>
      </w:r>
    </w:p>
    <w:p w14:paraId="6635AAD7" w14:textId="77777777" w:rsidR="000976FE" w:rsidRDefault="000976FE" w:rsidP="000976FE">
      <w:pPr>
        <w:pStyle w:val="Tijeloteksta"/>
        <w:rPr>
          <w:sz w:val="22"/>
          <w:szCs w:val="22"/>
        </w:rPr>
      </w:pPr>
    </w:p>
    <w:p w14:paraId="33E7F690" w14:textId="77777777" w:rsidR="000976FE" w:rsidRDefault="00612DFC" w:rsidP="000976F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ZAKLJUČAK</w:t>
      </w:r>
    </w:p>
    <w:p w14:paraId="64EAC0D6" w14:textId="01F584F7" w:rsidR="000976FE" w:rsidRDefault="00612DFC" w:rsidP="000976F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 sklapanju Predugovora o zamjeni nekretnina </w:t>
      </w:r>
    </w:p>
    <w:p w14:paraId="1CF4B95F" w14:textId="77777777" w:rsidR="000976FE" w:rsidRDefault="00612DFC" w:rsidP="000976F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radi proširenja stambene zone „Cerine“</w:t>
      </w:r>
    </w:p>
    <w:p w14:paraId="73782D01" w14:textId="77777777" w:rsidR="000976FE" w:rsidRDefault="000976FE" w:rsidP="000976FE">
      <w:pPr>
        <w:jc w:val="center"/>
        <w:rPr>
          <w:b/>
          <w:color w:val="000000"/>
          <w:sz w:val="22"/>
          <w:szCs w:val="22"/>
        </w:rPr>
      </w:pPr>
    </w:p>
    <w:p w14:paraId="646361BE" w14:textId="77777777" w:rsidR="000976FE" w:rsidRDefault="00612DFC" w:rsidP="000976F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</w:p>
    <w:p w14:paraId="53A9A2E5" w14:textId="77777777" w:rsidR="000976FE" w:rsidRDefault="000976FE" w:rsidP="000976FE">
      <w:pPr>
        <w:jc w:val="center"/>
        <w:rPr>
          <w:b/>
          <w:color w:val="000000"/>
          <w:sz w:val="22"/>
          <w:szCs w:val="22"/>
        </w:rPr>
      </w:pPr>
    </w:p>
    <w:p w14:paraId="2DDB021C" w14:textId="77777777" w:rsidR="000976FE" w:rsidRDefault="000976FE" w:rsidP="000976FE">
      <w:pPr>
        <w:jc w:val="center"/>
        <w:rPr>
          <w:b/>
          <w:color w:val="000000"/>
          <w:sz w:val="22"/>
          <w:szCs w:val="22"/>
        </w:rPr>
      </w:pPr>
    </w:p>
    <w:p w14:paraId="2F35D97D" w14:textId="10656958" w:rsidR="00B72A68" w:rsidRPr="00D42A8A" w:rsidRDefault="00612DFC" w:rsidP="00B72A68">
      <w:pPr>
        <w:pStyle w:val="Tijeloteksta"/>
        <w:spacing w:after="0"/>
        <w:ind w:firstLine="708"/>
        <w:jc w:val="both"/>
      </w:pPr>
      <w:bookmarkStart w:id="1" w:name="_Hlk83807605"/>
      <w:r>
        <w:rPr>
          <w:color w:val="000000"/>
        </w:rPr>
        <w:t xml:space="preserve">Grad Koprivnica i Matija Sočev, </w:t>
      </w:r>
      <w:r w:rsidRPr="000C6890">
        <w:rPr>
          <w:color w:val="000000"/>
          <w:highlight w:val="black"/>
        </w:rPr>
        <w:t>Ulica Miklinovec 50 E</w:t>
      </w:r>
      <w:r>
        <w:rPr>
          <w:color w:val="000000"/>
        </w:rPr>
        <w:t xml:space="preserve">, Koprivnica sklapaju Predugovor o zamjeni nekretnina </w:t>
      </w:r>
      <w:bookmarkEnd w:id="1"/>
      <w:r>
        <w:rPr>
          <w:color w:val="000000"/>
        </w:rPr>
        <w:t>radi proširenja stambene zone „Cerine“ temeljem kojeg se obvezuju da će sklopiti Ugovor o zamjeni nekretnina temeljem kojeg će se izvršiti zamjena nekretnina na način da će Grad Koprivnica steći suvlasnički udio od 2181/5169 djela k.č.br. 6134/2 k.o. Koprivnica, zk.ul. 836, a što je u naravi 2181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dok će Matija Sočev, po provedenoj parcelaciji nakon ishođenja lokacijske dozvole, steći u vlasništvo dvije građevinske parcele od cca 1245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sukladno skici koja je u prilogu predmetnog ugovora. S obzirom na razliku u kvadraturi</w:t>
      </w:r>
      <w:r w:rsidR="00930728">
        <w:rPr>
          <w:color w:val="000000"/>
        </w:rPr>
        <w:t xml:space="preserve"> koja temeljem skice iznosi 137,6 </w:t>
      </w:r>
      <w:r w:rsidR="00930728" w:rsidRPr="00930728">
        <w:rPr>
          <w:color w:val="000000"/>
        </w:rPr>
        <w:t>m</w:t>
      </w:r>
      <w:r w:rsidR="00930728">
        <w:rPr>
          <w:color w:val="000000"/>
          <w:vertAlign w:val="superscript"/>
        </w:rPr>
        <w:t>2</w:t>
      </w:r>
      <w:r w:rsidR="00930728">
        <w:rPr>
          <w:color w:val="000000"/>
        </w:rPr>
        <w:t xml:space="preserve"> </w:t>
      </w:r>
      <w:r w:rsidRPr="00930728">
        <w:rPr>
          <w:color w:val="000000"/>
        </w:rPr>
        <w:t>Grad</w:t>
      </w:r>
      <w:r>
        <w:rPr>
          <w:color w:val="000000"/>
        </w:rPr>
        <w:t xml:space="preserve"> Koprivnica će Matiji Sočevu isplatiti naknadu u iznosu od 61.920,00 kuna</w:t>
      </w:r>
      <w:r w:rsidR="00930728">
        <w:rPr>
          <w:color w:val="000000"/>
        </w:rPr>
        <w:t>, odnosno 450 kn/m</w:t>
      </w:r>
      <w:r w:rsidR="00930728">
        <w:rPr>
          <w:color w:val="000000"/>
          <w:vertAlign w:val="superscript"/>
        </w:rPr>
        <w:t>2</w:t>
      </w:r>
      <w:r w:rsidR="00930728">
        <w:rPr>
          <w:color w:val="000000"/>
        </w:rPr>
        <w:t>, s eventualnim manjim odstupanjima po provedbi parcelacije</w:t>
      </w:r>
      <w:r>
        <w:rPr>
          <w:color w:val="000000"/>
        </w:rPr>
        <w:t xml:space="preserve">, </w:t>
      </w:r>
      <w:r>
        <w:t>u roku od 15 dana od dana sklapanja Ugovora o zamjeni nekretnina temeljem kojeg će doći do uknjižbe.</w:t>
      </w:r>
    </w:p>
    <w:p w14:paraId="45ECBA9F" w14:textId="3FE54DC7" w:rsidR="000976FE" w:rsidRDefault="000976FE" w:rsidP="000976FE">
      <w:pPr>
        <w:pStyle w:val="Odlomakpopis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29BB30" w14:textId="77777777" w:rsidR="000976FE" w:rsidRDefault="000976FE" w:rsidP="000976F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FEEA64" w14:textId="77777777" w:rsidR="000976FE" w:rsidRDefault="000976FE" w:rsidP="000976FE">
      <w:pPr>
        <w:pStyle w:val="Tijeloteksta"/>
        <w:spacing w:after="0"/>
        <w:ind w:firstLine="708"/>
        <w:jc w:val="both"/>
        <w:rPr>
          <w:b/>
          <w:color w:val="000000"/>
          <w:sz w:val="22"/>
          <w:szCs w:val="22"/>
        </w:rPr>
      </w:pPr>
    </w:p>
    <w:p w14:paraId="2F72E2E2" w14:textId="77777777" w:rsidR="000976FE" w:rsidRDefault="00612DFC" w:rsidP="000976FE">
      <w:pPr>
        <w:pStyle w:val="Tijeloteksta"/>
        <w:spacing w:after="0"/>
        <w:ind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II.</w:t>
      </w:r>
    </w:p>
    <w:p w14:paraId="6576C8CC" w14:textId="77777777" w:rsidR="000976FE" w:rsidRDefault="000976FE" w:rsidP="000976FE">
      <w:pPr>
        <w:pStyle w:val="Tijeloteksta"/>
        <w:spacing w:after="0"/>
        <w:ind w:firstLine="708"/>
        <w:rPr>
          <w:b/>
          <w:color w:val="000000"/>
          <w:sz w:val="22"/>
          <w:szCs w:val="22"/>
        </w:rPr>
      </w:pPr>
    </w:p>
    <w:p w14:paraId="19022C01" w14:textId="4EEE9FE7" w:rsidR="000976FE" w:rsidRDefault="00612DFC" w:rsidP="000976FE">
      <w:pPr>
        <w:pStyle w:val="Tijeloteksta"/>
        <w:spacing w:after="0"/>
        <w:ind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Predugovor iz točke I. ovog Zaključka nalazi se u prilogu i sastavni je dio ovo Zaključka.</w:t>
      </w:r>
    </w:p>
    <w:p w14:paraId="035ED971" w14:textId="77777777" w:rsidR="000976FE" w:rsidRDefault="000976FE" w:rsidP="000976FE">
      <w:pPr>
        <w:jc w:val="both"/>
        <w:rPr>
          <w:sz w:val="22"/>
          <w:szCs w:val="22"/>
        </w:rPr>
      </w:pPr>
    </w:p>
    <w:p w14:paraId="68C86491" w14:textId="77777777" w:rsidR="000976FE" w:rsidRDefault="000976FE" w:rsidP="000976FE"/>
    <w:p w14:paraId="0D91377F" w14:textId="189778D2" w:rsidR="000976FE" w:rsidRPr="008770A6" w:rsidRDefault="00612DFC" w:rsidP="000976FE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2" w:name="Klasa"/>
      <w:r>
        <w:instrText xml:space="preserve"> FORMTEXT </w:instrText>
      </w:r>
      <w:r>
        <w:fldChar w:fldCharType="separate"/>
      </w:r>
      <w:r>
        <w:rPr>
          <w:noProof/>
        </w:rPr>
        <w:t>944-01/22-06/0005</w:t>
      </w:r>
      <w:r>
        <w:fldChar w:fldCharType="end"/>
      </w:r>
      <w:bookmarkEnd w:id="2"/>
    </w:p>
    <w:p w14:paraId="170AC8AC" w14:textId="75FECCA0" w:rsidR="000976FE" w:rsidRPr="008770A6" w:rsidRDefault="00612DFC" w:rsidP="000976FE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3" w:name="Urbroj"/>
      <w:r>
        <w:instrText xml:space="preserve"> FORMTEXT </w:instrText>
      </w:r>
      <w:r>
        <w:fldChar w:fldCharType="separate"/>
      </w:r>
      <w:r>
        <w:rPr>
          <w:noProof/>
        </w:rPr>
        <w:t>2137-1-08-02/1-22-1</w:t>
      </w:r>
      <w:r>
        <w:fldChar w:fldCharType="end"/>
      </w:r>
      <w:bookmarkEnd w:id="3"/>
    </w:p>
    <w:p w14:paraId="13C1378B" w14:textId="47A9EB88" w:rsidR="000976FE" w:rsidRPr="008770A6" w:rsidRDefault="00612DFC" w:rsidP="000976FE">
      <w:r>
        <w:t>Koprivnica</w:t>
      </w:r>
      <w:r w:rsidRPr="008770A6">
        <w:t>,</w:t>
      </w:r>
      <w:r>
        <w:t xml:space="preserve"> </w:t>
      </w:r>
      <w:r w:rsidR="00930728">
        <w:fldChar w:fldCharType="begin">
          <w:ffData>
            <w:name w:val="Datum"/>
            <w:enabled/>
            <w:calcOnExit w:val="0"/>
            <w:textInput/>
          </w:ffData>
        </w:fldChar>
      </w:r>
      <w:bookmarkStart w:id="4" w:name="Datum"/>
      <w:r w:rsidR="00930728">
        <w:instrText xml:space="preserve"> FORMTEXT </w:instrText>
      </w:r>
      <w:r w:rsidR="00930728">
        <w:fldChar w:fldCharType="separate"/>
      </w:r>
      <w:r w:rsidR="00930728">
        <w:rPr>
          <w:noProof/>
        </w:rPr>
        <w:t>30.06.2022.</w:t>
      </w:r>
      <w:r w:rsidR="00930728">
        <w:fldChar w:fldCharType="end"/>
      </w:r>
      <w:bookmarkEnd w:id="4"/>
    </w:p>
    <w:p w14:paraId="406BE73E" w14:textId="77777777" w:rsidR="000976FE" w:rsidRDefault="000976FE" w:rsidP="000976FE">
      <w:pPr>
        <w:rPr>
          <w:sz w:val="22"/>
          <w:szCs w:val="22"/>
        </w:rPr>
      </w:pPr>
    </w:p>
    <w:p w14:paraId="06930F24" w14:textId="77777777" w:rsidR="000976FE" w:rsidRDefault="000976FE" w:rsidP="000976FE">
      <w:pPr>
        <w:rPr>
          <w:sz w:val="22"/>
          <w:szCs w:val="22"/>
        </w:rPr>
      </w:pPr>
    </w:p>
    <w:p w14:paraId="52B894D8" w14:textId="77777777" w:rsidR="000976FE" w:rsidRDefault="00612DFC" w:rsidP="000976FE">
      <w:pPr>
        <w:tabs>
          <w:tab w:val="left" w:pos="15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770DB" w14:paraId="72BDD7DD" w14:textId="77777777" w:rsidTr="000976FE">
        <w:tc>
          <w:tcPr>
            <w:tcW w:w="4644" w:type="dxa"/>
          </w:tcPr>
          <w:p w14:paraId="0E33083A" w14:textId="77777777" w:rsidR="000976FE" w:rsidRDefault="000976FE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56CF3FCF" w14:textId="77777777" w:rsidR="000976FE" w:rsidRDefault="00612DFC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GRADONAČELNIK</w:t>
            </w:r>
          </w:p>
          <w:p w14:paraId="67CFBE84" w14:textId="77777777" w:rsidR="000976FE" w:rsidRDefault="000976FE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CCB163" w14:textId="77777777" w:rsidR="000976FE" w:rsidRDefault="00612DFC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Mišel Jakšić, dipl.oec.</w:t>
            </w:r>
          </w:p>
        </w:tc>
      </w:tr>
    </w:tbl>
    <w:p w14:paraId="780F1C43" w14:textId="77777777" w:rsidR="000976FE" w:rsidRDefault="000976FE" w:rsidP="000976FE">
      <w:pPr>
        <w:pStyle w:val="Tijeloteksta"/>
        <w:jc w:val="center"/>
        <w:rPr>
          <w:b/>
          <w:sz w:val="22"/>
          <w:szCs w:val="22"/>
          <w:lang w:eastAsia="x-none"/>
        </w:rPr>
      </w:pPr>
    </w:p>
    <w:p w14:paraId="76BC3497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2D3A879B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39711DCD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4D8ACDBE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69B94E91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1F90CF87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7DFEC551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2FD8204E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16D67D04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735BEF69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7D1F6EF9" w14:textId="77777777" w:rsidR="000976FE" w:rsidRDefault="000976FE" w:rsidP="000976FE">
      <w:pPr>
        <w:pStyle w:val="Tijeloteksta"/>
        <w:jc w:val="center"/>
        <w:rPr>
          <w:b/>
          <w:sz w:val="22"/>
          <w:szCs w:val="22"/>
        </w:rPr>
      </w:pPr>
    </w:p>
    <w:p w14:paraId="439108CE" w14:textId="28FC9651" w:rsidR="000976FE" w:rsidRDefault="00612DFC" w:rsidP="000976FE">
      <w:pPr>
        <w:pStyle w:val="Tijelotekst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OBRAZLOŽENJE</w:t>
      </w:r>
    </w:p>
    <w:p w14:paraId="2E0B9DAE" w14:textId="77777777" w:rsidR="000976FE" w:rsidRDefault="000976FE" w:rsidP="000976FE">
      <w:pPr>
        <w:ind w:firstLine="720"/>
        <w:jc w:val="both"/>
        <w:rPr>
          <w:color w:val="000000"/>
          <w:sz w:val="22"/>
          <w:szCs w:val="22"/>
        </w:rPr>
      </w:pPr>
    </w:p>
    <w:p w14:paraId="74AD953E" w14:textId="1E1E28EB" w:rsidR="000976FE" w:rsidRDefault="00612DFC" w:rsidP="000976FE">
      <w:pPr>
        <w:pStyle w:val="Tijeloteksta"/>
        <w:spacing w:after="0"/>
        <w:ind w:firstLine="720"/>
        <w:jc w:val="both"/>
      </w:pPr>
      <w:r>
        <w:t>Matija Sočev je s Gradom suvlasnik na k.č.br. 6134/2 k.o. Koprivnica u zk.ul. 836. Grad ima u navedenoj parceli 2988 m2, a Matija Sočev 2181 m2.</w:t>
      </w:r>
    </w:p>
    <w:p w14:paraId="0614764C" w14:textId="5F584F0F" w:rsidR="000976FE" w:rsidRDefault="00612DFC" w:rsidP="000976FE">
      <w:pPr>
        <w:pStyle w:val="Tijeloteksta"/>
        <w:spacing w:after="0"/>
        <w:jc w:val="both"/>
      </w:pPr>
      <w:r>
        <w:t>Radi proširenja stambene zone „Cerine“, Grad izrađuje projektnu dokumentaciju kako bi ishodio lokacijsku dozvolu. Prema Ugovoru iz 2008. godine koji su sklopili pravni prednici Matije Sočeva i Grad Koprivnica, suvlasnički dio Matije Sočeva je onaj koji se nalazi uz k.č.br. 6134/3 u samovlasništvu Matije Sočeva Na predmetnoj parceli u suvlasništvu izgraditi će se prometnica</w:t>
      </w:r>
      <w:r w:rsidR="00930728">
        <w:t xml:space="preserve"> sukladno Generalnom urbanističkom planu Koprivnice („Glasnik Grada Koprivnice“ broj 4/08, 5/08, 7/14 i 1/15).</w:t>
      </w:r>
    </w:p>
    <w:p w14:paraId="49331F87" w14:textId="4E38692D" w:rsidR="00B72A68" w:rsidRDefault="00612DFC" w:rsidP="00B72A68">
      <w:pPr>
        <w:pStyle w:val="Tijeloteksta"/>
        <w:spacing w:after="0"/>
        <w:jc w:val="both"/>
        <w:rPr>
          <w:color w:val="000000"/>
        </w:rPr>
      </w:pPr>
      <w:r>
        <w:t xml:space="preserve">Tržišna vrijednost proizlazi iz </w:t>
      </w:r>
      <w:r w:rsidR="00B21EAE">
        <w:rPr>
          <w:color w:val="000000"/>
        </w:rPr>
        <w:t>Procjemben</w:t>
      </w:r>
      <w:r>
        <w:rPr>
          <w:color w:val="000000"/>
        </w:rPr>
        <w:t>og</w:t>
      </w:r>
      <w:r w:rsidR="00B21EAE">
        <w:rPr>
          <w:color w:val="000000"/>
        </w:rPr>
        <w:t xml:space="preserve"> </w:t>
      </w:r>
      <w:r w:rsidR="00B21EAE" w:rsidRPr="00AF5275">
        <w:rPr>
          <w:color w:val="000000"/>
        </w:rPr>
        <w:t>elaborat</w:t>
      </w:r>
      <w:r w:rsidRPr="00AF5275">
        <w:rPr>
          <w:color w:val="000000"/>
        </w:rPr>
        <w:t>a</w:t>
      </w:r>
      <w:r w:rsidR="00B21EAE" w:rsidRPr="00AF5275">
        <w:rPr>
          <w:color w:val="000000"/>
        </w:rPr>
        <w:t xml:space="preserve"> 0</w:t>
      </w:r>
      <w:r w:rsidRPr="00AF5275">
        <w:rPr>
          <w:color w:val="000000"/>
        </w:rPr>
        <w:t>302</w:t>
      </w:r>
      <w:r w:rsidR="00B21EAE" w:rsidRPr="00AF5275">
        <w:rPr>
          <w:color w:val="000000"/>
        </w:rPr>
        <w:t xml:space="preserve">, VEGA – ING obrta za inženjerstvo i procjene nekretnina, vlasnik Lidija Kušt, Đurđevac, Kralja Tomislava 62, potvrđenog na </w:t>
      </w:r>
      <w:r w:rsidRPr="00AF5275">
        <w:rPr>
          <w:color w:val="000000"/>
        </w:rPr>
        <w:t>32</w:t>
      </w:r>
      <w:r w:rsidR="00B21EAE" w:rsidRPr="00AF5275">
        <w:rPr>
          <w:color w:val="000000"/>
        </w:rPr>
        <w:t>. sjednici Procjeniteljskog povjerenstva za tržište nekretnina na području Grada Koprivnice za period od 2019. do 2023. godine održanoj 21.</w:t>
      </w:r>
      <w:r w:rsidRPr="00AF5275">
        <w:rPr>
          <w:color w:val="000000"/>
        </w:rPr>
        <w:t>0</w:t>
      </w:r>
      <w:r w:rsidR="00B21EAE" w:rsidRPr="00AF5275">
        <w:rPr>
          <w:color w:val="000000"/>
        </w:rPr>
        <w:t>2.202</w:t>
      </w:r>
      <w:r w:rsidRPr="00AF5275">
        <w:rPr>
          <w:color w:val="000000"/>
        </w:rPr>
        <w:t>2</w:t>
      </w:r>
      <w:r w:rsidR="00B21EAE" w:rsidRPr="00AF5275">
        <w:rPr>
          <w:color w:val="000000"/>
        </w:rPr>
        <w:t>.godine</w:t>
      </w:r>
      <w:r w:rsidRPr="00AF5275">
        <w:rPr>
          <w:color w:val="000000"/>
        </w:rPr>
        <w:t xml:space="preserve"> temeljem kojeg je izvedena cijena od 450 kn/m2 za kvadrat građevinskog zemljišta namijenjenog stambenoj izgradnji.</w:t>
      </w:r>
      <w:r w:rsidR="00B21EAE">
        <w:rPr>
          <w:color w:val="000000"/>
        </w:rPr>
        <w:t xml:space="preserve"> </w:t>
      </w:r>
    </w:p>
    <w:p w14:paraId="19A7E215" w14:textId="47A88BF3" w:rsidR="000976FE" w:rsidRDefault="00612DFC" w:rsidP="00B72A68">
      <w:pPr>
        <w:pStyle w:val="Tijeloteksta"/>
        <w:spacing w:after="0"/>
        <w:jc w:val="both"/>
        <w:rPr>
          <w:color w:val="000000"/>
        </w:rPr>
      </w:pPr>
      <w:r>
        <w:rPr>
          <w:color w:val="000000"/>
        </w:rPr>
        <w:t xml:space="preserve">Na kč.br. </w:t>
      </w:r>
      <w:r>
        <w:t xml:space="preserve">6134/2, na dijelu suvlasničkog udjela Matije Sočeva od 1996 m2 izgraditi će se infrastrukturni koridor, </w:t>
      </w:r>
      <w:r w:rsidR="00B21EAE">
        <w:rPr>
          <w:color w:val="000000"/>
        </w:rPr>
        <w:t xml:space="preserve">što znači da je riječ o budućoj površini javne namjene sukladno čl. 46. Zakona o procjeni vrijednosti nekretnina (NN 78/15), a čija se tržišna vrijednost temeljem čl. 49. istog zakona </w:t>
      </w:r>
      <w:r w:rsidR="00B21EAE">
        <w:rPr>
          <w:color w:val="000000"/>
          <w:shd w:val="clear" w:color="auto" w:fill="FFFFFF"/>
        </w:rPr>
        <w:t xml:space="preserve">utvrđuje na način procjene naknade za izvlaštene nekretnine. Zbog navedenog, odnosno zbog smanjenja naknade za posljedične dobitke, iznos naknade za </w:t>
      </w:r>
      <w:r>
        <w:rPr>
          <w:color w:val="000000"/>
          <w:shd w:val="clear" w:color="auto" w:fill="FFFFFF"/>
        </w:rPr>
        <w:t xml:space="preserve">tu prometnicu </w:t>
      </w:r>
      <w:r w:rsidR="00B21EAE">
        <w:rPr>
          <w:color w:val="000000"/>
          <w:shd w:val="clear" w:color="auto" w:fill="FFFFFF"/>
        </w:rPr>
        <w:t>umanjuje se za 40%</w:t>
      </w:r>
      <w:r w:rsidR="00AF5275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270,00 </w:t>
      </w:r>
      <w:r w:rsidR="00B21EAE">
        <w:rPr>
          <w:color w:val="000000"/>
          <w:shd w:val="clear" w:color="auto" w:fill="FFFFFF"/>
        </w:rPr>
        <w:t>kn/m</w:t>
      </w:r>
      <w:r w:rsidR="00B21EAE">
        <w:rPr>
          <w:color w:val="000000"/>
          <w:shd w:val="clear" w:color="auto" w:fill="FFFFFF"/>
          <w:vertAlign w:val="superscript"/>
        </w:rPr>
        <w:t>2</w:t>
      </w:r>
      <w:r w:rsidR="00AF5275">
        <w:rPr>
          <w:color w:val="000000"/>
          <w:shd w:val="clear" w:color="auto" w:fill="FFFFFF"/>
        </w:rPr>
        <w:t>), odnosno preračunato u kvadrate riječ je o 1197,6 m2</w:t>
      </w:r>
      <w:r w:rsidR="00B21EAE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Od suvlasničkog udjela Matije Sočeva 185 m2 ulazi u buduće gradilište pa se procjenjuje na 450n/m2, a sve sukladno skici koja je sastavni dio ovog Predugovora. </w:t>
      </w:r>
      <w:r w:rsidR="00B21EAE">
        <w:rPr>
          <w:color w:val="000000"/>
          <w:shd w:val="clear" w:color="auto" w:fill="FFFFFF"/>
        </w:rPr>
        <w:t xml:space="preserve">Sukladno svemu naprijed navedenom, Grad Koprivnica </w:t>
      </w:r>
      <w:r>
        <w:rPr>
          <w:color w:val="000000"/>
          <w:shd w:val="clear" w:color="auto" w:fill="FFFFFF"/>
        </w:rPr>
        <w:t xml:space="preserve">će po sklapanju Ugovora o zamjeni nekretnina, Matiji Sočevu </w:t>
      </w:r>
      <w:r w:rsidR="00B21EAE">
        <w:t xml:space="preserve">u roku od </w:t>
      </w:r>
      <w:r>
        <w:t>15</w:t>
      </w:r>
      <w:r w:rsidR="00B21EAE">
        <w:t xml:space="preserve"> dana od dana kada ovjeri svoj potpis na ugovoru kod javnog bilježnika, isplatiti iznos od </w:t>
      </w:r>
      <w:r>
        <w:t>61</w:t>
      </w:r>
      <w:r w:rsidR="00B21EAE">
        <w:t>.</w:t>
      </w:r>
      <w:r>
        <w:t>920</w:t>
      </w:r>
      <w:r w:rsidR="00B21EAE">
        <w:t xml:space="preserve">,00 kuna. </w:t>
      </w:r>
    </w:p>
    <w:p w14:paraId="5898FEDE" w14:textId="77777777" w:rsidR="000976FE" w:rsidRDefault="00612DFC" w:rsidP="000976FE">
      <w:pPr>
        <w:pStyle w:val="Tijeloteksta"/>
        <w:spacing w:after="0"/>
        <w:ind w:firstLine="720"/>
        <w:jc w:val="both"/>
      </w:pPr>
      <w:r>
        <w:t xml:space="preserve">S obzirom na sve naprijed navedeno predlaže se usvajanje ovog Zaključka. </w:t>
      </w:r>
    </w:p>
    <w:p w14:paraId="0076702E" w14:textId="77777777" w:rsidR="000976FE" w:rsidRDefault="000976FE" w:rsidP="000976FE">
      <w:pPr>
        <w:pStyle w:val="Uvuenotijeloteksta"/>
        <w:jc w:val="right"/>
        <w:rPr>
          <w:color w:val="000000"/>
        </w:rPr>
      </w:pPr>
    </w:p>
    <w:p w14:paraId="5ABA4CE8" w14:textId="77777777" w:rsidR="000976FE" w:rsidRDefault="00612DFC" w:rsidP="000976FE">
      <w:pPr>
        <w:pStyle w:val="Uvuenotijeloteksta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Nositelj izrade i predlagatelj akta:</w:t>
      </w:r>
    </w:p>
    <w:p w14:paraId="382542F7" w14:textId="77777777" w:rsidR="000976FE" w:rsidRDefault="000976FE" w:rsidP="000976FE">
      <w:pPr>
        <w:pStyle w:val="Tijeloteksta"/>
        <w:jc w:val="right"/>
        <w:rPr>
          <w:color w:val="000000"/>
        </w:rPr>
      </w:pPr>
    </w:p>
    <w:p w14:paraId="0886C524" w14:textId="77777777" w:rsidR="000976FE" w:rsidRDefault="00612DFC" w:rsidP="000976FE">
      <w:pPr>
        <w:pStyle w:val="Tijeloteksta"/>
        <w:ind w:left="4248"/>
        <w:jc w:val="center"/>
        <w:rPr>
          <w:color w:val="000000"/>
        </w:rPr>
      </w:pPr>
      <w:r>
        <w:rPr>
          <w:color w:val="000000"/>
        </w:rPr>
        <w:t xml:space="preserve">UPRAVNI ODJEL ZA IZGRADNJU GRADA, </w:t>
      </w:r>
    </w:p>
    <w:p w14:paraId="3545AD87" w14:textId="77777777" w:rsidR="000976FE" w:rsidRDefault="00612DFC" w:rsidP="000976FE">
      <w:pPr>
        <w:pStyle w:val="Tijeloteksta"/>
        <w:ind w:left="4248"/>
        <w:jc w:val="center"/>
        <w:rPr>
          <w:color w:val="000000"/>
        </w:rPr>
      </w:pPr>
      <w:r>
        <w:rPr>
          <w:color w:val="000000"/>
        </w:rPr>
        <w:t xml:space="preserve">UPRAVLJANJE NEKRETNINAMA I </w:t>
      </w:r>
    </w:p>
    <w:p w14:paraId="4D1ED767" w14:textId="77777777" w:rsidR="000976FE" w:rsidRDefault="00612DFC" w:rsidP="000976FE">
      <w:pPr>
        <w:pStyle w:val="Tijeloteksta"/>
        <w:ind w:left="4248"/>
        <w:jc w:val="center"/>
        <w:rPr>
          <w:color w:val="000000"/>
        </w:rPr>
      </w:pPr>
      <w:r>
        <w:rPr>
          <w:color w:val="000000"/>
        </w:rPr>
        <w:t>KOMUNALNO GOSPODARSTVO</w:t>
      </w:r>
    </w:p>
    <w:p w14:paraId="333A6F93" w14:textId="445E7E1E" w:rsidR="000976FE" w:rsidRDefault="00612DFC" w:rsidP="000976FE">
      <w:pPr>
        <w:pStyle w:val="Tijeloteksta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72A68">
        <w:rPr>
          <w:color w:val="000000"/>
        </w:rPr>
        <w:t>Pomoćnik p</w:t>
      </w:r>
      <w:r>
        <w:rPr>
          <w:color w:val="000000"/>
        </w:rPr>
        <w:t>ročelnik</w:t>
      </w:r>
      <w:r w:rsidR="00B72A68">
        <w:rPr>
          <w:color w:val="000000"/>
        </w:rPr>
        <w:t>a</w:t>
      </w:r>
      <w:r>
        <w:rPr>
          <w:color w:val="000000"/>
        </w:rPr>
        <w:t>:</w:t>
      </w:r>
    </w:p>
    <w:p w14:paraId="63D7161E" w14:textId="1E9A17C4" w:rsidR="000976FE" w:rsidRDefault="00612DFC" w:rsidP="000976FE">
      <w:pPr>
        <w:pStyle w:val="Tijeloteksta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72A68">
        <w:rPr>
          <w:color w:val="000000"/>
        </w:rPr>
        <w:t>Mario Perković</w:t>
      </w:r>
      <w:r>
        <w:rPr>
          <w:color w:val="000000"/>
        </w:rPr>
        <w:t xml:space="preserve"> dipl. ing.</w:t>
      </w:r>
      <w:r w:rsidR="00B72A68">
        <w:rPr>
          <w:color w:val="000000"/>
        </w:rPr>
        <w:t xml:space="preserve"> </w:t>
      </w:r>
      <w:r>
        <w:rPr>
          <w:color w:val="000000"/>
        </w:rPr>
        <w:t>g</w:t>
      </w:r>
      <w:r w:rsidR="00B72A68">
        <w:rPr>
          <w:color w:val="000000"/>
        </w:rPr>
        <w:t>rađ</w:t>
      </w:r>
      <w:r>
        <w:rPr>
          <w:color w:val="000000"/>
        </w:rPr>
        <w:t xml:space="preserve">. </w:t>
      </w:r>
    </w:p>
    <w:p w14:paraId="4D78742F" w14:textId="77777777" w:rsidR="000976FE" w:rsidRDefault="00612DFC" w:rsidP="000976FE">
      <w:pPr>
        <w:pStyle w:val="Tijeloteksta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210E0F82" w14:textId="77777777" w:rsidR="000976FE" w:rsidRDefault="00612DFC" w:rsidP="000976FE">
      <w:pPr>
        <w:pStyle w:val="Tijeloteksta"/>
        <w:ind w:left="4248"/>
        <w:jc w:val="center"/>
        <w:rPr>
          <w:color w:val="000000"/>
        </w:rPr>
      </w:pPr>
      <w:r>
        <w:rPr>
          <w:color w:val="000000"/>
        </w:rPr>
        <w:t>ODSJEK ZA UPRAVLJANJE</w:t>
      </w:r>
    </w:p>
    <w:p w14:paraId="3375BF4D" w14:textId="77777777" w:rsidR="000976FE" w:rsidRDefault="00612DFC" w:rsidP="000976FE">
      <w:pPr>
        <w:pStyle w:val="Tijeloteksta"/>
        <w:ind w:left="4248"/>
        <w:jc w:val="center"/>
        <w:rPr>
          <w:color w:val="000000"/>
        </w:rPr>
      </w:pPr>
      <w:r>
        <w:rPr>
          <w:color w:val="000000"/>
        </w:rPr>
        <w:t>NEKRETNINAMA</w:t>
      </w:r>
    </w:p>
    <w:p w14:paraId="4738B4FB" w14:textId="77777777" w:rsidR="000976FE" w:rsidRDefault="00612DFC" w:rsidP="000976FE">
      <w:pPr>
        <w:pStyle w:val="Tijeloteksta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Voditeljica odsjeka:</w:t>
      </w:r>
    </w:p>
    <w:p w14:paraId="6583CA03" w14:textId="77777777" w:rsidR="000976FE" w:rsidRDefault="00612DFC" w:rsidP="000976FE">
      <w:pPr>
        <w:pStyle w:val="Tijeloteksta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Đenis Sambol, mag.iur.</w:t>
      </w:r>
    </w:p>
    <w:p w14:paraId="0BE9C436" w14:textId="77777777" w:rsidR="000976FE" w:rsidRDefault="000976FE" w:rsidP="000976FE">
      <w:pPr>
        <w:pStyle w:val="Tijeloteksta"/>
        <w:jc w:val="center"/>
        <w:rPr>
          <w:color w:val="000000"/>
        </w:rPr>
      </w:pPr>
    </w:p>
    <w:p w14:paraId="02B6F123" w14:textId="77777777" w:rsidR="00F22E62" w:rsidRPr="008770A6" w:rsidRDefault="00F22E62" w:rsidP="000A3497">
      <w:pPr>
        <w:ind w:left="4860"/>
      </w:pPr>
    </w:p>
    <w:sectPr w:rsidR="00F22E62" w:rsidRPr="008770A6" w:rsidSect="00A32554">
      <w:footerReference w:type="default" r:id="rId6"/>
      <w:headerReference w:type="first" r:id="rId7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CD41" w14:textId="77777777" w:rsidR="00581917" w:rsidRDefault="00581917">
      <w:r>
        <w:separator/>
      </w:r>
    </w:p>
  </w:endnote>
  <w:endnote w:type="continuationSeparator" w:id="0">
    <w:p w14:paraId="457075AD" w14:textId="77777777" w:rsidR="00581917" w:rsidRDefault="0058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13E7D1" w14:textId="77777777" w:rsidR="00636B90" w:rsidRPr="00C01F62" w:rsidRDefault="00612DFC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74B13A47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4023" w14:textId="77777777" w:rsidR="00581917" w:rsidRDefault="00581917">
      <w:r>
        <w:separator/>
      </w:r>
    </w:p>
  </w:footnote>
  <w:footnote w:type="continuationSeparator" w:id="0">
    <w:p w14:paraId="6300B713" w14:textId="77777777" w:rsidR="00581917" w:rsidRDefault="0058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190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313E8"/>
    <w:rsid w:val="00064C8E"/>
    <w:rsid w:val="00085FFF"/>
    <w:rsid w:val="000976FE"/>
    <w:rsid w:val="000A3497"/>
    <w:rsid w:val="000A79A0"/>
    <w:rsid w:val="000A7CE8"/>
    <w:rsid w:val="000B0EF9"/>
    <w:rsid w:val="000C10B9"/>
    <w:rsid w:val="000C1FB7"/>
    <w:rsid w:val="000C6890"/>
    <w:rsid w:val="000D6B78"/>
    <w:rsid w:val="000D77A1"/>
    <w:rsid w:val="000E73B3"/>
    <w:rsid w:val="00127FD4"/>
    <w:rsid w:val="00176828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B3F8F"/>
    <w:rsid w:val="003C0B73"/>
    <w:rsid w:val="003C7570"/>
    <w:rsid w:val="003D5D0A"/>
    <w:rsid w:val="004466BF"/>
    <w:rsid w:val="00446CED"/>
    <w:rsid w:val="0045196B"/>
    <w:rsid w:val="00473CEF"/>
    <w:rsid w:val="004F5EAB"/>
    <w:rsid w:val="00513260"/>
    <w:rsid w:val="0051330C"/>
    <w:rsid w:val="00543AE6"/>
    <w:rsid w:val="00580686"/>
    <w:rsid w:val="00581917"/>
    <w:rsid w:val="00590216"/>
    <w:rsid w:val="0061291E"/>
    <w:rsid w:val="00612DFC"/>
    <w:rsid w:val="00635D83"/>
    <w:rsid w:val="00636B90"/>
    <w:rsid w:val="00640486"/>
    <w:rsid w:val="00647CB6"/>
    <w:rsid w:val="00661DCA"/>
    <w:rsid w:val="006712B7"/>
    <w:rsid w:val="006770DB"/>
    <w:rsid w:val="007204B5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30728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AF5275"/>
    <w:rsid w:val="00B21EAE"/>
    <w:rsid w:val="00B25E9D"/>
    <w:rsid w:val="00B356AC"/>
    <w:rsid w:val="00B375EA"/>
    <w:rsid w:val="00B4739E"/>
    <w:rsid w:val="00B72A68"/>
    <w:rsid w:val="00B7391D"/>
    <w:rsid w:val="00B97A31"/>
    <w:rsid w:val="00BA3790"/>
    <w:rsid w:val="00BC5E68"/>
    <w:rsid w:val="00C01F62"/>
    <w:rsid w:val="00C25A85"/>
    <w:rsid w:val="00C34B71"/>
    <w:rsid w:val="00C64046"/>
    <w:rsid w:val="00C82211"/>
    <w:rsid w:val="00C8267C"/>
    <w:rsid w:val="00C853A0"/>
    <w:rsid w:val="00CC2AB8"/>
    <w:rsid w:val="00CD7D6A"/>
    <w:rsid w:val="00D012D4"/>
    <w:rsid w:val="00D07BAC"/>
    <w:rsid w:val="00D354EC"/>
    <w:rsid w:val="00D42A8A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763B1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976F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976FE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976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976F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97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Ida Bakrač</cp:lastModifiedBy>
  <cp:revision>3</cp:revision>
  <cp:lastPrinted>2007-11-02T12:55:00Z</cp:lastPrinted>
  <dcterms:created xsi:type="dcterms:W3CDTF">2022-07-01T06:36:00Z</dcterms:created>
  <dcterms:modified xsi:type="dcterms:W3CDTF">2022-07-01T06:37:00Z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Gradonačelnik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