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udruga građana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D574CB">
        <w:rPr>
          <w:rFonts w:ascii="Times New Roman" w:hAnsi="Times New Roman" w:cs="Times New Roman"/>
          <w:b/>
          <w:sz w:val="36"/>
          <w:szCs w:val="36"/>
        </w:rPr>
        <w:t>9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93316C" w:rsidRPr="0041062A" w:rsidRDefault="00A530DE" w:rsidP="00D574CB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D574CB">
        <w:rPr>
          <w:b w:val="0"/>
          <w:noProof/>
          <w:szCs w:val="32"/>
          <w:lang w:val="hr-HR"/>
        </w:rPr>
        <w:t>15.03.</w:t>
      </w:r>
      <w:r w:rsidRPr="0041062A">
        <w:rPr>
          <w:b w:val="0"/>
          <w:noProof/>
          <w:szCs w:val="32"/>
          <w:lang w:val="hr-HR"/>
        </w:rPr>
        <w:t>201</w:t>
      </w:r>
      <w:r w:rsidR="00D574CB">
        <w:rPr>
          <w:b w:val="0"/>
          <w:noProof/>
          <w:szCs w:val="32"/>
          <w:lang w:val="hr-HR"/>
        </w:rPr>
        <w:t>9.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5B6" w:rsidRPr="002A494B" w:rsidTr="002A494B">
        <w:tc>
          <w:tcPr>
            <w:tcW w:w="1384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44706D" w:rsidRDefault="0044706D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svrhu potpore razvoja civilnog društva, razvoja usluga u lokalnoj zajednici, rješavanju problema građana </w:t>
      </w:r>
      <w:r w:rsidR="006F3192">
        <w:rPr>
          <w:rFonts w:ascii="Times New Roman" w:eastAsia="Calibri" w:hAnsi="Times New Roman" w:cs="Times New Roman"/>
        </w:rPr>
        <w:t xml:space="preserve">socijalnim i zdravstvenim uslugama, aktivnostima s djecom, mladima i braniteljima, </w:t>
      </w:r>
      <w:r>
        <w:rPr>
          <w:rFonts w:ascii="Times New Roman" w:eastAsia="Calibri" w:hAnsi="Times New Roman" w:cs="Times New Roman"/>
        </w:rPr>
        <w:t xml:space="preserve">te upotpunjavanje kulturnog, </w:t>
      </w:r>
      <w:r w:rsidR="00777B35">
        <w:rPr>
          <w:rFonts w:ascii="Times New Roman" w:eastAsia="Calibri" w:hAnsi="Times New Roman" w:cs="Times New Roman"/>
        </w:rPr>
        <w:t xml:space="preserve">turističkog, </w:t>
      </w:r>
      <w:r w:rsidR="006F3192">
        <w:rPr>
          <w:rFonts w:ascii="Times New Roman" w:eastAsia="Calibri" w:hAnsi="Times New Roman" w:cs="Times New Roman"/>
        </w:rPr>
        <w:t xml:space="preserve">volonterskog </w:t>
      </w:r>
      <w:r>
        <w:rPr>
          <w:rFonts w:ascii="Times New Roman" w:eastAsia="Calibri" w:hAnsi="Times New Roman" w:cs="Times New Roman"/>
        </w:rPr>
        <w:t>života na području Grada Koprivnice</w:t>
      </w:r>
      <w:r w:rsidR="00777B3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Grad Koprivnica svake godine provodi Javni poziv za sufinanciranje programa/projekata udruga građana kao jednu vrstu potpore udrugama građana kao važnog sektora u lokalnoj zajednici. </w:t>
      </w:r>
      <w:r w:rsidR="00777B35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a </w:t>
      </w:r>
      <w:r w:rsidRPr="0044706D">
        <w:rPr>
          <w:rFonts w:ascii="Times New Roman" w:eastAsia="Calibri" w:hAnsi="Times New Roman" w:cs="Times New Roman"/>
        </w:rPr>
        <w:t>temelju</w:t>
      </w:r>
      <w:r w:rsidRPr="0044706D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</w:t>
      </w:r>
      <w:r w:rsidR="006F3192">
        <w:rPr>
          <w:rFonts w:ascii="Times New Roman" w:eastAsia="Times New Roman" w:hAnsi="Times New Roman" w:cs="Times New Roman"/>
        </w:rPr>
        <w:t>, 3/16</w:t>
      </w:r>
      <w:r w:rsidRPr="0044706D">
        <w:rPr>
          <w:rFonts w:ascii="Times New Roman" w:eastAsia="Times New Roman" w:hAnsi="Times New Roman" w:cs="Times New Roman"/>
        </w:rPr>
        <w:t>) i</w:t>
      </w:r>
      <w:r w:rsidRPr="0044706D">
        <w:rPr>
          <w:rFonts w:ascii="Times New Roman" w:eastAsia="Calibri" w:hAnsi="Times New Roman" w:cs="Times New Roman"/>
        </w:rPr>
        <w:t xml:space="preserve"> točke </w:t>
      </w:r>
      <w:r w:rsidR="00925DC6">
        <w:rPr>
          <w:rFonts w:ascii="Times New Roman" w:eastAsia="Calibri" w:hAnsi="Times New Roman" w:cs="Times New Roman"/>
        </w:rPr>
        <w:t>IV</w:t>
      </w:r>
      <w:r w:rsidRPr="0044706D">
        <w:rPr>
          <w:rFonts w:ascii="Times New Roman" w:eastAsia="Calibri" w:hAnsi="Times New Roman" w:cs="Times New Roman"/>
        </w:rPr>
        <w:t xml:space="preserve">. Odluke </w:t>
      </w:r>
      <w:r w:rsidRPr="0044706D">
        <w:rPr>
          <w:rFonts w:ascii="Times New Roman" w:eastAsia="Times New Roman" w:hAnsi="Times New Roman" w:cs="Times New Roman"/>
        </w:rPr>
        <w:t>o</w:t>
      </w:r>
      <w:r w:rsidRPr="0044706D">
        <w:rPr>
          <w:rFonts w:ascii="Times New Roman" w:eastAsia="Times New Roman" w:hAnsi="Times New Roman" w:cs="Times New Roman"/>
          <w:b/>
        </w:rPr>
        <w:t xml:space="preserve"> </w:t>
      </w:r>
      <w:r w:rsidRPr="0044706D">
        <w:rPr>
          <w:rFonts w:ascii="Times New Roman" w:eastAsia="Times New Roman" w:hAnsi="Times New Roman" w:cs="Times New Roman"/>
        </w:rPr>
        <w:t>načinu raspodjele raspoloživih sredstava za sufinanciranje programa/projekata udruga građana iz Proračuna Grada Koprivnice za 201</w:t>
      </w:r>
      <w:r w:rsidR="00925DC6">
        <w:rPr>
          <w:rFonts w:ascii="Times New Roman" w:eastAsia="Times New Roman" w:hAnsi="Times New Roman" w:cs="Times New Roman"/>
        </w:rPr>
        <w:t>9</w:t>
      </w:r>
      <w:r w:rsidRPr="0044706D">
        <w:rPr>
          <w:rFonts w:ascii="Times New Roman" w:eastAsia="Times New Roman" w:hAnsi="Times New Roman" w:cs="Times New Roman"/>
        </w:rPr>
        <w:t>. godinu</w:t>
      </w:r>
      <w:r w:rsidR="006F3192">
        <w:rPr>
          <w:rFonts w:ascii="Times New Roman" w:eastAsia="Times New Roman" w:hAnsi="Times New Roman" w:cs="Times New Roman"/>
        </w:rPr>
        <w:t xml:space="preserve">, </w:t>
      </w:r>
      <w:r w:rsidR="00925DC6">
        <w:rPr>
          <w:rFonts w:ascii="Times New Roman" w:eastAsia="Times New Roman" w:hAnsi="Times New Roman" w:cs="Times New Roman"/>
        </w:rPr>
        <w:t>pročelnica</w:t>
      </w:r>
      <w:r w:rsidR="00294F76">
        <w:rPr>
          <w:rFonts w:ascii="Times New Roman" w:eastAsia="Calibri" w:hAnsi="Times New Roman" w:cs="Times New Roman"/>
        </w:rPr>
        <w:t xml:space="preserve"> Upravnog odjela za društvene djelatnosti</w:t>
      </w:r>
      <w:r w:rsidRPr="0044706D">
        <w:rPr>
          <w:rFonts w:ascii="Times New Roman" w:eastAsia="Calibri" w:hAnsi="Times New Roman" w:cs="Times New Roman"/>
        </w:rPr>
        <w:t>, raspisa</w:t>
      </w:r>
      <w:r w:rsidR="00925DC6">
        <w:rPr>
          <w:rFonts w:ascii="Times New Roman" w:eastAsia="Calibri" w:hAnsi="Times New Roman" w:cs="Times New Roman"/>
        </w:rPr>
        <w:t>la</w:t>
      </w:r>
      <w:r w:rsidRPr="0044706D">
        <w:rPr>
          <w:rFonts w:ascii="Times New Roman" w:eastAsia="Calibri" w:hAnsi="Times New Roman" w:cs="Times New Roman"/>
        </w:rPr>
        <w:t xml:space="preserve"> je</w:t>
      </w:r>
      <w:r>
        <w:rPr>
          <w:rFonts w:ascii="Times New Roman" w:eastAsia="Calibri" w:hAnsi="Times New Roman" w:cs="Times New Roman"/>
        </w:rPr>
        <w:t xml:space="preserve"> Javni poziv </w:t>
      </w:r>
      <w:r w:rsidRPr="0044706D">
        <w:rPr>
          <w:rFonts w:ascii="Times New Roman" w:hAnsi="Times New Roman" w:cs="Times New Roman"/>
        </w:rPr>
        <w:t>za sufinanciranje programa/projekata udruga građana iz Proračuna Grada Koprivnice za 201</w:t>
      </w:r>
      <w:r w:rsidR="00925DC6">
        <w:rPr>
          <w:rFonts w:ascii="Times New Roman" w:hAnsi="Times New Roman" w:cs="Times New Roman"/>
        </w:rPr>
        <w:t>9</w:t>
      </w:r>
      <w:r w:rsidRPr="0044706D">
        <w:rPr>
          <w:rFonts w:ascii="Times New Roman" w:hAnsi="Times New Roman" w:cs="Times New Roman"/>
        </w:rPr>
        <w:t xml:space="preserve">. </w:t>
      </w:r>
      <w:r w:rsidR="00B46D44">
        <w:rPr>
          <w:rFonts w:ascii="Times New Roman" w:hAnsi="Times New Roman" w:cs="Times New Roman"/>
        </w:rPr>
        <w:t>g</w:t>
      </w:r>
      <w:r w:rsidRPr="0044706D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>.</w:t>
      </w:r>
    </w:p>
    <w:p w:rsidR="008E7D89" w:rsidRPr="0004117A" w:rsidRDefault="008E7D89" w:rsidP="00447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6F3192">
        <w:rPr>
          <w:rFonts w:ascii="Times New Roman" w:hAnsi="Times New Roman" w:cs="Times New Roman"/>
        </w:rPr>
        <w:t>395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</w:t>
      </w:r>
      <w:r w:rsidR="00925DC6">
        <w:rPr>
          <w:rFonts w:ascii="Times New Roman" w:hAnsi="Times New Roman" w:cs="Times New Roman"/>
        </w:rPr>
        <w:t>prijaviti</w:t>
      </w:r>
      <w:r w:rsidRPr="0004117A">
        <w:rPr>
          <w:rFonts w:ascii="Times New Roman" w:hAnsi="Times New Roman" w:cs="Times New Roman"/>
        </w:rPr>
        <w:t xml:space="preserve"> udruge </w:t>
      </w:r>
      <w:r w:rsidR="0044706D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</w:t>
      </w:r>
      <w:r w:rsidR="00480E48">
        <w:rPr>
          <w:rFonts w:ascii="Times New Roman" w:hAnsi="Times New Roman" w:cs="Times New Roman"/>
        </w:rPr>
        <w:t>t</w:t>
      </w:r>
      <w:r w:rsidR="007D31DF" w:rsidRPr="0004117A">
        <w:rPr>
          <w:rFonts w:ascii="Times New Roman" w:hAnsi="Times New Roman" w:cs="Times New Roman"/>
        </w:rPr>
        <w:t>očki 2. ovih Uputa za prijavitelje</w:t>
      </w:r>
      <w:r w:rsidRPr="0004117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Cilj Javnog poziva je potaknuti građane na aktivno uključivanje i sudjelovanje u razvoju lokalne zajednice: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nesmetano izražavanje, zastupanje i uvaž</w:t>
      </w:r>
      <w:r w:rsidR="005740D0" w:rsidRPr="0004117A">
        <w:rPr>
          <w:rFonts w:ascii="Times New Roman" w:hAnsi="Times New Roman" w:cs="Times New Roman"/>
        </w:rPr>
        <w:t>avanje različitih interesa i vrijednosti</w:t>
      </w:r>
      <w:r w:rsidRPr="0004117A">
        <w:rPr>
          <w:rFonts w:ascii="Times New Roman" w:hAnsi="Times New Roman" w:cs="Times New Roman"/>
        </w:rPr>
        <w:t>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pokretanje inicijativa usmjerenih na određene društvene mjere, 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obavljanje socijalnih i javnih usluga od općeg interesa na području obrazovanja, zdravstva i socijalne skrbi,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poticanje međusobnog udruživanja, povezivanja i suradnje u rješavanju općih interesa,</w:t>
      </w:r>
    </w:p>
    <w:p w:rsidR="0041062A" w:rsidRPr="0004117A" w:rsidRDefault="00777B35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</w:t>
      </w:r>
      <w:r w:rsidR="0041062A" w:rsidRPr="0004117A">
        <w:rPr>
          <w:rFonts w:ascii="Times New Roman" w:hAnsi="Times New Roman" w:cs="Times New Roman"/>
        </w:rPr>
        <w:t xml:space="preserve"> </w:t>
      </w:r>
      <w:proofErr w:type="spellStart"/>
      <w:r w:rsidR="0041062A" w:rsidRPr="0004117A">
        <w:rPr>
          <w:rFonts w:ascii="Times New Roman" w:hAnsi="Times New Roman" w:cs="Times New Roman"/>
        </w:rPr>
        <w:t>volonterizma</w:t>
      </w:r>
      <w:proofErr w:type="spellEnd"/>
      <w:r w:rsidR="0041062A" w:rsidRPr="0004117A">
        <w:rPr>
          <w:rFonts w:ascii="Times New Roman" w:hAnsi="Times New Roman" w:cs="Times New Roman"/>
        </w:rPr>
        <w:t>.</w:t>
      </w:r>
    </w:p>
    <w:p w:rsidR="0041062A" w:rsidRPr="0004117A" w:rsidRDefault="0041062A" w:rsidP="001D257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04117A" w:rsidRPr="0004117A" w:rsidRDefault="0004117A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Udruge građana sukladno ovom Javnom pozivu mogu podnijeti prijavu za sljedeća prioritetna područja te su sukladno njima raspoređeni ukupni financijski iznosi: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1 – rad s djecom i mladima,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2 – rad s hrvatskim braniteljima iz Domovinskog rata i članovima njihovih obitelji,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3 – unaprjeđenje kvalitete života osoba s invaliditetom,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4 – skrb o starijim osobama,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5 – promicanje zdravog načina života i zaštita zdravlja,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6 – socijalna skrb,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7 – promicanje i zaštita ljudskih prava i sloboda,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8 – zaštita okoliša i prirode,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9 – zaštita potrošača,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10 – zaštita i uzgoj životinja,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 xml:space="preserve">Prioritetno područje 11 – afirmacija i unaprjeđenje </w:t>
      </w:r>
      <w:proofErr w:type="spellStart"/>
      <w:r w:rsidRPr="00906A56">
        <w:rPr>
          <w:rFonts w:ascii="Times New Roman" w:eastAsia="Times New Roman" w:hAnsi="Times New Roman" w:cs="Times New Roman"/>
          <w:lang w:eastAsia="en-US"/>
        </w:rPr>
        <w:t>volonterizma</w:t>
      </w:r>
      <w:proofErr w:type="spellEnd"/>
      <w:r w:rsidRPr="00906A56">
        <w:rPr>
          <w:rFonts w:ascii="Times New Roman" w:eastAsia="Times New Roman" w:hAnsi="Times New Roman" w:cs="Times New Roman"/>
          <w:lang w:eastAsia="en-US"/>
        </w:rPr>
        <w:t>,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12 – rad sa sudionicima Drugog svjetskog rata i civilnim invalidima rata</w:t>
      </w:r>
    </w:p>
    <w:p w:rsidR="00925DC6" w:rsidRPr="00906A56" w:rsidRDefault="00925DC6" w:rsidP="00925DC6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6A56">
        <w:rPr>
          <w:rFonts w:ascii="Times New Roman" w:eastAsia="Times New Roman" w:hAnsi="Times New Roman" w:cs="Times New Roman"/>
          <w:lang w:eastAsia="en-US"/>
        </w:rPr>
        <w:t>Prioritetno područje 13 – nacionalne manjine.</w:t>
      </w:r>
    </w:p>
    <w:p w:rsidR="007511D9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06A56" w:rsidRPr="00906A56" w:rsidRDefault="00906A56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6F3192">
        <w:rPr>
          <w:rFonts w:ascii="Times New Roman" w:hAnsi="Times New Roman" w:cs="Times New Roman"/>
        </w:rPr>
        <w:t>395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925DC6">
        <w:rPr>
          <w:rFonts w:ascii="Times New Roman" w:hAnsi="Times New Roman" w:cs="Times New Roman"/>
          <w:b/>
        </w:rPr>
        <w:t>1.000,00 kn</w:t>
      </w:r>
      <w:r w:rsidR="00B71369">
        <w:rPr>
          <w:rFonts w:ascii="Times New Roman" w:hAnsi="Times New Roman" w:cs="Times New Roman"/>
        </w:rPr>
        <w:t xml:space="preserve">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925DC6" w:rsidRPr="00925DC6">
        <w:rPr>
          <w:rFonts w:ascii="Times New Roman" w:hAnsi="Times New Roman" w:cs="Times New Roman"/>
          <w:b/>
        </w:rPr>
        <w:t>15</w:t>
      </w:r>
      <w:r w:rsidR="007511D9" w:rsidRPr="00925DC6">
        <w:rPr>
          <w:rFonts w:ascii="Times New Roman" w:hAnsi="Times New Roman" w:cs="Times New Roman"/>
          <w:b/>
        </w:rPr>
        <w:t>.000,00</w:t>
      </w:r>
      <w:r w:rsidRPr="00925DC6">
        <w:rPr>
          <w:rFonts w:ascii="Times New Roman" w:hAnsi="Times New Roman" w:cs="Times New Roman"/>
          <w:b/>
        </w:rPr>
        <w:t xml:space="preserve"> kuna</w:t>
      </w:r>
      <w:r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511D9">
        <w:rPr>
          <w:rFonts w:ascii="Times New Roman" w:hAnsi="Times New Roman" w:cs="Times New Roman"/>
        </w:rPr>
        <w:t>10% do 90</w:t>
      </w:r>
      <w:r w:rsidRPr="007511D9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925DC6" w:rsidRDefault="00925DC6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5DC6" w:rsidRPr="00925DC6" w:rsidRDefault="00925DC6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25D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Broj projekata koji je moguće prijaviti – </w:t>
      </w:r>
      <w:r w:rsidRPr="00925D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projekta</w:t>
      </w:r>
      <w:r w:rsidRPr="00925DC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Okvirni broj planiranih sklopljenih ugovora je 60.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511D9" w:rsidRPr="0004117A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777B35" w:rsidRDefault="00777B35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6E2884" w:rsidRDefault="006E2884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955800" w:rsidRPr="0004117A" w:rsidRDefault="0095580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 xml:space="preserve">. godini. Rashodi – koliko će se financijskih sredstava </w:t>
      </w:r>
      <w:r w:rsidR="00777B35">
        <w:rPr>
          <w:rFonts w:ascii="Times New Roman" w:hAnsi="Times New Roman" w:cs="Times New Roman"/>
        </w:rPr>
        <w:t>u</w:t>
      </w:r>
      <w:r w:rsidRPr="0004117A">
        <w:rPr>
          <w:rFonts w:ascii="Times New Roman" w:hAnsi="Times New Roman" w:cs="Times New Roman"/>
        </w:rPr>
        <w:t>trošiti u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godini i za koju namjenu.</w:t>
      </w:r>
    </w:p>
    <w:p w:rsidR="0044706D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Registar</w:t>
      </w:r>
      <w:r w:rsidR="00925DC6">
        <w:rPr>
          <w:rFonts w:ascii="Times New Roman" w:hAnsi="Times New Roman" w:cs="Times New Roman"/>
        </w:rPr>
        <w:t xml:space="preserve"> udruga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925DC6">
        <w:rPr>
          <w:rFonts w:ascii="Times New Roman" w:hAnsi="Times New Roman" w:cs="Times New Roman"/>
        </w:rPr>
        <w:t>8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777B35" w:rsidRDefault="00777B35" w:rsidP="002C4B12">
      <w:pPr>
        <w:spacing w:line="240" w:lineRule="auto"/>
        <w:rPr>
          <w:rFonts w:ascii="Times New Roman" w:hAnsi="Times New Roman" w:cs="Times New Roman"/>
          <w:b/>
        </w:rPr>
      </w:pP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</w:t>
      </w:r>
    </w:p>
    <w:p w:rsidR="00BD2BFF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925DC6">
        <w:rPr>
          <w:rFonts w:ascii="Times New Roman" w:hAnsi="Times New Roman" w:cs="Times New Roman"/>
        </w:rPr>
        <w:t>,</w:t>
      </w:r>
    </w:p>
    <w:p w:rsidR="00925DC6" w:rsidRDefault="00925DC6" w:rsidP="00925DC6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925DC6">
        <w:rPr>
          <w:rFonts w:ascii="Times New Roman" w:hAnsi="Times New Roman" w:cs="Times New Roman"/>
        </w:rPr>
        <w:t>lanice Zajednice športskih udruga grada Koprivnice, Zajednice tehničke kulture grada Koprivnice</w:t>
      </w:r>
      <w:r>
        <w:rPr>
          <w:rFonts w:ascii="Times New Roman" w:hAnsi="Times New Roman" w:cs="Times New Roman"/>
        </w:rPr>
        <w:t xml:space="preserve"> i</w:t>
      </w:r>
      <w:r w:rsidRPr="00925DC6">
        <w:rPr>
          <w:rFonts w:ascii="Times New Roman" w:hAnsi="Times New Roman" w:cs="Times New Roman"/>
        </w:rPr>
        <w:t xml:space="preserve"> Vatrogasne zajednice grada Koprivnice</w:t>
      </w:r>
      <w:r>
        <w:rPr>
          <w:rFonts w:ascii="Times New Roman" w:hAnsi="Times New Roman" w:cs="Times New Roman"/>
        </w:rPr>
        <w:t>.</w:t>
      </w:r>
    </w:p>
    <w:p w:rsidR="00925DC6" w:rsidRPr="00925DC6" w:rsidRDefault="00925DC6" w:rsidP="00925DC6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do 31. prosinca 201</w:t>
      </w:r>
      <w:r w:rsidR="00925DC6">
        <w:rPr>
          <w:rFonts w:ascii="Times New Roman" w:hAnsi="Times New Roman" w:cs="Times New Roman"/>
        </w:rPr>
        <w:t>9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294F76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</w:t>
      </w:r>
      <w:r w:rsidR="00925DC6">
        <w:rPr>
          <w:rFonts w:ascii="Times New Roman" w:hAnsi="Times New Roman" w:cs="Times New Roman"/>
        </w:rPr>
        <w:t>, sukladno ugovorenom troškovniku proračuna programa/projekta.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udruga je dužna utrošiti isključivo za realizaciju programa/projekta utvrđenog Proračunom i Ugovorom. Sredstva se smatraju namjenski utrošenim ako su korištena isključivo za financiranje </w:t>
      </w:r>
      <w:r w:rsidR="00925DC6">
        <w:rPr>
          <w:rFonts w:ascii="Times New Roman" w:hAnsi="Times New Roman" w:cs="Times New Roman"/>
        </w:rPr>
        <w:t xml:space="preserve">ugovorenih </w:t>
      </w:r>
      <w:r w:rsidRPr="0004117A">
        <w:rPr>
          <w:rFonts w:ascii="Times New Roman" w:hAnsi="Times New Roman" w:cs="Times New Roman"/>
        </w:rPr>
        <w:t xml:space="preserve">prihvatljivih i opravdanih troškova u realizaciji </w:t>
      </w:r>
      <w:r w:rsidRPr="0004117A">
        <w:rPr>
          <w:rFonts w:ascii="Times New Roman" w:hAnsi="Times New Roman" w:cs="Times New Roman"/>
        </w:rPr>
        <w:lastRenderedPageBreak/>
        <w:t xml:space="preserve">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:rsidR="007511D9" w:rsidRPr="0004117A" w:rsidRDefault="006F3192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7511D9">
        <w:rPr>
          <w:rFonts w:ascii="Times New Roman" w:hAnsi="Times New Roman" w:cs="Times New Roman"/>
        </w:rPr>
        <w:t>,</w:t>
      </w:r>
    </w:p>
    <w:p w:rsidR="005959F0" w:rsidRPr="0004117A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:rsidR="00FF565A" w:rsidRPr="0004117A" w:rsidRDefault="00FF565A" w:rsidP="00A24689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>da udruga koja provodi program/projekt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>
        <w:rPr>
          <w:rFonts w:ascii="Times New Roman" w:eastAsia="Times New Roman" w:hAnsi="Times New Roman" w:cs="Times New Roman"/>
          <w:snapToGrid w:val="0"/>
        </w:rPr>
        <w:t>.</w:t>
      </w:r>
    </w:p>
    <w:p w:rsidR="004936B5" w:rsidRPr="0004117A" w:rsidRDefault="004936B5">
      <w:pPr>
        <w:rPr>
          <w:rFonts w:ascii="Times New Roman" w:eastAsia="Times New Roman" w:hAnsi="Times New Roman" w:cs="Times New Roman"/>
          <w:b/>
          <w:snapToGrid w:val="0"/>
        </w:rPr>
      </w:pPr>
    </w:p>
    <w:p w:rsidR="00A24689" w:rsidRDefault="00A24689">
      <w:pPr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32301" w:rsidRPr="00532301">
        <w:rPr>
          <w:rFonts w:ascii="Times New Roman" w:hAnsi="Times New Roman" w:cs="Times New Roman"/>
        </w:rPr>
        <w:t>dluku Javnog poziva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32301" w:rsidRPr="00532301">
        <w:rPr>
          <w:rFonts w:ascii="Times New Roman" w:hAnsi="Times New Roman" w:cs="Times New Roman"/>
        </w:rPr>
        <w:t>pute za prijavitelje,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931D11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BD2BFF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Default="00A24689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31D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27418B">
        <w:rPr>
          <w:rFonts w:ascii="Times New Roman" w:hAnsi="Times New Roman" w:cs="Times New Roman"/>
        </w:rPr>
        <w:t>popis priloga</w:t>
      </w:r>
      <w:r w:rsidR="00931D11">
        <w:rPr>
          <w:rFonts w:ascii="Times New Roman" w:hAnsi="Times New Roman" w:cs="Times New Roman"/>
        </w:rPr>
        <w:t>.</w:t>
      </w:r>
    </w:p>
    <w:p w:rsidR="00532301" w:rsidRPr="00532301" w:rsidRDefault="00532301" w:rsidP="00BD2BFF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C7214" w:rsidRPr="00532301" w:rsidRDefault="003C7214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AE7D3A">
        <w:rPr>
          <w:rFonts w:ascii="Times New Roman" w:eastAsia="Times New Roman" w:hAnsi="Times New Roman" w:cs="Times New Roman"/>
          <w:snapToGrid w:val="0"/>
        </w:rPr>
        <w:t>,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  <w:r w:rsidR="00AE7D3A">
        <w:rPr>
          <w:rFonts w:ascii="Times New Roman" w:eastAsia="Times New Roman" w:hAnsi="Times New Roman" w:cs="Times New Roman"/>
          <w:snapToGrid w:val="0"/>
        </w:rPr>
        <w:t>,</w:t>
      </w:r>
    </w:p>
    <w:p w:rsidR="00EF4F67" w:rsidRDefault="00AE7D3A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EF4F67">
        <w:rPr>
          <w:rFonts w:ascii="Times New Roman" w:eastAsia="Times New Roman" w:hAnsi="Times New Roman" w:cs="Times New Roman"/>
          <w:snapToGrid w:val="0"/>
        </w:rPr>
        <w:t>vjerenja o nekažnjavanju</w:t>
      </w:r>
      <w:r>
        <w:rPr>
          <w:rFonts w:ascii="Times New Roman" w:eastAsia="Times New Roman" w:hAnsi="Times New Roman" w:cs="Times New Roman"/>
          <w:snapToGrid w:val="0"/>
        </w:rPr>
        <w:t>,</w:t>
      </w:r>
    </w:p>
    <w:p w:rsidR="00AE7D3A" w:rsidRPr="0004117A" w:rsidRDefault="00AE7D3A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Potvrdu porezne uprave o nepostojanju duga,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  <w:r w:rsidR="00AE7D3A">
        <w:rPr>
          <w:rFonts w:ascii="Times New Roman" w:eastAsia="Times New Roman" w:hAnsi="Times New Roman" w:cs="Times New Roman"/>
          <w:snapToGrid w:val="0"/>
        </w:rPr>
        <w:t>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34EE3" w:rsidRPr="0004117A" w:rsidRDefault="00D34EE3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EF4F67" w:rsidRDefault="00EF4F67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</w:t>
      </w:r>
      <w:r w:rsidR="00BE7232">
        <w:rPr>
          <w:rFonts w:ascii="Times New Roman" w:eastAsia="Times New Roman" w:hAnsi="Times New Roman" w:cs="Times New Roman"/>
          <w:snapToGrid w:val="0"/>
        </w:rPr>
        <w:t>t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očke 3.1. od rednog broja 1. do rednog broja </w:t>
      </w:r>
      <w:r w:rsidR="003C7214">
        <w:rPr>
          <w:rFonts w:ascii="Times New Roman" w:eastAsia="Times New Roman" w:hAnsi="Times New Roman" w:cs="Times New Roman"/>
          <w:snapToGrid w:val="0"/>
        </w:rPr>
        <w:t>5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3C7214" w:rsidRPr="0004117A" w:rsidRDefault="003C721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3C7214" w:rsidRPr="0004117A" w:rsidRDefault="003C7214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 w:rsidRPr="003C7214">
        <w:rPr>
          <w:rFonts w:ascii="Times New Roman" w:hAnsi="Times New Roman" w:cs="Times New Roman"/>
          <w:b/>
          <w:sz w:val="22"/>
          <w:szCs w:val="22"/>
        </w:rPr>
        <w:t>15</w:t>
      </w:r>
      <w:r w:rsidR="00F736A8" w:rsidRPr="003C72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C7214" w:rsidRPr="003C7214">
        <w:rPr>
          <w:rFonts w:ascii="Times New Roman" w:hAnsi="Times New Roman" w:cs="Times New Roman"/>
          <w:b/>
          <w:sz w:val="22"/>
          <w:szCs w:val="22"/>
        </w:rPr>
        <w:t>ožujak</w:t>
      </w:r>
      <w:r w:rsidR="00F736A8" w:rsidRPr="003C72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C7214">
        <w:rPr>
          <w:rFonts w:ascii="Times New Roman" w:hAnsi="Times New Roman" w:cs="Times New Roman"/>
          <w:b/>
          <w:sz w:val="22"/>
          <w:szCs w:val="22"/>
        </w:rPr>
        <w:t>201</w:t>
      </w:r>
      <w:r w:rsidR="003C7214" w:rsidRPr="003C7214">
        <w:rPr>
          <w:rFonts w:ascii="Times New Roman" w:hAnsi="Times New Roman" w:cs="Times New Roman"/>
          <w:b/>
          <w:sz w:val="22"/>
          <w:szCs w:val="22"/>
        </w:rPr>
        <w:t>9</w:t>
      </w:r>
      <w:r w:rsidRPr="003C7214">
        <w:rPr>
          <w:rFonts w:ascii="Times New Roman" w:hAnsi="Times New Roman" w:cs="Times New Roman"/>
          <w:b/>
          <w:sz w:val="22"/>
          <w:szCs w:val="22"/>
        </w:rPr>
        <w:t>.g.</w:t>
      </w:r>
      <w:r w:rsidR="00EF4F67" w:rsidRPr="003C7214">
        <w:rPr>
          <w:rFonts w:ascii="Times New Roman" w:hAnsi="Times New Roman" w:cs="Times New Roman"/>
          <w:b/>
          <w:sz w:val="22"/>
          <w:szCs w:val="22"/>
        </w:rPr>
        <w:t>,</w:t>
      </w:r>
      <w:r w:rsidR="00EF4F67">
        <w:rPr>
          <w:rFonts w:ascii="Times New Roman" w:hAnsi="Times New Roman" w:cs="Times New Roman"/>
          <w:sz w:val="22"/>
          <w:szCs w:val="22"/>
        </w:rPr>
        <w:t xml:space="preserve">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EF4F67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s naznakom: „Za Javni poziv – udruge građana“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23B0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 w:rsidR="00EF4F67">
        <w:rPr>
          <w:rFonts w:ascii="Times New Roman" w:hAnsi="Times New Roman" w:cs="Times New Roman"/>
          <w:b/>
          <w:sz w:val="22"/>
          <w:szCs w:val="22"/>
        </w:rPr>
        <w:t>15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3C7214">
        <w:rPr>
          <w:rFonts w:ascii="Times New Roman" w:hAnsi="Times New Roman" w:cs="Times New Roman"/>
          <w:b/>
          <w:sz w:val="22"/>
          <w:szCs w:val="22"/>
        </w:rPr>
        <w:t>03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3C7214">
        <w:rPr>
          <w:rFonts w:ascii="Times New Roman" w:hAnsi="Times New Roman" w:cs="Times New Roman"/>
          <w:b/>
          <w:sz w:val="22"/>
          <w:szCs w:val="22"/>
        </w:rPr>
        <w:t>9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04117A" w:rsidRPr="0004117A" w:rsidRDefault="00D34EE3" w:rsidP="00BD2BFF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F4F67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9" w:history="1">
        <w:r w:rsidR="00EF4F67"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EF4F67">
        <w:rPr>
          <w:rFonts w:ascii="Times New Roman" w:eastAsia="Times New Roman" w:hAnsi="Times New Roman" w:cs="Times New Roman"/>
          <w:snapToGrid w:val="0"/>
        </w:rPr>
        <w:t xml:space="preserve"> ili </w:t>
      </w:r>
      <w:r w:rsidR="00EF4F67"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 w:rsidR="00B745AF">
        <w:rPr>
          <w:rFonts w:ascii="Times New Roman" w:eastAsia="Times New Roman" w:hAnsi="Times New Roman" w:cs="Times New Roman"/>
          <w:snapToGrid w:val="0"/>
        </w:rPr>
        <w:t>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1A2045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10.03.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1A2045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9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 godine</w:t>
      </w:r>
      <w:r w:rsidR="00CE74EC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3B17EE">
        <w:rPr>
          <w:rFonts w:ascii="Times New Roman" w:eastAsia="Times New Roman" w:hAnsi="Times New Roman" w:cs="Times New Roman"/>
          <w:snapToGrid w:val="0"/>
        </w:rPr>
        <w:t xml:space="preserve"> (administrativna provjera)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  <w:r w:rsidR="003B17EE">
        <w:rPr>
          <w:rFonts w:ascii="Times New Roman" w:eastAsia="Times New Roman" w:hAnsi="Times New Roman" w:cs="Times New Roman"/>
          <w:snapToGrid w:val="0"/>
        </w:rPr>
        <w:t xml:space="preserve"> (ocjenjivanje)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3B17EE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  <w:r w:rsidR="00294F76">
        <w:rPr>
          <w:rFonts w:ascii="Times New Roman" w:eastAsia="Times New Roman" w:hAnsi="Times New Roman" w:cs="Times New Roman"/>
          <w:snapToGrid w:val="0"/>
        </w:rPr>
        <w:t xml:space="preserve">, </w:t>
      </w:r>
    </w:p>
    <w:p w:rsidR="00C8109D" w:rsidRPr="0004117A" w:rsidRDefault="003B17EE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Pregovaranje, </w:t>
      </w:r>
      <w:r w:rsidR="00294F76">
        <w:rPr>
          <w:rFonts w:ascii="Times New Roman" w:eastAsia="Times New Roman" w:hAnsi="Times New Roman" w:cs="Times New Roman"/>
          <w:snapToGrid w:val="0"/>
        </w:rPr>
        <w:t>i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Ugovaranje</w:t>
      </w:r>
      <w:r w:rsidR="00294F76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93316C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A31EA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  <w:r w:rsidR="00CE74EC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  <w:r w:rsidR="00CE74EC">
        <w:rPr>
          <w:rFonts w:ascii="Times New Roman" w:hAnsi="Times New Roman" w:cs="Times New Roman"/>
        </w:rPr>
        <w:t>,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  <w:r w:rsidR="00382873">
        <w:rPr>
          <w:rFonts w:ascii="Times New Roman" w:hAnsi="Times New Roman" w:cs="Times New Roman"/>
        </w:rPr>
        <w:t>,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Sve udruge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  <w:r w:rsidR="00382873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7747BB">
        <w:rPr>
          <w:rFonts w:ascii="Times New Roman" w:eastAsia="Times New Roman" w:hAnsi="Times New Roman" w:cs="Times New Roman"/>
          <w:snapToGrid w:val="0"/>
        </w:rPr>
        <w:t xml:space="preserve">. Ocjenjivači Povjerenstva za ocjenjivanje prije provedbe ocjenjivanja potpisati će izjavu o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747BB">
        <w:rPr>
          <w:rFonts w:ascii="Times New Roman" w:eastAsia="Times New Roman" w:hAnsi="Times New Roman" w:cs="Times New Roman"/>
          <w:snapToGrid w:val="0"/>
        </w:rPr>
        <w:t xml:space="preserve">nepristranosti i povjerljivosti čime se sprječava sukob interesa. Povjerenstvo za ocjenjivanje </w:t>
      </w:r>
      <w:bookmarkStart w:id="0" w:name="_GoBack"/>
      <w:bookmarkEnd w:id="0"/>
      <w:r w:rsidRPr="0004117A">
        <w:rPr>
          <w:rFonts w:ascii="Times New Roman" w:eastAsia="Times New Roman" w:hAnsi="Times New Roman" w:cs="Times New Roman"/>
          <w:snapToGrid w:val="0"/>
        </w:rPr>
        <w:t xml:space="preserve">daje prijedlog za odobravanje financijskih sredstava za programe/projekte, o kojem, uzimajući u obzir sve činjenice, daje neobvezujuće mišljenje Pročelnik Upravnog odjela za društvene djelatnosti. </w:t>
      </w:r>
    </w:p>
    <w:p w:rsidR="00F34292" w:rsidRDefault="009B31AB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Privremenu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B31AB" w:rsidRDefault="008E430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 donošenju Privremene Odluke o odobravanju financijskih sredstava za programe/projekte</w:t>
      </w:r>
      <w:r w:rsidR="009B31AB">
        <w:rPr>
          <w:rFonts w:ascii="Times New Roman" w:eastAsia="Times New Roman" w:hAnsi="Times New Roman" w:cs="Times New Roman"/>
          <w:snapToGrid w:val="0"/>
        </w:rPr>
        <w:t xml:space="preserve"> Upravni odjel za društvene djelatnosti provesti će postupak pregovaranja s udrugama građana</w:t>
      </w:r>
      <w:r>
        <w:rPr>
          <w:rFonts w:ascii="Times New Roman" w:eastAsia="Times New Roman" w:hAnsi="Times New Roman" w:cs="Times New Roman"/>
          <w:snapToGrid w:val="0"/>
        </w:rPr>
        <w:t xml:space="preserve">.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Upravni odjel za društvene djelatnosti </w:t>
      </w:r>
      <w:r>
        <w:rPr>
          <w:rFonts w:ascii="Times New Roman" w:eastAsia="Times New Roman" w:hAnsi="Times New Roman" w:cs="Times New Roman"/>
          <w:snapToGrid w:val="0"/>
        </w:rPr>
        <w:t>će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9B31AB" w:rsidRPr="0004117A" w:rsidRDefault="009B31AB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Nakon utvrđenih usklađenih proračuna </w:t>
      </w:r>
      <w:r w:rsidR="008E430D">
        <w:rPr>
          <w:rFonts w:ascii="Times New Roman" w:eastAsia="Times New Roman" w:hAnsi="Times New Roman" w:cs="Times New Roman"/>
          <w:snapToGrid w:val="0"/>
        </w:rPr>
        <w:t xml:space="preserve">i aktivnosti </w:t>
      </w:r>
      <w:r>
        <w:rPr>
          <w:rFonts w:ascii="Times New Roman" w:eastAsia="Times New Roman" w:hAnsi="Times New Roman" w:cs="Times New Roman"/>
          <w:snapToGrid w:val="0"/>
        </w:rPr>
        <w:t>programa/projekata u postupku pregovaranja Gradonačelnik Grada Koprivnice donosi Zaključak o odobravanju financijskih sredstava za programe/projekte.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</w:t>
      </w:r>
      <w:r w:rsidR="009B31AB">
        <w:rPr>
          <w:rFonts w:ascii="Times New Roman" w:eastAsia="Times New Roman" w:hAnsi="Times New Roman" w:cs="Times New Roman"/>
          <w:snapToGrid w:val="0"/>
        </w:rPr>
        <w:t>Zaključka Gradonačelnika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Grad će javno objaviti rezultate Javnog poziva s podacima o udrugama,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će, u roku od 8 dana od donošenja odluke o dodjeli financijskih sredstava obavijestiti udruge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8A31EA" w:rsidRPr="0016772E" w:rsidRDefault="00697AF2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Pr="0016772E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16772E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8A31EA" w:rsidRPr="0016772E">
        <w:rPr>
          <w:rFonts w:ascii="Times New Roman" w:eastAsia="Times New Roman" w:hAnsi="Times New Roman" w:cs="Times New Roman"/>
        </w:rPr>
        <w:t xml:space="preserve">na odluku neispunjavanja propisanih uvjeta natječaja, na ocjenjivanje nekog kriterija s ocjenom 0 (ukoliko udruga smatra da je u prijavi dostavila dovoljno argumenata za drugačije ocjenjivanje), na </w:t>
      </w:r>
      <w:r w:rsidR="009B31AB">
        <w:rPr>
          <w:rFonts w:ascii="Times New Roman" w:eastAsia="Times New Roman" w:hAnsi="Times New Roman" w:cs="Times New Roman"/>
        </w:rPr>
        <w:t>Zaključak</w:t>
      </w:r>
      <w:r w:rsidR="008A31EA" w:rsidRPr="0016772E">
        <w:rPr>
          <w:rFonts w:ascii="Times New Roman" w:eastAsia="Times New Roman" w:hAnsi="Times New Roman" w:cs="Times New Roman"/>
        </w:rPr>
        <w:t xml:space="preserve"> o dodjeli financijskih sredstava ili visini dodijeljenih sredstava.</w:t>
      </w:r>
    </w:p>
    <w:p w:rsidR="008A31EA" w:rsidRPr="0016772E" w:rsidRDefault="008A31EA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772E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16772E">
        <w:rPr>
          <w:rFonts w:ascii="Times New Roman" w:eastAsia="Times New Roman" w:hAnsi="Times New Roman" w:cs="Times New Roman"/>
        </w:rPr>
        <w:t>isti</w:t>
      </w:r>
      <w:r w:rsidRPr="0016772E">
        <w:rPr>
          <w:rFonts w:ascii="Times New Roman" w:eastAsia="Times New Roman" w:hAnsi="Times New Roman" w:cs="Times New Roman"/>
        </w:rPr>
        <w:t xml:space="preserve">. </w:t>
      </w:r>
    </w:p>
    <w:p w:rsidR="0013324B" w:rsidRPr="0016772E" w:rsidRDefault="00C8109D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16772E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8A31EA" w:rsidRDefault="008A31EA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B3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5262AF" w:rsidRDefault="00F655FC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  <w:r w:rsidR="009B31AB">
        <w:rPr>
          <w:rFonts w:ascii="Times New Roman" w:eastAsia="Times New Roman" w:hAnsi="Times New Roman" w:cs="Times New Roman"/>
          <w:snapToGrid w:val="0"/>
        </w:rPr>
        <w:t>,</w:t>
      </w:r>
    </w:p>
    <w:p w:rsidR="009B31AB" w:rsidRPr="00BA7CFA" w:rsidRDefault="009B31AB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BA7CFA">
        <w:rPr>
          <w:rFonts w:ascii="Times New Roman" w:eastAsia="Calibri" w:hAnsi="Times New Roman" w:cs="Times New Roman"/>
          <w:lang w:eastAsia="en-US"/>
        </w:rPr>
        <w:t>Obrazac izjave o nepostojanju dvostrukog financiranja.</w:t>
      </w:r>
    </w:p>
    <w:p w:rsidR="00F655FC" w:rsidRPr="00F655FC" w:rsidRDefault="00F655FC" w:rsidP="00F655F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kojima su odobrena financijska sredstva Grad će sklopiti ugovor o sufinanciranju programa/projekata. 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B46D44" w:rsidRDefault="00B46D44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Udruzi se isplaćuju </w:t>
      </w:r>
      <w:r w:rsidR="00F238CF">
        <w:rPr>
          <w:rFonts w:ascii="Times New Roman" w:eastAsia="Times New Roman" w:hAnsi="Times New Roman" w:cs="Times New Roman"/>
          <w:snapToGrid w:val="0"/>
        </w:rPr>
        <w:t>kako slijedi:</w:t>
      </w:r>
    </w:p>
    <w:p w:rsidR="00F238CF" w:rsidRDefault="00F238CF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a) </w:t>
      </w:r>
      <w:r w:rsidRPr="00F238CF">
        <w:rPr>
          <w:rFonts w:ascii="Times New Roman" w:eastAsia="Times New Roman" w:hAnsi="Times New Roman" w:cs="Times New Roman"/>
          <w:snapToGrid w:val="0"/>
        </w:rPr>
        <w:t>za iznos do 5.000,00 kn – 100%  Financijskih sredstava  - 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>b)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za iznos veći od 5.000,00 kn, a manji od </w:t>
      </w:r>
      <w:r w:rsidR="0015308F">
        <w:rPr>
          <w:rFonts w:ascii="Times New Roman" w:eastAsia="Times New Roman" w:hAnsi="Times New Roman" w:cs="Times New Roman"/>
          <w:snapToGrid w:val="0"/>
        </w:rPr>
        <w:t>15</w:t>
      </w:r>
      <w:r w:rsidRPr="00F238CF">
        <w:rPr>
          <w:rFonts w:ascii="Times New Roman" w:eastAsia="Times New Roman" w:hAnsi="Times New Roman" w:cs="Times New Roman"/>
          <w:snapToGrid w:val="0"/>
        </w:rPr>
        <w:t>.000,00</w:t>
      </w:r>
      <w:r>
        <w:rPr>
          <w:rFonts w:ascii="Times New Roman" w:eastAsia="Times New Roman" w:hAnsi="Times New Roman" w:cs="Times New Roman"/>
          <w:snapToGrid w:val="0"/>
        </w:rPr>
        <w:t xml:space="preserve"> kn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</w:t>
      </w:r>
      <w:r w:rsidR="007050B8">
        <w:rPr>
          <w:rFonts w:ascii="Times New Roman" w:eastAsia="Times New Roman" w:hAnsi="Times New Roman" w:cs="Times New Roman"/>
          <w:snapToGrid w:val="0"/>
        </w:rPr>
        <w:t>8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0 % Financijskih sredstava -  u roku od 30 dana od dana potpisivanja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</w:t>
      </w:r>
      <w:r w:rsidR="00FB41F2">
        <w:rPr>
          <w:rFonts w:ascii="Times New Roman" w:eastAsia="Times New Roman" w:hAnsi="Times New Roman" w:cs="Times New Roman"/>
          <w:snapToGrid w:val="0"/>
        </w:rPr>
        <w:t>2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0 % Financijskih sredstava -  </w:t>
      </w:r>
      <w:r>
        <w:rPr>
          <w:rFonts w:ascii="Times New Roman" w:eastAsia="Times New Roman" w:hAnsi="Times New Roman" w:cs="Times New Roman"/>
          <w:snapToGrid w:val="0"/>
        </w:rPr>
        <w:t xml:space="preserve">u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roku od 30 dana od dana prihvaćanja Izvještaja </w:t>
      </w:r>
      <w:r w:rsidR="00B745AF">
        <w:rPr>
          <w:rFonts w:ascii="Times New Roman" w:eastAsia="Times New Roman" w:hAnsi="Times New Roman" w:cs="Times New Roman"/>
          <w:snapToGrid w:val="0"/>
        </w:rPr>
        <w:t>o realizaciji Programa/Projekta</w:t>
      </w:r>
      <w:r w:rsidR="00FD24AF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74/14</w:t>
      </w:r>
      <w:r w:rsidR="001D0C6F">
        <w:rPr>
          <w:rFonts w:ascii="Times New Roman" w:eastAsia="Times New Roman" w:hAnsi="Times New Roman" w:cs="Times New Roman"/>
          <w:snapToGrid w:val="0"/>
        </w:rPr>
        <w:t>, 70/17</w:t>
      </w:r>
      <w:r w:rsidR="00144111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121/149)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(GGK 3/15</w:t>
      </w:r>
      <w:r w:rsidR="00D1013B">
        <w:rPr>
          <w:rFonts w:ascii="Times New Roman" w:eastAsia="Times New Roman" w:hAnsi="Times New Roman" w:cs="Times New Roman"/>
          <w:snapToGrid w:val="0"/>
        </w:rPr>
        <w:t>, 3/16</w:t>
      </w:r>
      <w:r w:rsidR="00144111">
        <w:rPr>
          <w:rFonts w:ascii="Times New Roman" w:eastAsia="Times New Roman" w:hAnsi="Times New Roman" w:cs="Times New Roman"/>
          <w:snapToGrid w:val="0"/>
        </w:rPr>
        <w:t>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Upravnog odjela za društvene djelatnosti Grada Koprivnice, u prethodnom dogovoru s udrugom.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</w:t>
      </w:r>
      <w:r w:rsidR="0015308F">
        <w:rPr>
          <w:rFonts w:ascii="Times New Roman" w:eastAsia="Times New Roman" w:hAnsi="Times New Roman" w:cs="Times New Roman"/>
          <w:snapToGrid w:val="0"/>
        </w:rPr>
        <w:t>0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15308F">
        <w:rPr>
          <w:rFonts w:ascii="Times New Roman" w:eastAsia="Times New Roman" w:hAnsi="Times New Roman" w:cs="Times New Roman"/>
          <w:snapToGrid w:val="0"/>
        </w:rPr>
        <w:t>9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) te dokazi o plaćanju istih (preslike naloga o prijenosu, blagajnička izvješća s fotokopijom isplatnice, </w:t>
      </w:r>
      <w:r w:rsidR="00563E79">
        <w:rPr>
          <w:rFonts w:ascii="Times New Roman" w:eastAsia="Times New Roman" w:hAnsi="Times New Roman" w:cs="Times New Roman"/>
          <w:snapToGrid w:val="0"/>
        </w:rPr>
        <w:t xml:space="preserve">bankovni </w:t>
      </w:r>
      <w:r w:rsidRPr="0004117A">
        <w:rPr>
          <w:rFonts w:ascii="Times New Roman" w:eastAsia="Times New Roman" w:hAnsi="Times New Roman" w:cs="Times New Roman"/>
          <w:snapToGrid w:val="0"/>
        </w:rPr>
        <w:t>izvodi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05C53" w:rsidRPr="0004117A" w:rsidRDefault="00705C5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7"/>
        <w:gridCol w:w="4665"/>
      </w:tblGrid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4785" w:type="dxa"/>
            <w:vAlign w:val="center"/>
          </w:tcPr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65478D" w:rsidRPr="0004117A" w:rsidRDefault="0065478D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03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slanje pitanja vezanih uz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Javni poziv</w:t>
            </w:r>
          </w:p>
        </w:tc>
        <w:tc>
          <w:tcPr>
            <w:tcW w:w="4785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4A49AD" w:rsidRPr="001A0234" w:rsidRDefault="004E3DE2" w:rsidP="001A02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10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3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procjenu prijave koje su zadovoljile propisane uvjete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Javnog poziva</w:t>
            </w:r>
          </w:p>
        </w:tc>
        <w:tc>
          <w:tcPr>
            <w:tcW w:w="4785" w:type="dxa"/>
            <w:vAlign w:val="center"/>
          </w:tcPr>
          <w:p w:rsidR="00BC43F6" w:rsidRPr="0004117A" w:rsidRDefault="00BC43F6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>03.2019.</w:t>
            </w:r>
          </w:p>
        </w:tc>
      </w:tr>
      <w:tr w:rsidR="00427734" w:rsidRPr="0004117A" w:rsidTr="00427734">
        <w:trPr>
          <w:trHeight w:val="510"/>
        </w:trPr>
        <w:tc>
          <w:tcPr>
            <w:tcW w:w="4503" w:type="dxa"/>
            <w:vAlign w:val="center"/>
          </w:tcPr>
          <w:p w:rsidR="00427734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427734" w:rsidRPr="0004117A" w:rsidRDefault="001A02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17.04.2019.</w:t>
            </w:r>
          </w:p>
        </w:tc>
      </w:tr>
      <w:tr w:rsidR="00F61919" w:rsidRPr="0004117A" w:rsidTr="00F024B6">
        <w:trPr>
          <w:trHeight w:val="709"/>
        </w:trPr>
        <w:tc>
          <w:tcPr>
            <w:tcW w:w="4503" w:type="dxa"/>
            <w:vAlign w:val="center"/>
          </w:tcPr>
          <w:p w:rsidR="0004117A" w:rsidRPr="0004117A" w:rsidRDefault="00F61919" w:rsidP="00F024B6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objavu </w:t>
            </w:r>
            <w:r w:rsidR="001A0234">
              <w:rPr>
                <w:rFonts w:ascii="Times New Roman" w:eastAsia="Times New Roman" w:hAnsi="Times New Roman" w:cs="Times New Roman"/>
                <w:snapToGrid w:val="0"/>
              </w:rPr>
              <w:t xml:space="preserve">privremene </w:t>
            </w: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odluke o dodjeli financijskih sredstava i slanje obavijesti prijaviteljima</w:t>
            </w:r>
          </w:p>
        </w:tc>
        <w:tc>
          <w:tcPr>
            <w:tcW w:w="4785" w:type="dxa"/>
            <w:vAlign w:val="center"/>
          </w:tcPr>
          <w:p w:rsidR="008333EC" w:rsidRPr="0004117A" w:rsidRDefault="001A02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26.04.2019.</w:t>
            </w:r>
          </w:p>
        </w:tc>
      </w:tr>
      <w:tr w:rsidR="001A0234" w:rsidRPr="0004117A" w:rsidTr="00427734">
        <w:trPr>
          <w:trHeight w:val="510"/>
        </w:trPr>
        <w:tc>
          <w:tcPr>
            <w:tcW w:w="4503" w:type="dxa"/>
            <w:vAlign w:val="center"/>
          </w:tcPr>
          <w:p w:rsidR="001A0234" w:rsidRPr="0004117A" w:rsidRDefault="001A0234" w:rsidP="001A02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završetka pregovaranja</w:t>
            </w:r>
          </w:p>
        </w:tc>
        <w:tc>
          <w:tcPr>
            <w:tcW w:w="4785" w:type="dxa"/>
            <w:vAlign w:val="center"/>
          </w:tcPr>
          <w:p w:rsidR="001A0234" w:rsidRPr="0004117A" w:rsidRDefault="001A02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A0234">
              <w:rPr>
                <w:rFonts w:ascii="Times New Roman" w:eastAsia="Times New Roman" w:hAnsi="Times New Roman" w:cs="Times New Roman"/>
                <w:snapToGrid w:val="0"/>
              </w:rPr>
              <w:t>31.05.2019.</w:t>
            </w:r>
          </w:p>
        </w:tc>
      </w:tr>
      <w:tr w:rsidR="001A0234" w:rsidRPr="0004117A" w:rsidTr="00427734">
        <w:trPr>
          <w:trHeight w:val="510"/>
        </w:trPr>
        <w:tc>
          <w:tcPr>
            <w:tcW w:w="4503" w:type="dxa"/>
            <w:vAlign w:val="center"/>
          </w:tcPr>
          <w:p w:rsidR="001A0234" w:rsidRPr="0004117A" w:rsidRDefault="001A02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donošenje Zaključka o odobravanju financijskih sredstava</w:t>
            </w:r>
          </w:p>
        </w:tc>
        <w:tc>
          <w:tcPr>
            <w:tcW w:w="4785" w:type="dxa"/>
            <w:vAlign w:val="center"/>
          </w:tcPr>
          <w:p w:rsidR="001A0234" w:rsidRPr="0004117A" w:rsidRDefault="001A02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1A0234">
              <w:rPr>
                <w:rFonts w:ascii="Times New Roman" w:eastAsia="Times New Roman" w:hAnsi="Times New Roman" w:cs="Times New Roman"/>
                <w:snapToGrid w:val="0"/>
              </w:rPr>
              <w:t>10.06.2019.</w:t>
            </w:r>
          </w:p>
        </w:tc>
      </w:tr>
      <w:tr w:rsidR="00F61919" w:rsidRPr="0004117A" w:rsidTr="001A02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F61919" w:rsidRPr="0004117A" w:rsidRDefault="001A0234" w:rsidP="001A02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24.06.2019.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72" w:rsidRDefault="00FB2672" w:rsidP="00131D19">
      <w:pPr>
        <w:spacing w:after="0" w:line="240" w:lineRule="auto"/>
      </w:pPr>
      <w:r>
        <w:separator/>
      </w:r>
    </w:p>
  </w:endnote>
  <w:endnote w:type="continuationSeparator" w:id="0">
    <w:p w:rsidR="00FB2672" w:rsidRDefault="00FB2672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72" w:rsidRDefault="00FB2672" w:rsidP="00131D19">
      <w:pPr>
        <w:spacing w:after="0" w:line="240" w:lineRule="auto"/>
      </w:pPr>
      <w:r>
        <w:separator/>
      </w:r>
    </w:p>
  </w:footnote>
  <w:footnote w:type="continuationSeparator" w:id="0">
    <w:p w:rsidR="00FB2672" w:rsidRDefault="00FB2672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1B1C"/>
    <w:multiLevelType w:val="hybridMultilevel"/>
    <w:tmpl w:val="74AA2516"/>
    <w:lvl w:ilvl="0" w:tplc="1E563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2B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44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A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03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C3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2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0"/>
  </w:num>
  <w:num w:numId="5">
    <w:abstractNumId w:val="36"/>
  </w:num>
  <w:num w:numId="6">
    <w:abstractNumId w:val="25"/>
  </w:num>
  <w:num w:numId="7">
    <w:abstractNumId w:val="17"/>
  </w:num>
  <w:num w:numId="8">
    <w:abstractNumId w:val="3"/>
  </w:num>
  <w:num w:numId="9">
    <w:abstractNumId w:val="33"/>
  </w:num>
  <w:num w:numId="10">
    <w:abstractNumId w:val="27"/>
  </w:num>
  <w:num w:numId="11">
    <w:abstractNumId w:val="46"/>
  </w:num>
  <w:num w:numId="12">
    <w:abstractNumId w:val="39"/>
  </w:num>
  <w:num w:numId="13">
    <w:abstractNumId w:val="43"/>
  </w:num>
  <w:num w:numId="14">
    <w:abstractNumId w:val="24"/>
  </w:num>
  <w:num w:numId="15">
    <w:abstractNumId w:val="30"/>
  </w:num>
  <w:num w:numId="16">
    <w:abstractNumId w:val="16"/>
  </w:num>
  <w:num w:numId="17">
    <w:abstractNumId w:val="32"/>
  </w:num>
  <w:num w:numId="18">
    <w:abstractNumId w:val="34"/>
  </w:num>
  <w:num w:numId="19">
    <w:abstractNumId w:val="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20"/>
  </w:num>
  <w:num w:numId="24">
    <w:abstractNumId w:val="45"/>
  </w:num>
  <w:num w:numId="25">
    <w:abstractNumId w:val="42"/>
  </w:num>
  <w:num w:numId="26">
    <w:abstractNumId w:val="31"/>
  </w:num>
  <w:num w:numId="27">
    <w:abstractNumId w:val="12"/>
  </w:num>
  <w:num w:numId="28">
    <w:abstractNumId w:val="11"/>
  </w:num>
  <w:num w:numId="29">
    <w:abstractNumId w:val="23"/>
  </w:num>
  <w:num w:numId="30">
    <w:abstractNumId w:val="38"/>
  </w:num>
  <w:num w:numId="31">
    <w:abstractNumId w:val="35"/>
  </w:num>
  <w:num w:numId="32">
    <w:abstractNumId w:val="14"/>
  </w:num>
  <w:num w:numId="33">
    <w:abstractNumId w:val="9"/>
  </w:num>
  <w:num w:numId="34">
    <w:abstractNumId w:val="40"/>
  </w:num>
  <w:num w:numId="35">
    <w:abstractNumId w:val="7"/>
  </w:num>
  <w:num w:numId="36">
    <w:abstractNumId w:val="44"/>
  </w:num>
  <w:num w:numId="37">
    <w:abstractNumId w:val="8"/>
  </w:num>
  <w:num w:numId="38">
    <w:abstractNumId w:val="6"/>
  </w:num>
  <w:num w:numId="39">
    <w:abstractNumId w:val="4"/>
  </w:num>
  <w:num w:numId="40">
    <w:abstractNumId w:val="15"/>
  </w:num>
  <w:num w:numId="41">
    <w:abstractNumId w:val="28"/>
  </w:num>
  <w:num w:numId="42">
    <w:abstractNumId w:val="21"/>
  </w:num>
  <w:num w:numId="43">
    <w:abstractNumId w:val="41"/>
  </w:num>
  <w:num w:numId="44">
    <w:abstractNumId w:val="19"/>
  </w:num>
  <w:num w:numId="45">
    <w:abstractNumId w:val="18"/>
  </w:num>
  <w:num w:numId="46">
    <w:abstractNumId w:val="26"/>
  </w:num>
  <w:num w:numId="47">
    <w:abstractNumId w:val="2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308F"/>
    <w:rsid w:val="00156CBC"/>
    <w:rsid w:val="00156E46"/>
    <w:rsid w:val="0016772E"/>
    <w:rsid w:val="001772AC"/>
    <w:rsid w:val="00183589"/>
    <w:rsid w:val="00184462"/>
    <w:rsid w:val="00194E04"/>
    <w:rsid w:val="001977CB"/>
    <w:rsid w:val="001A0234"/>
    <w:rsid w:val="001A2045"/>
    <w:rsid w:val="001B3052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4C16"/>
    <w:rsid w:val="00234CE7"/>
    <w:rsid w:val="00253086"/>
    <w:rsid w:val="00260B92"/>
    <w:rsid w:val="00260FEA"/>
    <w:rsid w:val="00263E5B"/>
    <w:rsid w:val="00265B7E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D769E"/>
    <w:rsid w:val="003030CC"/>
    <w:rsid w:val="003030E7"/>
    <w:rsid w:val="00316128"/>
    <w:rsid w:val="003172A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2873"/>
    <w:rsid w:val="003871A9"/>
    <w:rsid w:val="00387BD0"/>
    <w:rsid w:val="00392221"/>
    <w:rsid w:val="003953AD"/>
    <w:rsid w:val="00397A73"/>
    <w:rsid w:val="003A4F98"/>
    <w:rsid w:val="003A7510"/>
    <w:rsid w:val="003B133E"/>
    <w:rsid w:val="003B17EE"/>
    <w:rsid w:val="003C7214"/>
    <w:rsid w:val="003E0E6B"/>
    <w:rsid w:val="003E156A"/>
    <w:rsid w:val="003E4F84"/>
    <w:rsid w:val="003E6738"/>
    <w:rsid w:val="003E6F51"/>
    <w:rsid w:val="00401B59"/>
    <w:rsid w:val="0041007E"/>
    <w:rsid w:val="0041062A"/>
    <w:rsid w:val="004123B0"/>
    <w:rsid w:val="00417917"/>
    <w:rsid w:val="00427734"/>
    <w:rsid w:val="004314B0"/>
    <w:rsid w:val="00433CAB"/>
    <w:rsid w:val="0043550C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0E48"/>
    <w:rsid w:val="004859CB"/>
    <w:rsid w:val="004936B5"/>
    <w:rsid w:val="00493F57"/>
    <w:rsid w:val="004A0C9E"/>
    <w:rsid w:val="004A2C21"/>
    <w:rsid w:val="004A49AD"/>
    <w:rsid w:val="004B20E6"/>
    <w:rsid w:val="004B345B"/>
    <w:rsid w:val="004B66A5"/>
    <w:rsid w:val="004B6D35"/>
    <w:rsid w:val="004C2BE9"/>
    <w:rsid w:val="004E3DE2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2301"/>
    <w:rsid w:val="005360B9"/>
    <w:rsid w:val="0054337F"/>
    <w:rsid w:val="00552EC2"/>
    <w:rsid w:val="00563E79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22B50"/>
    <w:rsid w:val="00637A80"/>
    <w:rsid w:val="006437B5"/>
    <w:rsid w:val="0065478D"/>
    <w:rsid w:val="00660D02"/>
    <w:rsid w:val="006810E9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2884"/>
    <w:rsid w:val="006E5997"/>
    <w:rsid w:val="006F3192"/>
    <w:rsid w:val="007050B8"/>
    <w:rsid w:val="00705C53"/>
    <w:rsid w:val="007076DE"/>
    <w:rsid w:val="007246BD"/>
    <w:rsid w:val="00727F62"/>
    <w:rsid w:val="00735BE7"/>
    <w:rsid w:val="007511D9"/>
    <w:rsid w:val="007645C1"/>
    <w:rsid w:val="00767068"/>
    <w:rsid w:val="00767C16"/>
    <w:rsid w:val="007719AC"/>
    <w:rsid w:val="007747BB"/>
    <w:rsid w:val="00775922"/>
    <w:rsid w:val="00777B35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430D"/>
    <w:rsid w:val="008E7D89"/>
    <w:rsid w:val="008F1708"/>
    <w:rsid w:val="008F757A"/>
    <w:rsid w:val="00900E23"/>
    <w:rsid w:val="00906A56"/>
    <w:rsid w:val="009115B0"/>
    <w:rsid w:val="00912D9A"/>
    <w:rsid w:val="00916D32"/>
    <w:rsid w:val="009221D6"/>
    <w:rsid w:val="00925DC6"/>
    <w:rsid w:val="009273D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31AB"/>
    <w:rsid w:val="009B4760"/>
    <w:rsid w:val="009B6612"/>
    <w:rsid w:val="009C0FDB"/>
    <w:rsid w:val="009C6830"/>
    <w:rsid w:val="009E0FC1"/>
    <w:rsid w:val="009E2334"/>
    <w:rsid w:val="00A009DA"/>
    <w:rsid w:val="00A06419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394F"/>
    <w:rsid w:val="00A9113E"/>
    <w:rsid w:val="00AA7802"/>
    <w:rsid w:val="00AE2B6E"/>
    <w:rsid w:val="00AE3391"/>
    <w:rsid w:val="00AE3912"/>
    <w:rsid w:val="00AE7D3A"/>
    <w:rsid w:val="00AF720A"/>
    <w:rsid w:val="00B00453"/>
    <w:rsid w:val="00B032AE"/>
    <w:rsid w:val="00B07030"/>
    <w:rsid w:val="00B3060E"/>
    <w:rsid w:val="00B4189C"/>
    <w:rsid w:val="00B46D44"/>
    <w:rsid w:val="00B6100F"/>
    <w:rsid w:val="00B66D4B"/>
    <w:rsid w:val="00B67B34"/>
    <w:rsid w:val="00B71369"/>
    <w:rsid w:val="00B745AF"/>
    <w:rsid w:val="00B77ADB"/>
    <w:rsid w:val="00B8615F"/>
    <w:rsid w:val="00BA7CFA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7232"/>
    <w:rsid w:val="00BF2B25"/>
    <w:rsid w:val="00BF3429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75A3B"/>
    <w:rsid w:val="00C761A0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4680"/>
    <w:rsid w:val="00D008D2"/>
    <w:rsid w:val="00D1013B"/>
    <w:rsid w:val="00D1513C"/>
    <w:rsid w:val="00D32801"/>
    <w:rsid w:val="00D34EE3"/>
    <w:rsid w:val="00D36977"/>
    <w:rsid w:val="00D376F6"/>
    <w:rsid w:val="00D46822"/>
    <w:rsid w:val="00D46A59"/>
    <w:rsid w:val="00D54579"/>
    <w:rsid w:val="00D54988"/>
    <w:rsid w:val="00D55418"/>
    <w:rsid w:val="00D574CB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92B0A"/>
    <w:rsid w:val="00DA0BE7"/>
    <w:rsid w:val="00DA2382"/>
    <w:rsid w:val="00DA6D64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0E3B"/>
    <w:rsid w:val="00E8112A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4991"/>
    <w:rsid w:val="00EE6E10"/>
    <w:rsid w:val="00EE701B"/>
    <w:rsid w:val="00EE77F4"/>
    <w:rsid w:val="00EF4F67"/>
    <w:rsid w:val="00EF7842"/>
    <w:rsid w:val="00F024B6"/>
    <w:rsid w:val="00F06D7A"/>
    <w:rsid w:val="00F101C8"/>
    <w:rsid w:val="00F1651A"/>
    <w:rsid w:val="00F238CF"/>
    <w:rsid w:val="00F24190"/>
    <w:rsid w:val="00F34292"/>
    <w:rsid w:val="00F34FBD"/>
    <w:rsid w:val="00F40E48"/>
    <w:rsid w:val="00F41762"/>
    <w:rsid w:val="00F61919"/>
    <w:rsid w:val="00F655FC"/>
    <w:rsid w:val="00F72C85"/>
    <w:rsid w:val="00F736A8"/>
    <w:rsid w:val="00F74D1E"/>
    <w:rsid w:val="00F8251B"/>
    <w:rsid w:val="00F84070"/>
    <w:rsid w:val="00F841CE"/>
    <w:rsid w:val="00F84EC7"/>
    <w:rsid w:val="00F90679"/>
    <w:rsid w:val="00F949C6"/>
    <w:rsid w:val="00FA064F"/>
    <w:rsid w:val="00FA52C4"/>
    <w:rsid w:val="00FB2672"/>
    <w:rsid w:val="00FB41F2"/>
    <w:rsid w:val="00FB5265"/>
    <w:rsid w:val="00FC0310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429D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912A-8CAF-4C1D-9CC5-75CC02EA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19</cp:revision>
  <cp:lastPrinted>2016-01-12T12:58:00Z</cp:lastPrinted>
  <dcterms:created xsi:type="dcterms:W3CDTF">2019-01-14T07:19:00Z</dcterms:created>
  <dcterms:modified xsi:type="dcterms:W3CDTF">2019-01-21T06:26:00Z</dcterms:modified>
</cp:coreProperties>
</file>