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8"/>
        <w:gridCol w:w="2876"/>
        <w:gridCol w:w="2898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72878064" w14:textId="77777777" w:rsidR="009C5B31" w:rsidRDefault="00DA5905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</w:p>
          <w:p w14:paraId="015AF9DC" w14:textId="41804FF0" w:rsidR="009C5B31" w:rsidRPr="009C5B31" w:rsidRDefault="009C5B31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1">
              <w:rPr>
                <w:rFonts w:ascii="Times New Roman" w:hAnsi="Times New Roman" w:cs="Times New Roman"/>
                <w:sz w:val="24"/>
                <w:szCs w:val="24"/>
              </w:rPr>
              <w:t>O D L U K E</w:t>
            </w:r>
          </w:p>
          <w:p w14:paraId="1A30141D" w14:textId="77777777" w:rsidR="009C5B31" w:rsidRPr="009C5B31" w:rsidRDefault="009C5B31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1">
              <w:rPr>
                <w:rFonts w:ascii="Times New Roman" w:hAnsi="Times New Roman" w:cs="Times New Roman"/>
                <w:sz w:val="24"/>
                <w:szCs w:val="24"/>
              </w:rPr>
              <w:t>o promjeni naziva Sinagoge u Koprivnici</w:t>
            </w:r>
          </w:p>
          <w:p w14:paraId="4837F5F6" w14:textId="3BE9547C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406AD726" w14:textId="77777777" w:rsidR="00DA5905" w:rsidRPr="00DA5905" w:rsidRDefault="00DA5905" w:rsidP="00D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2971AA0A" w14:textId="10E88950" w:rsidR="003D4D7C" w:rsidRPr="0006042D" w:rsidRDefault="00DA5905" w:rsidP="00DA5905">
            <w:pPr>
              <w:rPr>
                <w:rFonts w:ascii="Times New Roman" w:hAnsi="Times New Roman" w:cs="Times New Roman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9C5B31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  <w:r w:rsidRPr="00060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4F5AF2D" w14:textId="4403C169" w:rsidR="009C5B31" w:rsidRDefault="009C5B31" w:rsidP="009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Predsjedništvo Udruge antifašističkih boraca i antifašista Grada Koprivnice dalo je inicijativu Gradonačelniku Grada Koprivnice da  koprivnička Sinagoga dobije naziv po Dr. Krešimiru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4E45A2" w14:textId="77777777" w:rsidR="009C5B31" w:rsidRDefault="009C5B31" w:rsidP="009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Grad Koprivnica u procesu je obnove i revitalizacije Sinagoge u Svilarskoj ulici, Koprivnica.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Jedan od zadataka je i imenovanje Sinagoge. 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Inspiracija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imenovanje Sinagoge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 nalazi se u bogatom životu </w:t>
            </w:r>
            <w:proofErr w:type="spellStart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prim.dr</w:t>
            </w:r>
            <w:proofErr w:type="spellEnd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. Krešimira </w:t>
            </w:r>
            <w:proofErr w:type="spellStart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Švarca</w:t>
            </w:r>
            <w:proofErr w:type="spellEnd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, kao cijenjeni koprivnički liječnik, prvi specijalist ginekologije u koprivničkom kraju, osnivač Službe za zaštitu žena, trudnica i majki, dobitnik Republičke nagrade za zdravstvo „Marija </w:t>
            </w:r>
            <w:proofErr w:type="spellStart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Šlezinger</w:t>
            </w:r>
            <w:proofErr w:type="spellEnd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“, nekoliko mandata obavljao je posao ravnatelja Medicinskog centra Koprivnica te realizirao izgradnju nove bolnice, dobitnik je Nagrade za životno djelo Grada Koprivnice 2001. godine i proglašen je počasnim građaninom Grada Koprivnice 2016. godine. Kao čovjek, intelektualac i liječnik zadužio je sve buduće generacije rođene u gradu Koprivnici.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Također, 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Sinagoga je simbol i uporišna točka, izvorište i sidrište života židovske zajednice u Koprivnici te asocira na uspjeh malobrojne etničke zajednice.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potreba da se 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Sinagogu oživi raznim kulturnim događanjima koje će biti dostupne svim generacijama, a nazivom potaknuti sve generacije da se dobrotom, suradnjom i ulaganjem u zajednicu može uspjeti.</w:t>
            </w:r>
          </w:p>
          <w:p w14:paraId="05D25476" w14:textId="77777777" w:rsidR="009C5B31" w:rsidRDefault="009C5B31" w:rsidP="009C5B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Koprivnica uputio je Sanji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Janjanin, kćerki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Krešimira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upit o davanju suglasnosti o imenovanju Sinagoge u naziv </w:t>
            </w:r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„Kulturni centar „</w:t>
            </w:r>
            <w:proofErr w:type="spellStart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prim.dr</w:t>
            </w:r>
            <w:proofErr w:type="spellEnd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 xml:space="preserve">. Krešimir </w:t>
            </w:r>
            <w:proofErr w:type="spellStart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Švarc</w:t>
            </w:r>
            <w:proofErr w:type="spellEnd"/>
            <w:r w:rsidRPr="00675D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što je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Janjanin dala suglasnost.</w:t>
            </w:r>
          </w:p>
          <w:p w14:paraId="70FEE90A" w14:textId="77777777" w:rsidR="009C5B31" w:rsidRDefault="009C5B31" w:rsidP="009C5B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skladu sa svim navedenim predlaže se Gradskom vijeću Grada Koprivnice donošenje Odluke o promjeni naziva Sinagoge u Koprivnici.</w:t>
            </w:r>
          </w:p>
          <w:p w14:paraId="27B97E71" w14:textId="36A1E22B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7325F98" w:rsidR="00BA407D" w:rsidRPr="00AD777C" w:rsidRDefault="009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56E17AED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12</w:t>
            </w:r>
            <w:r w:rsidR="00A01F1F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916A61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09EACDE6" w:rsidR="00F91726" w:rsidRPr="009863C5" w:rsidRDefault="00916A6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B31">
              <w:rPr>
                <w:rFonts w:ascii="Times New Roman" w:hAnsi="Times New Roman" w:cs="Times New Roman"/>
              </w:rPr>
              <w:t>8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9C5B31">
              <w:rPr>
                <w:rFonts w:ascii="Times New Roman" w:hAnsi="Times New Roman" w:cs="Times New Roman"/>
              </w:rPr>
              <w:t>t</w:t>
            </w:r>
            <w:r w:rsidR="009C5B31">
              <w:t>ravnja</w:t>
            </w:r>
            <w:bookmarkStart w:id="0" w:name="_GoBack"/>
            <w:bookmarkEnd w:id="0"/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6493" w14:textId="77777777" w:rsidR="006F546E" w:rsidRDefault="006F546E" w:rsidP="00AF63E9">
      <w:pPr>
        <w:spacing w:after="0" w:line="240" w:lineRule="auto"/>
      </w:pPr>
      <w:r>
        <w:separator/>
      </w:r>
    </w:p>
  </w:endnote>
  <w:endnote w:type="continuationSeparator" w:id="0">
    <w:p w14:paraId="433D771E" w14:textId="77777777" w:rsidR="006F546E" w:rsidRDefault="006F546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4E25C4F9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6FC7" w14:textId="77777777" w:rsidR="006F546E" w:rsidRDefault="006F546E" w:rsidP="00AF63E9">
      <w:pPr>
        <w:spacing w:after="0" w:line="240" w:lineRule="auto"/>
      </w:pPr>
      <w:r>
        <w:separator/>
      </w:r>
    </w:p>
  </w:footnote>
  <w:footnote w:type="continuationSeparator" w:id="0">
    <w:p w14:paraId="7ACFA5F7" w14:textId="77777777" w:rsidR="006F546E" w:rsidRDefault="006F546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53500"/>
    <w:rsid w:val="0006042D"/>
    <w:rsid w:val="00061777"/>
    <w:rsid w:val="00077714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2771C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6F546E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16A61"/>
    <w:rsid w:val="00970453"/>
    <w:rsid w:val="009863C5"/>
    <w:rsid w:val="009A509E"/>
    <w:rsid w:val="009C5B31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A590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891D-53D4-47CB-8F8E-27522DB9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2018-04-18T08:10:00Z</dcterms:created>
  <dcterms:modified xsi:type="dcterms:W3CDTF">2018-04-18T08:14:00Z</dcterms:modified>
</cp:coreProperties>
</file>