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8"/>
        <w:gridCol w:w="2876"/>
        <w:gridCol w:w="2898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4837F5F6" w14:textId="24E505B4" w:rsidR="00512F2E" w:rsidRPr="00731970" w:rsidRDefault="006D3A11" w:rsidP="006D3A11">
            <w:pPr>
              <w:rPr>
                <w:rFonts w:ascii="Times New Roman" w:hAnsi="Times New Roman" w:cs="Times New Roman"/>
              </w:rPr>
            </w:pPr>
            <w:r w:rsidRPr="00731970">
              <w:rPr>
                <w:rFonts w:ascii="Times New Roman" w:hAnsi="Times New Roman" w:cs="Times New Roman"/>
              </w:rPr>
              <w:t xml:space="preserve">NACRT </w:t>
            </w:r>
            <w:r w:rsidR="00D13822" w:rsidRPr="00731970">
              <w:rPr>
                <w:rFonts w:ascii="Times New Roman" w:hAnsi="Times New Roman" w:cs="Times New Roman"/>
              </w:rPr>
              <w:t>Odluke o izmjenama Odluke o zakupu i kupoprodaji poslovnog prostora u vlasništvu Grada Koprivnice</w:t>
            </w: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Upravni odjel za izgradnju grada, upravljanje nekretninama i komunalno</w:t>
            </w:r>
            <w:bookmarkStart w:id="0" w:name="_GoBack"/>
            <w:bookmarkEnd w:id="0"/>
            <w:r w:rsidRPr="0006042D">
              <w:rPr>
                <w:rFonts w:ascii="Times New Roman" w:hAnsi="Times New Roman" w:cs="Times New Roman"/>
              </w:rPr>
              <w:t xml:space="preserve"> gospodarstvo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7B14765" w14:textId="77777777" w:rsidR="00CC1E03" w:rsidRDefault="00CC1E03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EDDAA" w14:textId="77777777" w:rsidR="00D13822" w:rsidRDefault="00D13822" w:rsidP="00D1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Odlukom o izmjenama Odluke</w:t>
            </w:r>
            <w:r w:rsidRPr="000F74DA">
              <w:rPr>
                <w:rFonts w:ascii="Times New Roman" w:hAnsi="Times New Roman" w:cs="Times New Roman"/>
                <w:sz w:val="24"/>
                <w:szCs w:val="24"/>
              </w:rPr>
              <w:t xml:space="preserve"> o zakupu i kupoprodaji poslovnog prostora u vlasništvu Grada Koprivnice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ista se usuglašava s posebnim propisima i općim aktima Grada Koprivnice koji su stupili na snagu nakon njenog donošenja te se vrše i određene tehničke izmjene. Tako je sukladno Zakonu o procjeni vrijednosti nekretnina stavak 1. članka 12. izmijenjen na način da se p</w:t>
            </w: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>očetni iznos zakupnine utvrđuje sukladno procjembenom elaboratu izrađenom od strane ovlaštenog procjenitelja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Članak 13. kojim je bilo uređeno korištenje nekretnina bez naknade briše se jer je navedeno uređeno Odlukom o upravljanju, raspolaganju i korištenju nekretnina u vlasništvu Grada Koprivnice.</w:t>
            </w:r>
          </w:p>
          <w:p w14:paraId="76EAADFA" w14:textId="77777777" w:rsidR="00D13822" w:rsidRPr="00731F43" w:rsidRDefault="00D13822" w:rsidP="00D13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7B97E71" w14:textId="36A1E22B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5544E7BD" w:rsidR="00BA407D" w:rsidRPr="00AD777C" w:rsidRDefault="00D13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5F9FE0C9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12815" w:rsidRPr="00FF006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A01F1F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2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21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.02.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5CC901FA" w:rsidR="00F91726" w:rsidRPr="009863C5" w:rsidRDefault="00D13822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9863C5">
              <w:rPr>
                <w:rFonts w:ascii="Times New Roman" w:hAnsi="Times New Roman" w:cs="Times New Roman"/>
              </w:rPr>
              <w:t>v</w:t>
            </w:r>
            <w:r w:rsidR="009863C5">
              <w:t>eljače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3E40" w14:textId="77777777" w:rsidR="00FD0DB2" w:rsidRDefault="00FD0DB2" w:rsidP="00AF63E9">
      <w:pPr>
        <w:spacing w:after="0" w:line="240" w:lineRule="auto"/>
      </w:pPr>
      <w:r>
        <w:separator/>
      </w:r>
    </w:p>
  </w:endnote>
  <w:endnote w:type="continuationSeparator" w:id="0">
    <w:p w14:paraId="745DE615" w14:textId="77777777" w:rsidR="00FD0DB2" w:rsidRDefault="00FD0DB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B347" w14:textId="77777777" w:rsidR="00FD0DB2" w:rsidRDefault="00FD0DB2" w:rsidP="00AF63E9">
      <w:pPr>
        <w:spacing w:after="0" w:line="240" w:lineRule="auto"/>
      </w:pPr>
      <w:r>
        <w:separator/>
      </w:r>
    </w:p>
  </w:footnote>
  <w:footnote w:type="continuationSeparator" w:id="0">
    <w:p w14:paraId="55CB8E05" w14:textId="77777777" w:rsidR="00FD0DB2" w:rsidRDefault="00FD0DB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5B3F-CBA1-4E25-948C-70A521F2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17</cp:revision>
  <cp:lastPrinted>2018-01-26T07:19:00Z</cp:lastPrinted>
  <dcterms:created xsi:type="dcterms:W3CDTF">2018-02-06T09:13:00Z</dcterms:created>
  <dcterms:modified xsi:type="dcterms:W3CDTF">2018-02-26T07:24:00Z</dcterms:modified>
</cp:coreProperties>
</file>