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0B" w:rsidRDefault="008B340B" w:rsidP="008B340B">
      <w:pPr>
        <w:jc w:val="center"/>
        <w:rPr>
          <w:b/>
          <w:sz w:val="24"/>
          <w:szCs w:val="24"/>
        </w:rPr>
      </w:pPr>
      <w:r w:rsidRPr="00117E9F">
        <w:rPr>
          <w:b/>
          <w:sz w:val="24"/>
          <w:szCs w:val="24"/>
        </w:rPr>
        <w:t>IZVJEŠĆE O PROVEDENOM SAVJETOVANJU</w:t>
      </w:r>
    </w:p>
    <w:p w:rsidR="008B340B" w:rsidRPr="00117E9F" w:rsidRDefault="008B340B" w:rsidP="008B340B">
      <w:pPr>
        <w:jc w:val="center"/>
        <w:rPr>
          <w:sz w:val="24"/>
          <w:szCs w:val="24"/>
        </w:rPr>
      </w:pPr>
      <w:r w:rsidRPr="00117E9F">
        <w:rPr>
          <w:b/>
          <w:sz w:val="24"/>
          <w:szCs w:val="24"/>
        </w:rPr>
        <w:t>SA ZAINTERESIRAN</w:t>
      </w:r>
      <w:r>
        <w:rPr>
          <w:b/>
          <w:sz w:val="24"/>
          <w:szCs w:val="24"/>
        </w:rPr>
        <w:t>IM GOSPODARSKIM SUBJEKTIMA</w:t>
      </w:r>
    </w:p>
    <w:p w:rsidR="008B340B" w:rsidRDefault="008B340B" w:rsidP="001F3B93"/>
    <w:p w:rsidR="008B340B" w:rsidRDefault="008B340B" w:rsidP="001F3B93"/>
    <w:p w:rsidR="001F3B93" w:rsidRDefault="00C95F7B" w:rsidP="001F3B93">
      <w:r w:rsidRPr="008B340B">
        <w:rPr>
          <w:b/>
        </w:rPr>
        <w:t>Naziv i OIB naručitelja</w:t>
      </w:r>
      <w:r>
        <w:t>: Grad Koprivnica, 62112914641</w:t>
      </w:r>
    </w:p>
    <w:p w:rsidR="001F3B93" w:rsidRDefault="001F3B93" w:rsidP="001F3B93">
      <w:r w:rsidRPr="008B340B">
        <w:rPr>
          <w:b/>
        </w:rPr>
        <w:t>Evidencijski broj nabave</w:t>
      </w:r>
      <w:r w:rsidR="00C95F7B">
        <w:t>: 15/17 JN-MV</w:t>
      </w:r>
    </w:p>
    <w:p w:rsidR="001F3B93" w:rsidRDefault="001F3B93" w:rsidP="001F3B93">
      <w:r w:rsidRPr="008B340B">
        <w:rPr>
          <w:b/>
        </w:rPr>
        <w:t>Predmet nabave</w:t>
      </w:r>
      <w:r w:rsidR="00C95F7B">
        <w:t>: Studija izvodljivosti s tehničkom dokumentacijom za obiteljski zabavni centar</w:t>
      </w:r>
    </w:p>
    <w:p w:rsidR="001F3B93" w:rsidRDefault="001F3B93" w:rsidP="001F3B93">
      <w:r w:rsidRPr="008B340B">
        <w:rPr>
          <w:b/>
        </w:rPr>
        <w:t>Datum početka prethodnog savjetovanja</w:t>
      </w:r>
      <w:r w:rsidR="00C95F7B">
        <w:t>: 14.12.2017.</w:t>
      </w:r>
    </w:p>
    <w:p w:rsidR="001F3B93" w:rsidRDefault="001F3B93" w:rsidP="001F3B93">
      <w:r w:rsidRPr="008B340B">
        <w:rPr>
          <w:b/>
        </w:rPr>
        <w:t>Datum završetka prethodnog savjetovanja</w:t>
      </w:r>
      <w:r w:rsidR="00C95F7B">
        <w:t>: 19.12.2017.</w:t>
      </w:r>
    </w:p>
    <w:p w:rsidR="00C95F7B" w:rsidRDefault="00C95F7B" w:rsidP="001F3B93"/>
    <w:p w:rsidR="00E82489" w:rsidRDefault="00C95F7B" w:rsidP="001F3B93">
      <w:r>
        <w:t>T</w:t>
      </w:r>
      <w:r w:rsidR="001F3B93">
        <w:t xml:space="preserve">ijekom savjetovanja naručitelj </w:t>
      </w:r>
      <w:r>
        <w:t xml:space="preserve">nije </w:t>
      </w:r>
      <w:r w:rsidR="001F3B93">
        <w:t xml:space="preserve">održao sastanak </w:t>
      </w:r>
      <w:r w:rsidRPr="00E82489">
        <w:t>sa zainteresiranim gospodarskim subjektima.</w:t>
      </w:r>
    </w:p>
    <w:p w:rsidR="008B340B" w:rsidRDefault="008B340B" w:rsidP="001F3B93"/>
    <w:p w:rsidR="001F3B93" w:rsidRDefault="00C95F7B" w:rsidP="001F3B93">
      <w:r>
        <w:t>Tijekom savjetovanja jedan gospodarski subjekt dostavio je kome</w:t>
      </w:r>
      <w:r w:rsidR="00E82489">
        <w:t>ntare na Dokumentaciju o nabavi:</w:t>
      </w:r>
      <w:r w:rsidR="001F3B93">
        <w:tab/>
      </w:r>
    </w:p>
    <w:tbl>
      <w:tblPr>
        <w:tblW w:w="0" w:type="auto"/>
        <w:tblCellMar>
          <w:left w:w="0" w:type="dxa"/>
          <w:right w:w="0" w:type="dxa"/>
        </w:tblCellMar>
        <w:tblLook w:val="04A0" w:firstRow="1" w:lastRow="0" w:firstColumn="1" w:lastColumn="0" w:noHBand="0" w:noVBand="1"/>
      </w:tblPr>
      <w:tblGrid>
        <w:gridCol w:w="3214"/>
        <w:gridCol w:w="3312"/>
        <w:gridCol w:w="2526"/>
      </w:tblGrid>
      <w:tr w:rsidR="006C0A20" w:rsidRPr="00C95F7B" w:rsidTr="006C0A20">
        <w:tc>
          <w:tcPr>
            <w:tcW w:w="3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0A20" w:rsidRPr="00D93C3E" w:rsidRDefault="006C0A20" w:rsidP="00C95F7B">
            <w:pPr>
              <w:spacing w:before="100" w:beforeAutospacing="1" w:after="100" w:afterAutospacing="1" w:line="240" w:lineRule="auto"/>
              <w:jc w:val="center"/>
              <w:rPr>
                <w:rFonts w:eastAsia="Times New Roman" w:cstheme="minorHAnsi"/>
                <w:szCs w:val="24"/>
                <w:lang w:eastAsia="hr-HR"/>
              </w:rPr>
            </w:pPr>
            <w:r w:rsidRPr="00D93C3E">
              <w:rPr>
                <w:rFonts w:eastAsia="Times New Roman" w:cstheme="minorHAnsi"/>
                <w:szCs w:val="24"/>
                <w:lang w:eastAsia="hr-HR"/>
              </w:rPr>
              <w:t>Referenca na Dokumentaciju o nabavi</w:t>
            </w:r>
          </w:p>
        </w:tc>
        <w:tc>
          <w:tcPr>
            <w:tcW w:w="3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A20" w:rsidRPr="00D93C3E" w:rsidRDefault="006C0A20" w:rsidP="00C95F7B">
            <w:pPr>
              <w:spacing w:before="100" w:beforeAutospacing="1" w:after="100" w:afterAutospacing="1" w:line="240" w:lineRule="auto"/>
              <w:jc w:val="center"/>
              <w:rPr>
                <w:rFonts w:eastAsia="Times New Roman" w:cstheme="minorHAnsi"/>
                <w:szCs w:val="24"/>
                <w:lang w:eastAsia="hr-HR"/>
              </w:rPr>
            </w:pPr>
            <w:r w:rsidRPr="00D93C3E">
              <w:rPr>
                <w:rFonts w:eastAsia="Times New Roman" w:cstheme="minorHAnsi"/>
                <w:szCs w:val="24"/>
                <w:lang w:eastAsia="hr-HR"/>
              </w:rPr>
              <w:t>Pitanje / komentar</w:t>
            </w:r>
          </w:p>
        </w:tc>
        <w:tc>
          <w:tcPr>
            <w:tcW w:w="2526" w:type="dxa"/>
            <w:tcBorders>
              <w:top w:val="single" w:sz="8" w:space="0" w:color="auto"/>
              <w:left w:val="nil"/>
              <w:bottom w:val="single" w:sz="8" w:space="0" w:color="auto"/>
              <w:right w:val="single" w:sz="8" w:space="0" w:color="auto"/>
            </w:tcBorders>
          </w:tcPr>
          <w:p w:rsidR="006C0A20" w:rsidRPr="00D93C3E" w:rsidRDefault="006C0A20" w:rsidP="00C95F7B">
            <w:pPr>
              <w:spacing w:before="100" w:beforeAutospacing="1" w:after="100" w:afterAutospacing="1" w:line="240" w:lineRule="auto"/>
              <w:jc w:val="center"/>
              <w:rPr>
                <w:rFonts w:eastAsia="Times New Roman" w:cstheme="minorHAnsi"/>
                <w:szCs w:val="24"/>
                <w:lang w:eastAsia="hr-HR"/>
              </w:rPr>
            </w:pPr>
            <w:r w:rsidRPr="00D93C3E">
              <w:rPr>
                <w:rFonts w:eastAsia="Times New Roman" w:cstheme="minorHAnsi"/>
                <w:szCs w:val="24"/>
                <w:lang w:eastAsia="hr-HR"/>
              </w:rPr>
              <w:t>Odgovor</w:t>
            </w:r>
          </w:p>
        </w:tc>
      </w:tr>
      <w:tr w:rsidR="006C0A20" w:rsidRPr="00C95F7B" w:rsidTr="006C0A20">
        <w:tc>
          <w:tcPr>
            <w:tcW w:w="3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4.1. Sposobnost za obavljanje profesionalne djelatnosti</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 xml:space="preserve">Gospodarski subjekt mora dokazati upis u sudski, obrtni, strukovni ili drugi odgovarajući registar u državi njegova poslovna </w:t>
            </w:r>
            <w:proofErr w:type="spellStart"/>
            <w:r w:rsidRPr="00D93C3E">
              <w:rPr>
                <w:rFonts w:eastAsia="Times New Roman" w:cstheme="minorHAnsi"/>
                <w:i/>
                <w:iCs/>
                <w:szCs w:val="24"/>
                <w:lang w:eastAsia="hr-HR"/>
              </w:rPr>
              <w:t>nastana</w:t>
            </w:r>
            <w:proofErr w:type="spellEnd"/>
            <w:r w:rsidRPr="00D93C3E">
              <w:rPr>
                <w:rFonts w:eastAsia="Times New Roman" w:cstheme="minorHAnsi"/>
                <w:i/>
                <w:iCs/>
                <w:szCs w:val="24"/>
                <w:lang w:eastAsia="hr-HR"/>
              </w:rPr>
              <w:t>.</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u w:val="single"/>
                <w:lang w:eastAsia="hr-HR"/>
              </w:rPr>
              <w:t>Komentar:</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Jedan od glavnih očekivanih rezultata projekta je izrada Elaborata o utjecaju Obiteljskog zabavnog centra na okoliš i klimu.</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Budući je Zakonom o zaštiti okoliša propisano da stručne poslove zaštite okoliša obavlja pravna osoba ovlaštena za stručne poslove zaštite okoliša,  mišljenja smo da je od zainteresiranih gospodarskih subjekata potrebno zatražiti posjedovanje potrebnih ovlaštenja koje izdaje Ministarstvo nadležno za zaštitu okoliša.</w:t>
            </w:r>
          </w:p>
        </w:tc>
        <w:tc>
          <w:tcPr>
            <w:tcW w:w="2526" w:type="dxa"/>
            <w:tcBorders>
              <w:top w:val="nil"/>
              <w:left w:val="nil"/>
              <w:bottom w:val="single" w:sz="8" w:space="0" w:color="auto"/>
              <w:right w:val="single" w:sz="8" w:space="0" w:color="auto"/>
            </w:tcBorders>
          </w:tcPr>
          <w:p w:rsidR="006C0A20" w:rsidRDefault="006C0A20" w:rsidP="00E82489">
            <w:pPr>
              <w:spacing w:before="100" w:beforeAutospacing="1" w:after="100" w:afterAutospacing="1" w:line="240" w:lineRule="auto"/>
              <w:rPr>
                <w:rFonts w:eastAsia="Times New Roman" w:cstheme="minorHAnsi"/>
                <w:iCs/>
                <w:szCs w:val="24"/>
                <w:lang w:eastAsia="hr-HR"/>
              </w:rPr>
            </w:pPr>
            <w:r w:rsidRPr="00D93C3E">
              <w:rPr>
                <w:rFonts w:eastAsia="Times New Roman" w:cstheme="minorHAnsi"/>
                <w:iCs/>
                <w:szCs w:val="24"/>
                <w:lang w:eastAsia="hr-HR"/>
              </w:rPr>
              <w:t xml:space="preserve"> </w:t>
            </w:r>
            <w:r w:rsidR="00E82489">
              <w:rPr>
                <w:rFonts w:eastAsia="Times New Roman" w:cstheme="minorHAnsi"/>
                <w:iCs/>
                <w:szCs w:val="24"/>
                <w:lang w:eastAsia="hr-HR"/>
              </w:rPr>
              <w:t>NE PRIHVAĆA SE</w:t>
            </w:r>
          </w:p>
          <w:p w:rsidR="00E82489" w:rsidRDefault="00E82489" w:rsidP="00E82489">
            <w:pPr>
              <w:spacing w:before="100" w:beforeAutospacing="1" w:after="100" w:afterAutospacing="1" w:line="240" w:lineRule="auto"/>
              <w:rPr>
                <w:rFonts w:eastAsia="Times New Roman" w:cstheme="minorHAnsi"/>
                <w:iCs/>
                <w:szCs w:val="24"/>
                <w:lang w:eastAsia="hr-HR"/>
              </w:rPr>
            </w:pPr>
            <w:r>
              <w:rPr>
                <w:rFonts w:eastAsia="Times New Roman" w:cstheme="minorHAnsi"/>
                <w:iCs/>
                <w:szCs w:val="24"/>
                <w:lang w:eastAsia="hr-HR"/>
              </w:rPr>
              <w:t>Referenca na navod iz Dokumentacije o nabavi koji se odnosi na sposobnost za obavljanje profesionalne djelatnosti te s time dostavljeni komentar nisu u direktnoj vezi s obzirom da se u poglavlju 4.1. navodi samo osnovna sposobnost za obavljanje profesionalne djelatnosti, a ne tehnička i stručna sposobnost.</w:t>
            </w:r>
          </w:p>
          <w:p w:rsidR="00E82489" w:rsidRPr="00D93C3E" w:rsidRDefault="00E82489" w:rsidP="00E82489">
            <w:pPr>
              <w:spacing w:before="100" w:beforeAutospacing="1" w:after="100" w:afterAutospacing="1" w:line="240" w:lineRule="auto"/>
              <w:rPr>
                <w:rFonts w:eastAsia="Times New Roman" w:cstheme="minorHAnsi"/>
                <w:iCs/>
                <w:szCs w:val="24"/>
                <w:lang w:eastAsia="hr-HR"/>
              </w:rPr>
            </w:pPr>
          </w:p>
        </w:tc>
      </w:tr>
      <w:tr w:rsidR="006C0A20" w:rsidRPr="00C95F7B" w:rsidTr="006C0A20">
        <w:tc>
          <w:tcPr>
            <w:tcW w:w="3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4.3. Popis glavnih usluga istih ili sličnih predmetu nabave</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 xml:space="preserve">Za definiciju usluga istih predmetu nabave, naručitelj uzima u obzir cjelinu koja se sastoji od: izrade </w:t>
            </w:r>
            <w:r w:rsidRPr="00D93C3E">
              <w:rPr>
                <w:rFonts w:eastAsia="Times New Roman" w:cstheme="minorHAnsi"/>
                <w:i/>
                <w:iCs/>
                <w:szCs w:val="24"/>
                <w:lang w:eastAsia="hr-HR"/>
              </w:rPr>
              <w:lastRenderedPageBreak/>
              <w:t>studije izvodljivosti, analize troškova i koristi te izrade preliminarnih tehničkih dokumenta  čime gospodarski subjekt dokazuje da ima potrebno iskustvo, znanje i sposobnost i da je, s obzirom na opseg, predmet i procijenjenu vrijednost nabave, sposoban kvalitetno obavljati usluge iz predmeta nabave.</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Za definiciju usluga sličnih predmetu nabave, naručitelj uzima u obzir cjelinu koja se sastoji od: izrade studije izvodljivosti, analize troškova i koristi te izrade preliminarnih tehničkih dokumenta  čime gospodarski subjekt dokazuje da ima potrebno iskustvo, znanje i sposobnost i da je, s obzirom na opseg, predmet i procijenjenu vrijednost nabave, sposoban kvalitetno obavljati usluge iz predmeta nabave.</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 </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u w:val="single"/>
                <w:lang w:eastAsia="hr-HR"/>
              </w:rPr>
              <w:t>Komentar:</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Iz navedenog u Dokumentaciji o nabavi proizlazi da naručitelj ne uzima u obzir iskustvo potrebno za izradu Elaborata o utjecaju Obiteljskog zabavnog centra na okoliš i klimu.</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Molimo pojašnjenje.</w:t>
            </w:r>
          </w:p>
        </w:tc>
        <w:tc>
          <w:tcPr>
            <w:tcW w:w="2526" w:type="dxa"/>
            <w:tcBorders>
              <w:top w:val="nil"/>
              <w:left w:val="nil"/>
              <w:bottom w:val="single" w:sz="8" w:space="0" w:color="auto"/>
              <w:right w:val="single" w:sz="8" w:space="0" w:color="auto"/>
            </w:tcBorders>
          </w:tcPr>
          <w:p w:rsidR="006C0A20" w:rsidRDefault="003149E5" w:rsidP="00C95F7B">
            <w:pPr>
              <w:spacing w:before="100" w:beforeAutospacing="1" w:after="100" w:afterAutospacing="1" w:line="240" w:lineRule="auto"/>
              <w:rPr>
                <w:rFonts w:eastAsia="Times New Roman" w:cstheme="minorHAnsi"/>
                <w:iCs/>
                <w:szCs w:val="24"/>
                <w:lang w:eastAsia="hr-HR"/>
              </w:rPr>
            </w:pPr>
            <w:r w:rsidRPr="003149E5">
              <w:rPr>
                <w:rFonts w:eastAsia="Times New Roman" w:cstheme="minorHAnsi"/>
                <w:iCs/>
                <w:szCs w:val="24"/>
                <w:lang w:eastAsia="hr-HR"/>
              </w:rPr>
              <w:lastRenderedPageBreak/>
              <w:t>NE PRIHVAĆA SE</w:t>
            </w:r>
          </w:p>
          <w:p w:rsidR="003149E5" w:rsidRPr="003149E5" w:rsidRDefault="003149E5" w:rsidP="003149E5">
            <w:r w:rsidRPr="003149E5">
              <w:rPr>
                <w:lang w:eastAsia="hr-HR"/>
              </w:rPr>
              <w:lastRenderedPageBreak/>
              <w:t>Ne traži se takvo iskustvo već znanje vezano na točno definiran  način utjecaja na okoliš.</w:t>
            </w:r>
          </w:p>
          <w:p w:rsidR="003149E5" w:rsidRPr="00D93C3E" w:rsidRDefault="003149E5" w:rsidP="00C95F7B">
            <w:pPr>
              <w:spacing w:before="100" w:beforeAutospacing="1" w:after="100" w:afterAutospacing="1" w:line="240" w:lineRule="auto"/>
              <w:rPr>
                <w:rFonts w:eastAsia="Times New Roman" w:cstheme="minorHAnsi"/>
                <w:iCs/>
                <w:szCs w:val="24"/>
                <w:lang w:eastAsia="hr-HR"/>
              </w:rPr>
            </w:pPr>
            <w:bookmarkStart w:id="0" w:name="_GoBack"/>
            <w:bookmarkEnd w:id="0"/>
          </w:p>
        </w:tc>
      </w:tr>
      <w:tr w:rsidR="006C0A20" w:rsidRPr="00C95F7B" w:rsidTr="006C0A20">
        <w:tc>
          <w:tcPr>
            <w:tcW w:w="3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6.8.2. Dodatni kriteriji koje nominirani ključni stručnjaci mogu zadovoljiti</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Stručnjak 1:</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Broj projekata koji obuhvaćaju izradu studije izvodljivosti ili analize troškova i koristi ili tehničku dokumentaciju u kojima je Stručnjak 1 bio u ulozi ključnog stručnjaka ili voditelja tima ključnih stručnjaka. U obzir se uzimaju samo projekti u kojima je investicija ušla najmanje u fazu izgradnje i opremanja</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lastRenderedPageBreak/>
              <w:t> </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 xml:space="preserve">Broj izrađenih studija izvodljivosti ili analiza troškova i koristi sukladno smjernicama Europske Komisije </w:t>
            </w:r>
            <w:proofErr w:type="spellStart"/>
            <w:r w:rsidRPr="00D93C3E">
              <w:rPr>
                <w:rFonts w:eastAsia="Times New Roman" w:cstheme="minorHAnsi"/>
                <w:i/>
                <w:iCs/>
                <w:szCs w:val="24"/>
                <w:lang w:eastAsia="hr-HR"/>
              </w:rPr>
              <w:t>Guide</w:t>
            </w:r>
            <w:proofErr w:type="spellEnd"/>
            <w:r w:rsidRPr="00D93C3E">
              <w:rPr>
                <w:rFonts w:eastAsia="Times New Roman" w:cstheme="minorHAnsi"/>
                <w:i/>
                <w:iCs/>
                <w:szCs w:val="24"/>
                <w:lang w:eastAsia="hr-HR"/>
              </w:rPr>
              <w:t xml:space="preserve"> to </w:t>
            </w:r>
            <w:proofErr w:type="spellStart"/>
            <w:r w:rsidRPr="00D93C3E">
              <w:rPr>
                <w:rFonts w:eastAsia="Times New Roman" w:cstheme="minorHAnsi"/>
                <w:i/>
                <w:iCs/>
                <w:szCs w:val="24"/>
                <w:lang w:eastAsia="hr-HR"/>
              </w:rPr>
              <w:t>Cost-Benefit</w:t>
            </w:r>
            <w:proofErr w:type="spellEnd"/>
            <w:r w:rsidRPr="00D93C3E">
              <w:rPr>
                <w:rFonts w:eastAsia="Times New Roman" w:cstheme="minorHAnsi"/>
                <w:i/>
                <w:iCs/>
                <w:szCs w:val="24"/>
                <w:lang w:eastAsia="hr-HR"/>
              </w:rPr>
              <w:t xml:space="preserve"> </w:t>
            </w:r>
            <w:proofErr w:type="spellStart"/>
            <w:r w:rsidRPr="00D93C3E">
              <w:rPr>
                <w:rFonts w:eastAsia="Times New Roman" w:cstheme="minorHAnsi"/>
                <w:i/>
                <w:iCs/>
                <w:szCs w:val="24"/>
                <w:lang w:eastAsia="hr-HR"/>
              </w:rPr>
              <w:t>Analysis</w:t>
            </w:r>
            <w:proofErr w:type="spellEnd"/>
            <w:r w:rsidRPr="00D93C3E">
              <w:rPr>
                <w:rFonts w:eastAsia="Times New Roman" w:cstheme="minorHAnsi"/>
                <w:i/>
                <w:iCs/>
                <w:szCs w:val="24"/>
                <w:lang w:eastAsia="hr-HR"/>
              </w:rPr>
              <w:t xml:space="preserve"> </w:t>
            </w:r>
            <w:proofErr w:type="spellStart"/>
            <w:r w:rsidRPr="00D93C3E">
              <w:rPr>
                <w:rFonts w:eastAsia="Times New Roman" w:cstheme="minorHAnsi"/>
                <w:i/>
                <w:iCs/>
                <w:szCs w:val="24"/>
                <w:lang w:eastAsia="hr-HR"/>
              </w:rPr>
              <w:t>of</w:t>
            </w:r>
            <w:proofErr w:type="spellEnd"/>
            <w:r w:rsidRPr="00D93C3E">
              <w:rPr>
                <w:rFonts w:eastAsia="Times New Roman" w:cstheme="minorHAnsi"/>
                <w:i/>
                <w:iCs/>
                <w:szCs w:val="24"/>
                <w:lang w:eastAsia="hr-HR"/>
              </w:rPr>
              <w:t xml:space="preserve"> </w:t>
            </w:r>
            <w:proofErr w:type="spellStart"/>
            <w:r w:rsidRPr="00D93C3E">
              <w:rPr>
                <w:rFonts w:eastAsia="Times New Roman" w:cstheme="minorHAnsi"/>
                <w:i/>
                <w:iCs/>
                <w:szCs w:val="24"/>
                <w:lang w:eastAsia="hr-HR"/>
              </w:rPr>
              <w:t>Investment</w:t>
            </w:r>
            <w:proofErr w:type="spellEnd"/>
            <w:r w:rsidRPr="00D93C3E">
              <w:rPr>
                <w:rFonts w:eastAsia="Times New Roman" w:cstheme="minorHAnsi"/>
                <w:i/>
                <w:iCs/>
                <w:szCs w:val="24"/>
                <w:lang w:eastAsia="hr-HR"/>
              </w:rPr>
              <w:t xml:space="preserve"> </w:t>
            </w:r>
            <w:proofErr w:type="spellStart"/>
            <w:r w:rsidRPr="00D93C3E">
              <w:rPr>
                <w:rFonts w:eastAsia="Times New Roman" w:cstheme="minorHAnsi"/>
                <w:i/>
                <w:iCs/>
                <w:szCs w:val="24"/>
                <w:lang w:eastAsia="hr-HR"/>
              </w:rPr>
              <w:t>Projects</w:t>
            </w:r>
            <w:proofErr w:type="spellEnd"/>
            <w:r w:rsidRPr="00D93C3E">
              <w:rPr>
                <w:rFonts w:eastAsia="Times New Roman" w:cstheme="minorHAnsi"/>
                <w:i/>
                <w:iCs/>
                <w:szCs w:val="24"/>
                <w:lang w:eastAsia="hr-HR"/>
              </w:rPr>
              <w:t xml:space="preserve">: </w:t>
            </w:r>
            <w:proofErr w:type="spellStart"/>
            <w:r w:rsidRPr="00D93C3E">
              <w:rPr>
                <w:rFonts w:eastAsia="Times New Roman" w:cstheme="minorHAnsi"/>
                <w:i/>
                <w:iCs/>
                <w:szCs w:val="24"/>
                <w:lang w:eastAsia="hr-HR"/>
              </w:rPr>
              <w:t>Economic</w:t>
            </w:r>
            <w:proofErr w:type="spellEnd"/>
            <w:r w:rsidRPr="00D93C3E">
              <w:rPr>
                <w:rFonts w:eastAsia="Times New Roman" w:cstheme="minorHAnsi"/>
                <w:i/>
                <w:iCs/>
                <w:szCs w:val="24"/>
                <w:lang w:eastAsia="hr-HR"/>
              </w:rPr>
              <w:t xml:space="preserve"> </w:t>
            </w:r>
            <w:proofErr w:type="spellStart"/>
            <w:r w:rsidRPr="00D93C3E">
              <w:rPr>
                <w:rFonts w:eastAsia="Times New Roman" w:cstheme="minorHAnsi"/>
                <w:i/>
                <w:iCs/>
                <w:szCs w:val="24"/>
                <w:lang w:eastAsia="hr-HR"/>
              </w:rPr>
              <w:t>appraisal</w:t>
            </w:r>
            <w:proofErr w:type="spellEnd"/>
            <w:r w:rsidRPr="00D93C3E">
              <w:rPr>
                <w:rFonts w:eastAsia="Times New Roman" w:cstheme="minorHAnsi"/>
                <w:i/>
                <w:iCs/>
                <w:szCs w:val="24"/>
                <w:lang w:eastAsia="hr-HR"/>
              </w:rPr>
              <w:t xml:space="preserve"> </w:t>
            </w:r>
            <w:proofErr w:type="spellStart"/>
            <w:r w:rsidRPr="00D93C3E">
              <w:rPr>
                <w:rFonts w:eastAsia="Times New Roman" w:cstheme="minorHAnsi"/>
                <w:i/>
                <w:iCs/>
                <w:szCs w:val="24"/>
                <w:lang w:eastAsia="hr-HR"/>
              </w:rPr>
              <w:t>tool</w:t>
            </w:r>
            <w:proofErr w:type="spellEnd"/>
            <w:r w:rsidRPr="00D93C3E">
              <w:rPr>
                <w:rFonts w:eastAsia="Times New Roman" w:cstheme="minorHAnsi"/>
                <w:i/>
                <w:iCs/>
                <w:szCs w:val="24"/>
                <w:lang w:eastAsia="hr-HR"/>
              </w:rPr>
              <w:t xml:space="preserve"> for </w:t>
            </w:r>
            <w:proofErr w:type="spellStart"/>
            <w:r w:rsidRPr="00D93C3E">
              <w:rPr>
                <w:rFonts w:eastAsia="Times New Roman" w:cstheme="minorHAnsi"/>
                <w:i/>
                <w:iCs/>
                <w:szCs w:val="24"/>
                <w:lang w:eastAsia="hr-HR"/>
              </w:rPr>
              <w:t>Cohesion</w:t>
            </w:r>
            <w:proofErr w:type="spellEnd"/>
            <w:r w:rsidRPr="00D93C3E">
              <w:rPr>
                <w:rFonts w:eastAsia="Times New Roman" w:cstheme="minorHAnsi"/>
                <w:i/>
                <w:iCs/>
                <w:szCs w:val="24"/>
                <w:lang w:eastAsia="hr-HR"/>
              </w:rPr>
              <w:t xml:space="preserve"> </w:t>
            </w:r>
            <w:proofErr w:type="spellStart"/>
            <w:r w:rsidRPr="00D93C3E">
              <w:rPr>
                <w:rFonts w:eastAsia="Times New Roman" w:cstheme="minorHAnsi"/>
                <w:i/>
                <w:iCs/>
                <w:szCs w:val="24"/>
                <w:lang w:eastAsia="hr-HR"/>
              </w:rPr>
              <w:t>Policy</w:t>
            </w:r>
            <w:proofErr w:type="spellEnd"/>
            <w:r w:rsidRPr="00D93C3E">
              <w:rPr>
                <w:rFonts w:eastAsia="Times New Roman" w:cstheme="minorHAnsi"/>
                <w:i/>
                <w:iCs/>
                <w:szCs w:val="24"/>
                <w:lang w:eastAsia="hr-HR"/>
              </w:rPr>
              <w:t xml:space="preserve"> ili prijava investicijskih projekata na pozive za dodjelu europske financijske pomoći, u ulozi ključnog stručnjaka ili voditelja izrade studije, analize ili prijave, kao podloge za potencijalno sufinanciranje europskom ili međunarodnom financijskom pomoći. U obzir se uzimaju samo projekti u kojima je investicija ušla najmanje u fazu izgradnje i opremanja.</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 </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u w:val="single"/>
                <w:lang w:eastAsia="hr-HR"/>
              </w:rPr>
              <w:t>Komentar:</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U Dokumentaciji o nabavi su navedeni različiti opisi kriterija koji se boduju za Stručnjaka 1.</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Molimo u Dokumentaciji o nabavi dati jednoznačan opis kriterija za Stručnjaka 1.</w:t>
            </w:r>
          </w:p>
        </w:tc>
        <w:tc>
          <w:tcPr>
            <w:tcW w:w="2526" w:type="dxa"/>
            <w:tcBorders>
              <w:top w:val="nil"/>
              <w:left w:val="nil"/>
              <w:bottom w:val="single" w:sz="8" w:space="0" w:color="auto"/>
              <w:right w:val="single" w:sz="8" w:space="0" w:color="auto"/>
            </w:tcBorders>
          </w:tcPr>
          <w:p w:rsidR="00B45AD1" w:rsidRDefault="00B45AD1" w:rsidP="00C95F7B">
            <w:pPr>
              <w:spacing w:before="100" w:beforeAutospacing="1" w:after="100" w:afterAutospacing="1" w:line="240" w:lineRule="auto"/>
              <w:rPr>
                <w:rFonts w:eastAsia="Times New Roman" w:cstheme="minorHAnsi"/>
                <w:iCs/>
                <w:szCs w:val="24"/>
                <w:lang w:eastAsia="hr-HR"/>
              </w:rPr>
            </w:pPr>
            <w:r>
              <w:rPr>
                <w:rFonts w:eastAsia="Times New Roman" w:cstheme="minorHAnsi"/>
                <w:iCs/>
                <w:szCs w:val="24"/>
                <w:lang w:eastAsia="hr-HR"/>
              </w:rPr>
              <w:lastRenderedPageBreak/>
              <w:t>PRIHVAĆA SE</w:t>
            </w:r>
          </w:p>
          <w:p w:rsidR="00D93C3E" w:rsidRPr="00D93C3E" w:rsidRDefault="00D93C3E" w:rsidP="00C95F7B">
            <w:pPr>
              <w:spacing w:before="100" w:beforeAutospacing="1" w:after="100" w:afterAutospacing="1" w:line="240" w:lineRule="auto"/>
              <w:rPr>
                <w:rFonts w:eastAsia="Times New Roman" w:cstheme="minorHAnsi"/>
                <w:iCs/>
                <w:szCs w:val="24"/>
                <w:lang w:eastAsia="hr-HR"/>
              </w:rPr>
            </w:pPr>
            <w:r w:rsidRPr="00D93C3E">
              <w:rPr>
                <w:rFonts w:eastAsia="Times New Roman" w:cstheme="minorHAnsi"/>
                <w:iCs/>
                <w:szCs w:val="24"/>
                <w:lang w:eastAsia="hr-HR"/>
              </w:rPr>
              <w:t xml:space="preserve">Ispravan je sljedeći opis: </w:t>
            </w:r>
          </w:p>
          <w:p w:rsidR="00D93C3E" w:rsidRPr="00D93C3E" w:rsidRDefault="00D93C3E" w:rsidP="00D93C3E">
            <w:pPr>
              <w:spacing w:before="100" w:beforeAutospacing="1" w:after="100" w:afterAutospacing="1" w:line="240" w:lineRule="auto"/>
              <w:rPr>
                <w:rFonts w:eastAsia="Times New Roman" w:cstheme="minorHAnsi"/>
                <w:szCs w:val="24"/>
                <w:lang w:eastAsia="hr-HR"/>
              </w:rPr>
            </w:pPr>
            <w:r w:rsidRPr="00D93C3E">
              <w:rPr>
                <w:rFonts w:eastAsia="Times New Roman" w:cstheme="minorHAnsi"/>
                <w:iCs/>
                <w:szCs w:val="24"/>
                <w:lang w:eastAsia="hr-HR"/>
              </w:rPr>
              <w:t xml:space="preserve">Broj projekata koji obuhvaćaju izradu studije izvodljivosti ili analize troškova i koristi ili tehničku dokumentaciju u kojima je Stručnjak 1 bio u ulozi ključnog stručnjaka ili voditelja tima ključnih stručnjaka. U obzir se </w:t>
            </w:r>
            <w:r w:rsidRPr="00D93C3E">
              <w:rPr>
                <w:rFonts w:eastAsia="Times New Roman" w:cstheme="minorHAnsi"/>
                <w:iCs/>
                <w:szCs w:val="24"/>
                <w:lang w:eastAsia="hr-HR"/>
              </w:rPr>
              <w:lastRenderedPageBreak/>
              <w:t>uzimaju samo projekti u kojima je investicija ušla najmanje u fazu izgradnje i opremanja</w:t>
            </w:r>
          </w:p>
          <w:p w:rsidR="00D93C3E" w:rsidRPr="00D93C3E" w:rsidRDefault="00D93C3E" w:rsidP="00C95F7B">
            <w:pPr>
              <w:spacing w:before="100" w:beforeAutospacing="1" w:after="100" w:afterAutospacing="1" w:line="240" w:lineRule="auto"/>
              <w:rPr>
                <w:rFonts w:eastAsia="Times New Roman" w:cstheme="minorHAnsi"/>
                <w:iCs/>
                <w:szCs w:val="24"/>
                <w:lang w:eastAsia="hr-HR"/>
              </w:rPr>
            </w:pPr>
          </w:p>
        </w:tc>
      </w:tr>
      <w:tr w:rsidR="006C0A20" w:rsidRPr="00C95F7B" w:rsidTr="006C0A20">
        <w:tc>
          <w:tcPr>
            <w:tcW w:w="3214" w:type="dxa"/>
            <w:tcBorders>
              <w:top w:val="nil"/>
              <w:left w:val="single" w:sz="8" w:space="0" w:color="auto"/>
              <w:bottom w:val="nil"/>
              <w:right w:val="single" w:sz="8" w:space="0" w:color="auto"/>
            </w:tcBorders>
            <w:tcMar>
              <w:top w:w="0" w:type="dxa"/>
              <w:left w:w="108" w:type="dxa"/>
              <w:bottom w:w="0" w:type="dxa"/>
              <w:right w:w="108" w:type="dxa"/>
            </w:tcMar>
            <w:hideMark/>
          </w:tcPr>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lastRenderedPageBreak/>
              <w:t>6.8.1. Osnovni kriteriji koje nominirani ključni stručnjaci moraju zadovoljiti</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 </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 </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 </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 </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 </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 </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 </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lastRenderedPageBreak/>
              <w:t> </w:t>
            </w:r>
          </w:p>
        </w:tc>
        <w:tc>
          <w:tcPr>
            <w:tcW w:w="3312" w:type="dxa"/>
            <w:tcBorders>
              <w:top w:val="nil"/>
              <w:left w:val="nil"/>
              <w:bottom w:val="nil"/>
              <w:right w:val="single" w:sz="8" w:space="0" w:color="auto"/>
            </w:tcBorders>
            <w:tcMar>
              <w:top w:w="0" w:type="dxa"/>
              <w:left w:w="108" w:type="dxa"/>
              <w:bottom w:w="0" w:type="dxa"/>
              <w:right w:w="108" w:type="dxa"/>
            </w:tcMar>
            <w:hideMark/>
          </w:tcPr>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lastRenderedPageBreak/>
              <w:t>Stručnjak 1:</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 xml:space="preserve">Ukupno radno iskustvo: najmanje </w:t>
            </w:r>
            <w:r w:rsidRPr="00D93C3E">
              <w:rPr>
                <w:rFonts w:eastAsia="Times New Roman" w:cstheme="minorHAnsi"/>
                <w:i/>
                <w:iCs/>
                <w:szCs w:val="24"/>
                <w:u w:val="single"/>
                <w:lang w:eastAsia="hr-HR"/>
              </w:rPr>
              <w:t>10 (deset)</w:t>
            </w:r>
            <w:r w:rsidRPr="00D93C3E">
              <w:rPr>
                <w:rFonts w:eastAsia="Times New Roman" w:cstheme="minorHAnsi"/>
                <w:i/>
                <w:iCs/>
                <w:szCs w:val="24"/>
                <w:lang w:eastAsia="hr-HR"/>
              </w:rPr>
              <w:t xml:space="preserve"> godina</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Stručnjak 2:</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 xml:space="preserve">Ukupno radno iskustvo: najmanje </w:t>
            </w:r>
            <w:r w:rsidRPr="00D93C3E">
              <w:rPr>
                <w:rFonts w:eastAsia="Times New Roman" w:cstheme="minorHAnsi"/>
                <w:i/>
                <w:iCs/>
                <w:szCs w:val="24"/>
                <w:u w:val="single"/>
                <w:lang w:eastAsia="hr-HR"/>
              </w:rPr>
              <w:t>10 (deset)</w:t>
            </w:r>
            <w:r w:rsidRPr="00D93C3E">
              <w:rPr>
                <w:rFonts w:eastAsia="Times New Roman" w:cstheme="minorHAnsi"/>
                <w:i/>
                <w:iCs/>
                <w:szCs w:val="24"/>
                <w:lang w:eastAsia="hr-HR"/>
              </w:rPr>
              <w:t xml:space="preserve"> godina</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Stručnjak 3:</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 xml:space="preserve">Ukupno radno iskustvo: najmanje </w:t>
            </w:r>
            <w:r w:rsidRPr="00D93C3E">
              <w:rPr>
                <w:rFonts w:eastAsia="Times New Roman" w:cstheme="minorHAnsi"/>
                <w:i/>
                <w:iCs/>
                <w:szCs w:val="24"/>
                <w:u w:val="single"/>
                <w:lang w:eastAsia="hr-HR"/>
              </w:rPr>
              <w:t>5 (pet)</w:t>
            </w:r>
            <w:r w:rsidRPr="00D93C3E">
              <w:rPr>
                <w:rFonts w:eastAsia="Times New Roman" w:cstheme="minorHAnsi"/>
                <w:i/>
                <w:iCs/>
                <w:szCs w:val="24"/>
                <w:lang w:eastAsia="hr-HR"/>
              </w:rPr>
              <w:t xml:space="preserve"> godina</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Stručnjak 2:</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lastRenderedPageBreak/>
              <w:t xml:space="preserve">Ukupno radno iskustvo: najmanje </w:t>
            </w:r>
            <w:r w:rsidRPr="00D93C3E">
              <w:rPr>
                <w:rFonts w:eastAsia="Times New Roman" w:cstheme="minorHAnsi"/>
                <w:i/>
                <w:iCs/>
                <w:szCs w:val="24"/>
                <w:u w:val="single"/>
                <w:lang w:eastAsia="hr-HR"/>
              </w:rPr>
              <w:t>5 (pet)</w:t>
            </w:r>
            <w:r w:rsidRPr="00D93C3E">
              <w:rPr>
                <w:rFonts w:eastAsia="Times New Roman" w:cstheme="minorHAnsi"/>
                <w:i/>
                <w:iCs/>
                <w:szCs w:val="24"/>
                <w:lang w:eastAsia="hr-HR"/>
              </w:rPr>
              <w:t xml:space="preserve"> godina</w:t>
            </w:r>
          </w:p>
        </w:tc>
        <w:tc>
          <w:tcPr>
            <w:tcW w:w="2526" w:type="dxa"/>
            <w:tcBorders>
              <w:top w:val="nil"/>
              <w:left w:val="nil"/>
              <w:bottom w:val="nil"/>
              <w:right w:val="single" w:sz="8" w:space="0" w:color="auto"/>
            </w:tcBorders>
          </w:tcPr>
          <w:p w:rsidR="00B45AD1" w:rsidRDefault="00B45AD1" w:rsidP="00C95F7B">
            <w:pPr>
              <w:spacing w:before="100" w:beforeAutospacing="1" w:after="100" w:afterAutospacing="1" w:line="240" w:lineRule="auto"/>
              <w:rPr>
                <w:rFonts w:eastAsia="Times New Roman" w:cstheme="minorHAnsi"/>
                <w:iCs/>
                <w:szCs w:val="24"/>
                <w:lang w:eastAsia="hr-HR"/>
              </w:rPr>
            </w:pPr>
            <w:r>
              <w:rPr>
                <w:rFonts w:eastAsia="Times New Roman" w:cstheme="minorHAnsi"/>
                <w:iCs/>
                <w:szCs w:val="24"/>
                <w:lang w:eastAsia="hr-HR"/>
              </w:rPr>
              <w:lastRenderedPageBreak/>
              <w:t>DJELOMIČNO SE PRIHVAĆA</w:t>
            </w:r>
          </w:p>
          <w:p w:rsidR="00D93C3E" w:rsidRPr="00D93C3E" w:rsidRDefault="00F0337D" w:rsidP="00C95F7B">
            <w:pPr>
              <w:spacing w:before="100" w:beforeAutospacing="1" w:after="100" w:afterAutospacing="1" w:line="240" w:lineRule="auto"/>
              <w:rPr>
                <w:rFonts w:eastAsia="Times New Roman" w:cstheme="minorHAnsi"/>
                <w:iCs/>
                <w:szCs w:val="24"/>
                <w:lang w:eastAsia="hr-HR"/>
              </w:rPr>
            </w:pPr>
            <w:r w:rsidRPr="00D93C3E">
              <w:rPr>
                <w:rFonts w:eastAsia="Times New Roman" w:cstheme="minorHAnsi"/>
                <w:iCs/>
                <w:szCs w:val="24"/>
                <w:lang w:eastAsia="hr-HR"/>
              </w:rPr>
              <w:t>Z</w:t>
            </w:r>
            <w:r w:rsidR="00D93C3E" w:rsidRPr="00D93C3E">
              <w:rPr>
                <w:rFonts w:eastAsia="Times New Roman" w:cstheme="minorHAnsi"/>
                <w:iCs/>
                <w:szCs w:val="24"/>
                <w:lang w:eastAsia="hr-HR"/>
              </w:rPr>
              <w:t xml:space="preserve">a kriterij S4.2. omaškom je navedena riječ „deseti“. Ispravno je „četiri“ (4) godine što s godinom u kojoj je započeo postupak javne nabave zbrojeno čini 5 (pet) godina, a što je jednako ukupnom radnom iskustvu traženom za stručnjaka 4. </w:t>
            </w:r>
          </w:p>
          <w:p w:rsidR="00D93C3E" w:rsidRPr="00D93C3E" w:rsidRDefault="00D93C3E" w:rsidP="00C95F7B">
            <w:pPr>
              <w:spacing w:before="100" w:beforeAutospacing="1" w:after="100" w:afterAutospacing="1" w:line="240" w:lineRule="auto"/>
              <w:rPr>
                <w:rFonts w:eastAsia="Times New Roman" w:cstheme="minorHAnsi"/>
                <w:iCs/>
                <w:szCs w:val="24"/>
                <w:lang w:eastAsia="hr-HR"/>
              </w:rPr>
            </w:pPr>
          </w:p>
          <w:p w:rsidR="00D93C3E" w:rsidRPr="00D93C3E" w:rsidRDefault="00D93C3E" w:rsidP="00D93C3E">
            <w:pPr>
              <w:spacing w:before="100" w:beforeAutospacing="1" w:after="100" w:afterAutospacing="1" w:line="240" w:lineRule="auto"/>
              <w:rPr>
                <w:rFonts w:eastAsia="Times New Roman" w:cstheme="minorHAnsi"/>
                <w:iCs/>
                <w:szCs w:val="24"/>
                <w:lang w:eastAsia="hr-HR"/>
              </w:rPr>
            </w:pPr>
            <w:r w:rsidRPr="00D93C3E">
              <w:rPr>
                <w:rFonts w:eastAsia="Times New Roman" w:cstheme="minorHAnsi"/>
                <w:iCs/>
                <w:szCs w:val="24"/>
                <w:lang w:eastAsia="hr-HR"/>
              </w:rPr>
              <w:t xml:space="preserve">U svrhu dokazivanja iskustva ključnih stručnjaka, prema prethodno </w:t>
            </w:r>
            <w:r w:rsidRPr="00D93C3E">
              <w:rPr>
                <w:rFonts w:eastAsia="Times New Roman" w:cstheme="minorHAnsi"/>
                <w:iCs/>
                <w:szCs w:val="24"/>
                <w:lang w:eastAsia="hr-HR"/>
              </w:rPr>
              <w:lastRenderedPageBreak/>
              <w:t xml:space="preserve">postavljenim kriterijima, ponuditelj je dužan ponudi priložiti dokazne isprave za svaki od kriterija na način da dokaže relevantno iskustvo u razdoblju od godine u kojoj je započeo postupak javne nabave i tijekom </w:t>
            </w:r>
            <w:r w:rsidRPr="00D93C3E">
              <w:rPr>
                <w:rFonts w:eastAsia="Times New Roman" w:cstheme="minorHAnsi"/>
                <w:iCs/>
                <w:szCs w:val="24"/>
                <w:u w:val="single"/>
                <w:lang w:eastAsia="hr-HR"/>
              </w:rPr>
              <w:t xml:space="preserve">X </w:t>
            </w:r>
            <w:r w:rsidR="008B340B" w:rsidRPr="008B340B">
              <w:rPr>
                <w:rFonts w:eastAsia="Times New Roman" w:cstheme="minorHAnsi"/>
                <w:iCs/>
                <w:szCs w:val="24"/>
                <w:lang w:eastAsia="hr-HR"/>
              </w:rPr>
              <w:t xml:space="preserve"> </w:t>
            </w:r>
            <w:r w:rsidRPr="00D93C3E">
              <w:rPr>
                <w:rFonts w:eastAsia="Times New Roman" w:cstheme="minorHAnsi"/>
                <w:iCs/>
                <w:szCs w:val="24"/>
                <w:lang w:eastAsia="hr-HR"/>
              </w:rPr>
              <w:t>godina što zbrojeno (godina u kojoj je započeo postupak javne nabave (1) s definiranim brojem godina za svaki kriterij) čini jednak broj godina traženog radnog iskustva za pojedinog stručnjaka.</w:t>
            </w:r>
          </w:p>
          <w:p w:rsidR="00D93C3E" w:rsidRPr="00D93C3E" w:rsidRDefault="00D93C3E" w:rsidP="00C95F7B">
            <w:pPr>
              <w:spacing w:before="100" w:beforeAutospacing="1" w:after="100" w:afterAutospacing="1" w:line="240" w:lineRule="auto"/>
              <w:rPr>
                <w:rFonts w:eastAsia="Times New Roman" w:cstheme="minorHAnsi"/>
                <w:iCs/>
                <w:szCs w:val="24"/>
                <w:lang w:eastAsia="hr-HR"/>
              </w:rPr>
            </w:pPr>
          </w:p>
        </w:tc>
      </w:tr>
      <w:tr w:rsidR="006C0A20" w:rsidRPr="00C95F7B" w:rsidTr="006C0A20">
        <w:tc>
          <w:tcPr>
            <w:tcW w:w="3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lastRenderedPageBreak/>
              <w:t> </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6.8.2. Dodatni kriteriji koje nominirani ključni stručnjaci mogu zadovoljiti</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 </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U svrhu dokazivanja iskustva ključnih stručnjaka, prema prethodno postavljenim kriterijima, ponuditelj je dužan ponudi priložiti dokazne isprave:</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 xml:space="preserve">•             za kriterij S1.1 – osobne reference stručnjaka u obliku izjava odgovornih osoba koje su angažirale stručnjaka 1 u razdoblju od godine u kojoj je započeo postupak javne nabave i tijekom </w:t>
            </w:r>
            <w:r w:rsidRPr="00D93C3E">
              <w:rPr>
                <w:rFonts w:eastAsia="Times New Roman" w:cstheme="minorHAnsi"/>
                <w:i/>
                <w:iCs/>
                <w:szCs w:val="24"/>
                <w:u w:val="single"/>
                <w:lang w:eastAsia="hr-HR"/>
              </w:rPr>
              <w:t xml:space="preserve">devet </w:t>
            </w:r>
            <w:r w:rsidRPr="00D93C3E">
              <w:rPr>
                <w:rFonts w:eastAsia="Times New Roman" w:cstheme="minorHAnsi"/>
                <w:i/>
                <w:iCs/>
                <w:szCs w:val="24"/>
                <w:lang w:eastAsia="hr-HR"/>
              </w:rPr>
              <w:t xml:space="preserve">godina </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 xml:space="preserve">•             za kriterij S2.1 – osobne reference stručnjaka u obliku izjava odgovornih osoba koje su angažirale stručnjaka 2 u razdoblju od godine u kojoj je započeo postupak javne nabave i tijekom </w:t>
            </w:r>
            <w:r w:rsidRPr="00D93C3E">
              <w:rPr>
                <w:rFonts w:eastAsia="Times New Roman" w:cstheme="minorHAnsi"/>
                <w:i/>
                <w:iCs/>
                <w:szCs w:val="24"/>
                <w:u w:val="single"/>
                <w:lang w:eastAsia="hr-HR"/>
              </w:rPr>
              <w:t>devet</w:t>
            </w:r>
            <w:r w:rsidRPr="00D93C3E">
              <w:rPr>
                <w:rFonts w:eastAsia="Times New Roman" w:cstheme="minorHAnsi"/>
                <w:i/>
                <w:iCs/>
                <w:szCs w:val="24"/>
                <w:lang w:eastAsia="hr-HR"/>
              </w:rPr>
              <w:t>  godina</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 xml:space="preserve">•             za kriterij S3.1 – osobne reference stručnjaka u obliku izjava odgovornih osoba koje su angažirale stručnjaka 3 u razdoblju od godine u kojoj je započeo postupak javne nabave i tijekom </w:t>
            </w:r>
            <w:r w:rsidRPr="00D93C3E">
              <w:rPr>
                <w:rFonts w:eastAsia="Times New Roman" w:cstheme="minorHAnsi"/>
                <w:i/>
                <w:iCs/>
                <w:szCs w:val="24"/>
                <w:u w:val="single"/>
                <w:lang w:eastAsia="hr-HR"/>
              </w:rPr>
              <w:t>četiri</w:t>
            </w:r>
            <w:r w:rsidRPr="00D93C3E">
              <w:rPr>
                <w:rFonts w:eastAsia="Times New Roman" w:cstheme="minorHAnsi"/>
                <w:i/>
                <w:iCs/>
                <w:szCs w:val="24"/>
                <w:lang w:eastAsia="hr-HR"/>
              </w:rPr>
              <w:t xml:space="preserve"> godina</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lastRenderedPageBreak/>
              <w:t xml:space="preserve">•             za kriterij S4.1 – osobne reference stručnjaka u obliku izjava odgovornih osoba koje su angažirale stručnjaka 4 u razdoblju od godine u kojoj je započeo postupak javne nabave i tijekom </w:t>
            </w:r>
            <w:r w:rsidRPr="00D93C3E">
              <w:rPr>
                <w:rFonts w:eastAsia="Times New Roman" w:cstheme="minorHAnsi"/>
                <w:i/>
                <w:iCs/>
                <w:szCs w:val="24"/>
                <w:u w:val="single"/>
                <w:lang w:eastAsia="hr-HR"/>
              </w:rPr>
              <w:t>četiri</w:t>
            </w:r>
            <w:r w:rsidRPr="00D93C3E">
              <w:rPr>
                <w:rFonts w:eastAsia="Times New Roman" w:cstheme="minorHAnsi"/>
                <w:i/>
                <w:iCs/>
                <w:szCs w:val="24"/>
                <w:lang w:eastAsia="hr-HR"/>
              </w:rPr>
              <w:t xml:space="preserve"> godine</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i/>
                <w:iCs/>
                <w:szCs w:val="24"/>
                <w:lang w:eastAsia="hr-HR"/>
              </w:rPr>
              <w:t xml:space="preserve">•             za kriterij S4.2 – osobne reference stručnjaka u obliku izjava odgovornih osoba koje su angažirale stručnjaka 4 u razdoblju od godine u kojoj je započeo postupak javne nabave i tijekom </w:t>
            </w:r>
            <w:r w:rsidRPr="00D93C3E">
              <w:rPr>
                <w:rFonts w:eastAsia="Times New Roman" w:cstheme="minorHAnsi"/>
                <w:i/>
                <w:iCs/>
                <w:szCs w:val="24"/>
                <w:u w:val="single"/>
                <w:lang w:eastAsia="hr-HR"/>
              </w:rPr>
              <w:t xml:space="preserve">deseti </w:t>
            </w:r>
            <w:r w:rsidRPr="00D93C3E">
              <w:rPr>
                <w:rFonts w:eastAsia="Times New Roman" w:cstheme="minorHAnsi"/>
                <w:i/>
                <w:iCs/>
                <w:szCs w:val="24"/>
                <w:lang w:eastAsia="hr-HR"/>
              </w:rPr>
              <w:t>godina</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 </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u w:val="single"/>
                <w:lang w:eastAsia="hr-HR"/>
              </w:rPr>
              <w:t>Komentar:</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U Dokumentaciji o nabavi navode se različite godine iskustva koje se traži za ključne stručnjake.</w:t>
            </w:r>
          </w:p>
          <w:p w:rsidR="006C0A20" w:rsidRPr="00D93C3E" w:rsidRDefault="006C0A20" w:rsidP="00C95F7B">
            <w:pPr>
              <w:spacing w:before="100" w:beforeAutospacing="1" w:after="100" w:afterAutospacing="1" w:line="240" w:lineRule="auto"/>
              <w:rPr>
                <w:rFonts w:eastAsia="Times New Roman" w:cstheme="minorHAnsi"/>
                <w:szCs w:val="24"/>
                <w:lang w:eastAsia="hr-HR"/>
              </w:rPr>
            </w:pPr>
            <w:r w:rsidRPr="00D93C3E">
              <w:rPr>
                <w:rFonts w:eastAsia="Times New Roman" w:cstheme="minorHAnsi"/>
                <w:szCs w:val="24"/>
                <w:lang w:eastAsia="hr-HR"/>
              </w:rPr>
              <w:t>Molimo pojašnjenje.</w:t>
            </w:r>
          </w:p>
        </w:tc>
        <w:tc>
          <w:tcPr>
            <w:tcW w:w="2526" w:type="dxa"/>
            <w:tcBorders>
              <w:top w:val="nil"/>
              <w:left w:val="nil"/>
              <w:bottom w:val="single" w:sz="8" w:space="0" w:color="auto"/>
              <w:right w:val="single" w:sz="8" w:space="0" w:color="auto"/>
            </w:tcBorders>
          </w:tcPr>
          <w:p w:rsidR="006C0A20" w:rsidRPr="00D93C3E" w:rsidRDefault="006C0A20" w:rsidP="00C95F7B">
            <w:pPr>
              <w:spacing w:before="100" w:beforeAutospacing="1" w:after="100" w:afterAutospacing="1" w:line="240" w:lineRule="auto"/>
              <w:rPr>
                <w:rFonts w:eastAsia="Times New Roman" w:cstheme="minorHAnsi"/>
                <w:iCs/>
                <w:szCs w:val="24"/>
                <w:lang w:eastAsia="hr-HR"/>
              </w:rPr>
            </w:pPr>
          </w:p>
        </w:tc>
      </w:tr>
    </w:tbl>
    <w:p w:rsidR="00C95F7B" w:rsidRPr="00C95F7B" w:rsidRDefault="00C95F7B" w:rsidP="00C95F7B">
      <w:pPr>
        <w:spacing w:before="100" w:beforeAutospacing="1" w:after="100" w:afterAutospacing="1" w:line="240" w:lineRule="auto"/>
        <w:rPr>
          <w:rFonts w:ascii="wf_segoe-ui_normal" w:eastAsia="Times New Roman" w:hAnsi="wf_segoe-ui_normal" w:cs="Times New Roman"/>
          <w:sz w:val="23"/>
          <w:szCs w:val="23"/>
          <w:lang w:eastAsia="hr-HR"/>
        </w:rPr>
      </w:pPr>
      <w:r w:rsidRPr="00C95F7B">
        <w:rPr>
          <w:rFonts w:ascii="wf_segoe-ui_normal" w:eastAsia="Times New Roman" w:hAnsi="wf_segoe-ui_normal" w:cs="Times New Roman"/>
          <w:sz w:val="23"/>
          <w:szCs w:val="23"/>
          <w:lang w:eastAsia="hr-HR"/>
        </w:rPr>
        <w:t> </w:t>
      </w:r>
    </w:p>
    <w:p w:rsidR="0083511C" w:rsidRDefault="0083511C"/>
    <w:sectPr w:rsidR="00835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f_segoe-ui_normal">
    <w:altName w:val="Calibri"/>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93"/>
    <w:rsid w:val="001F3B93"/>
    <w:rsid w:val="003149E5"/>
    <w:rsid w:val="006C0A20"/>
    <w:rsid w:val="0083511C"/>
    <w:rsid w:val="008B340B"/>
    <w:rsid w:val="00B45AD1"/>
    <w:rsid w:val="00C95F7B"/>
    <w:rsid w:val="00D93C3E"/>
    <w:rsid w:val="00E82489"/>
    <w:rsid w:val="00F033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A6C35-5BFD-4B8B-95F8-AF59DB43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39659">
      <w:bodyDiv w:val="1"/>
      <w:marLeft w:val="0"/>
      <w:marRight w:val="0"/>
      <w:marTop w:val="0"/>
      <w:marBottom w:val="0"/>
      <w:divBdr>
        <w:top w:val="none" w:sz="0" w:space="0" w:color="auto"/>
        <w:left w:val="none" w:sz="0" w:space="0" w:color="auto"/>
        <w:bottom w:val="none" w:sz="0" w:space="0" w:color="auto"/>
        <w:right w:val="none" w:sz="0" w:space="0" w:color="auto"/>
      </w:divBdr>
    </w:div>
    <w:div w:id="2053844804">
      <w:bodyDiv w:val="1"/>
      <w:marLeft w:val="0"/>
      <w:marRight w:val="0"/>
      <w:marTop w:val="0"/>
      <w:marBottom w:val="0"/>
      <w:divBdr>
        <w:top w:val="none" w:sz="0" w:space="0" w:color="auto"/>
        <w:left w:val="none" w:sz="0" w:space="0" w:color="auto"/>
        <w:bottom w:val="none" w:sz="0" w:space="0" w:color="auto"/>
        <w:right w:val="none" w:sz="0" w:space="0" w:color="auto"/>
      </w:divBdr>
      <w:divsChild>
        <w:div w:id="1129933551">
          <w:marLeft w:val="0"/>
          <w:marRight w:val="0"/>
          <w:marTop w:val="0"/>
          <w:marBottom w:val="0"/>
          <w:divBdr>
            <w:top w:val="none" w:sz="0" w:space="0" w:color="auto"/>
            <w:left w:val="none" w:sz="0" w:space="0" w:color="auto"/>
            <w:bottom w:val="none" w:sz="0" w:space="0" w:color="auto"/>
            <w:right w:val="none" w:sz="0" w:space="0" w:color="auto"/>
          </w:divBdr>
          <w:divsChild>
            <w:div w:id="34742119">
              <w:marLeft w:val="0"/>
              <w:marRight w:val="0"/>
              <w:marTop w:val="0"/>
              <w:marBottom w:val="0"/>
              <w:divBdr>
                <w:top w:val="none" w:sz="0" w:space="0" w:color="auto"/>
                <w:left w:val="none" w:sz="0" w:space="0" w:color="auto"/>
                <w:bottom w:val="none" w:sz="0" w:space="0" w:color="auto"/>
                <w:right w:val="none" w:sz="0" w:space="0" w:color="auto"/>
              </w:divBdr>
              <w:divsChild>
                <w:div w:id="1598517970">
                  <w:marLeft w:val="0"/>
                  <w:marRight w:val="0"/>
                  <w:marTop w:val="0"/>
                  <w:marBottom w:val="0"/>
                  <w:divBdr>
                    <w:top w:val="none" w:sz="0" w:space="0" w:color="auto"/>
                    <w:left w:val="none" w:sz="0" w:space="0" w:color="auto"/>
                    <w:bottom w:val="none" w:sz="0" w:space="0" w:color="auto"/>
                    <w:right w:val="none" w:sz="0" w:space="0" w:color="auto"/>
                  </w:divBdr>
                  <w:divsChild>
                    <w:div w:id="1264991012">
                      <w:marLeft w:val="0"/>
                      <w:marRight w:val="0"/>
                      <w:marTop w:val="0"/>
                      <w:marBottom w:val="0"/>
                      <w:divBdr>
                        <w:top w:val="none" w:sz="0" w:space="0" w:color="auto"/>
                        <w:left w:val="none" w:sz="0" w:space="0" w:color="auto"/>
                        <w:bottom w:val="none" w:sz="0" w:space="0" w:color="auto"/>
                        <w:right w:val="none" w:sz="0" w:space="0" w:color="auto"/>
                      </w:divBdr>
                      <w:divsChild>
                        <w:div w:id="636692071">
                          <w:marLeft w:val="405"/>
                          <w:marRight w:val="0"/>
                          <w:marTop w:val="0"/>
                          <w:marBottom w:val="0"/>
                          <w:divBdr>
                            <w:top w:val="none" w:sz="0" w:space="0" w:color="auto"/>
                            <w:left w:val="none" w:sz="0" w:space="0" w:color="auto"/>
                            <w:bottom w:val="none" w:sz="0" w:space="0" w:color="auto"/>
                            <w:right w:val="none" w:sz="0" w:space="0" w:color="auto"/>
                          </w:divBdr>
                          <w:divsChild>
                            <w:div w:id="381834150">
                              <w:marLeft w:val="0"/>
                              <w:marRight w:val="0"/>
                              <w:marTop w:val="0"/>
                              <w:marBottom w:val="0"/>
                              <w:divBdr>
                                <w:top w:val="none" w:sz="0" w:space="0" w:color="auto"/>
                                <w:left w:val="none" w:sz="0" w:space="0" w:color="auto"/>
                                <w:bottom w:val="none" w:sz="0" w:space="0" w:color="auto"/>
                                <w:right w:val="none" w:sz="0" w:space="0" w:color="auto"/>
                              </w:divBdr>
                              <w:divsChild>
                                <w:div w:id="121534837">
                                  <w:marLeft w:val="0"/>
                                  <w:marRight w:val="0"/>
                                  <w:marTop w:val="0"/>
                                  <w:marBottom w:val="0"/>
                                  <w:divBdr>
                                    <w:top w:val="none" w:sz="0" w:space="0" w:color="auto"/>
                                    <w:left w:val="none" w:sz="0" w:space="0" w:color="auto"/>
                                    <w:bottom w:val="none" w:sz="0" w:space="0" w:color="auto"/>
                                    <w:right w:val="none" w:sz="0" w:space="0" w:color="auto"/>
                                  </w:divBdr>
                                  <w:divsChild>
                                    <w:div w:id="43255448">
                                      <w:marLeft w:val="0"/>
                                      <w:marRight w:val="0"/>
                                      <w:marTop w:val="60"/>
                                      <w:marBottom w:val="0"/>
                                      <w:divBdr>
                                        <w:top w:val="none" w:sz="0" w:space="0" w:color="auto"/>
                                        <w:left w:val="none" w:sz="0" w:space="0" w:color="auto"/>
                                        <w:bottom w:val="none" w:sz="0" w:space="0" w:color="auto"/>
                                        <w:right w:val="none" w:sz="0" w:space="0" w:color="auto"/>
                                      </w:divBdr>
                                      <w:divsChild>
                                        <w:div w:id="946695045">
                                          <w:marLeft w:val="0"/>
                                          <w:marRight w:val="0"/>
                                          <w:marTop w:val="0"/>
                                          <w:marBottom w:val="0"/>
                                          <w:divBdr>
                                            <w:top w:val="none" w:sz="0" w:space="0" w:color="auto"/>
                                            <w:left w:val="none" w:sz="0" w:space="0" w:color="auto"/>
                                            <w:bottom w:val="none" w:sz="0" w:space="0" w:color="auto"/>
                                            <w:right w:val="none" w:sz="0" w:space="0" w:color="auto"/>
                                          </w:divBdr>
                                          <w:divsChild>
                                            <w:div w:id="627856314">
                                              <w:marLeft w:val="0"/>
                                              <w:marRight w:val="0"/>
                                              <w:marTop w:val="0"/>
                                              <w:marBottom w:val="0"/>
                                              <w:divBdr>
                                                <w:top w:val="none" w:sz="0" w:space="0" w:color="auto"/>
                                                <w:left w:val="none" w:sz="0" w:space="0" w:color="auto"/>
                                                <w:bottom w:val="none" w:sz="0" w:space="0" w:color="auto"/>
                                                <w:right w:val="none" w:sz="0" w:space="0" w:color="auto"/>
                                              </w:divBdr>
                                              <w:divsChild>
                                                <w:div w:id="1340541236">
                                                  <w:marLeft w:val="0"/>
                                                  <w:marRight w:val="0"/>
                                                  <w:marTop w:val="0"/>
                                                  <w:marBottom w:val="0"/>
                                                  <w:divBdr>
                                                    <w:top w:val="none" w:sz="0" w:space="0" w:color="auto"/>
                                                    <w:left w:val="none" w:sz="0" w:space="0" w:color="auto"/>
                                                    <w:bottom w:val="none" w:sz="0" w:space="0" w:color="auto"/>
                                                    <w:right w:val="none" w:sz="0" w:space="0" w:color="auto"/>
                                                  </w:divBdr>
                                                  <w:divsChild>
                                                    <w:div w:id="1647659656">
                                                      <w:marLeft w:val="0"/>
                                                      <w:marRight w:val="0"/>
                                                      <w:marTop w:val="0"/>
                                                      <w:marBottom w:val="0"/>
                                                      <w:divBdr>
                                                        <w:top w:val="none" w:sz="0" w:space="0" w:color="auto"/>
                                                        <w:left w:val="none" w:sz="0" w:space="0" w:color="auto"/>
                                                        <w:bottom w:val="none" w:sz="0" w:space="0" w:color="auto"/>
                                                        <w:right w:val="none" w:sz="0" w:space="0" w:color="auto"/>
                                                      </w:divBdr>
                                                      <w:divsChild>
                                                        <w:div w:id="2072272078">
                                                          <w:marLeft w:val="0"/>
                                                          <w:marRight w:val="0"/>
                                                          <w:marTop w:val="0"/>
                                                          <w:marBottom w:val="0"/>
                                                          <w:divBdr>
                                                            <w:top w:val="none" w:sz="0" w:space="0" w:color="auto"/>
                                                            <w:left w:val="none" w:sz="0" w:space="0" w:color="auto"/>
                                                            <w:bottom w:val="none" w:sz="0" w:space="0" w:color="auto"/>
                                                            <w:right w:val="none" w:sz="0" w:space="0" w:color="auto"/>
                                                          </w:divBdr>
                                                          <w:divsChild>
                                                            <w:div w:id="1755275924">
                                                              <w:marLeft w:val="0"/>
                                                              <w:marRight w:val="0"/>
                                                              <w:marTop w:val="0"/>
                                                              <w:marBottom w:val="0"/>
                                                              <w:divBdr>
                                                                <w:top w:val="none" w:sz="0" w:space="0" w:color="auto"/>
                                                                <w:left w:val="none" w:sz="0" w:space="0" w:color="auto"/>
                                                                <w:bottom w:val="none" w:sz="0" w:space="0" w:color="auto"/>
                                                                <w:right w:val="none" w:sz="0" w:space="0" w:color="auto"/>
                                                              </w:divBdr>
                                                              <w:divsChild>
                                                                <w:div w:id="1179351702">
                                                                  <w:marLeft w:val="0"/>
                                                                  <w:marRight w:val="0"/>
                                                                  <w:marTop w:val="0"/>
                                                                  <w:marBottom w:val="0"/>
                                                                  <w:divBdr>
                                                                    <w:top w:val="none" w:sz="0" w:space="0" w:color="auto"/>
                                                                    <w:left w:val="none" w:sz="0" w:space="0" w:color="auto"/>
                                                                    <w:bottom w:val="none" w:sz="0" w:space="0" w:color="auto"/>
                                                                    <w:right w:val="none" w:sz="0" w:space="0" w:color="auto"/>
                                                                  </w:divBdr>
                                                                  <w:divsChild>
                                                                    <w:div w:id="186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1016</Words>
  <Characters>5797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Balaško</dc:creator>
  <cp:keywords/>
  <dc:description/>
  <cp:lastModifiedBy>Maja Balaško</cp:lastModifiedBy>
  <cp:revision>6</cp:revision>
  <dcterms:created xsi:type="dcterms:W3CDTF">2017-12-27T20:03:00Z</dcterms:created>
  <dcterms:modified xsi:type="dcterms:W3CDTF">2017-12-28T10:14:00Z</dcterms:modified>
</cp:coreProperties>
</file>