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4B" w:rsidRPr="00EE2CBA" w:rsidRDefault="005E304B" w:rsidP="005E304B">
      <w:pPr>
        <w:ind w:firstLine="708"/>
        <w:jc w:val="both"/>
      </w:pPr>
      <w:r w:rsidRPr="00EE2CBA">
        <w:t>Na temelju članka 66. Zakona o poljoprivredi (</w:t>
      </w:r>
      <w:r>
        <w:t>«</w:t>
      </w:r>
      <w:r w:rsidRPr="00EE2CBA">
        <w:t>Narodne novine</w:t>
      </w:r>
      <w:r>
        <w:t>»</w:t>
      </w:r>
      <w:r w:rsidRPr="00EE2CBA">
        <w:t xml:space="preserve"> broj 30/15), </w:t>
      </w:r>
      <w:r w:rsidRPr="00EE2CBA">
        <w:rPr>
          <w:rFonts w:eastAsia="Calibri"/>
          <w:bCs/>
        </w:rPr>
        <w:t xml:space="preserve">i </w:t>
      </w:r>
      <w:r>
        <w:rPr>
          <w:rFonts w:eastAsia="Calibri"/>
          <w:bCs/>
        </w:rPr>
        <w:t>članka 40</w:t>
      </w:r>
      <w:r w:rsidRPr="002B0B4A">
        <w:t>. Sta</w:t>
      </w:r>
      <w:r>
        <w:t>tuta Grada Koprivnice («Glasnik</w:t>
      </w:r>
      <w:r w:rsidRPr="002B0B4A">
        <w:t xml:space="preserve"> Grada Koprivnice» broj </w:t>
      </w:r>
      <w:r>
        <w:t>4/09, 1/12, 1/13 i 3/13 – pročišćeni tekst</w:t>
      </w:r>
      <w:r w:rsidRPr="002B0B4A">
        <w:t>)</w:t>
      </w:r>
      <w:r w:rsidRPr="00EE2CBA">
        <w:t xml:space="preserve"> </w:t>
      </w:r>
      <w:r>
        <w:rPr>
          <w:rFonts w:eastAsia="Calibri"/>
          <w:bCs/>
        </w:rPr>
        <w:t>Gradsko vijeće Grada Koprivnice,</w:t>
      </w:r>
      <w:r w:rsidRPr="00EE2CBA">
        <w:rPr>
          <w:rFonts w:eastAsia="Calibri"/>
          <w:bCs/>
        </w:rPr>
        <w:t xml:space="preserve"> na </w:t>
      </w:r>
      <w:r>
        <w:rPr>
          <w:rFonts w:eastAsia="Calibri"/>
          <w:bCs/>
        </w:rPr>
        <w:t xml:space="preserve">31. </w:t>
      </w:r>
      <w:r w:rsidRPr="00EE2CBA">
        <w:rPr>
          <w:rFonts w:eastAsia="Calibri"/>
          <w:bCs/>
        </w:rPr>
        <w:t xml:space="preserve">sjednici održanoj </w:t>
      </w:r>
      <w:r>
        <w:rPr>
          <w:rFonts w:eastAsia="Calibri"/>
          <w:bCs/>
        </w:rPr>
        <w:t xml:space="preserve">14. ožujka </w:t>
      </w:r>
      <w:r w:rsidRPr="00EE2CBA">
        <w:t>201</w:t>
      </w:r>
      <w:r>
        <w:t>7</w:t>
      </w:r>
      <w:r w:rsidRPr="00EE2CBA">
        <w:t xml:space="preserve">. godine, donosi </w:t>
      </w:r>
    </w:p>
    <w:p w:rsidR="005E304B" w:rsidRPr="00EE2CBA" w:rsidRDefault="005E304B" w:rsidP="005E304B">
      <w:pPr>
        <w:jc w:val="center"/>
        <w:rPr>
          <w:b/>
        </w:rPr>
      </w:pPr>
    </w:p>
    <w:p w:rsidR="005E304B" w:rsidRPr="00EE2CBA" w:rsidRDefault="005E304B" w:rsidP="005E304B">
      <w:pPr>
        <w:jc w:val="center"/>
        <w:rPr>
          <w:b/>
        </w:rPr>
      </w:pPr>
    </w:p>
    <w:p w:rsidR="005E304B" w:rsidRPr="00EE2CBA" w:rsidRDefault="005E304B" w:rsidP="005E304B">
      <w:pPr>
        <w:jc w:val="center"/>
        <w:rPr>
          <w:b/>
        </w:rPr>
      </w:pPr>
      <w:r w:rsidRPr="00EE2CBA">
        <w:rPr>
          <w:b/>
        </w:rPr>
        <w:t>O D L U K U</w:t>
      </w:r>
    </w:p>
    <w:p w:rsidR="005E304B" w:rsidRPr="00EE2CBA" w:rsidRDefault="005E304B" w:rsidP="005E304B">
      <w:pPr>
        <w:jc w:val="center"/>
        <w:rPr>
          <w:b/>
        </w:rPr>
      </w:pPr>
    </w:p>
    <w:p w:rsidR="005E304B" w:rsidRPr="00EE2CBA" w:rsidRDefault="005E304B" w:rsidP="005E304B">
      <w:pPr>
        <w:jc w:val="center"/>
        <w:rPr>
          <w:b/>
        </w:rPr>
      </w:pPr>
      <w:r w:rsidRPr="00EE2CBA">
        <w:rPr>
          <w:b/>
        </w:rPr>
        <w:t xml:space="preserve">o potporama poljoprivredi </w:t>
      </w:r>
    </w:p>
    <w:p w:rsidR="005E304B" w:rsidRPr="00EE2CBA" w:rsidRDefault="005E304B" w:rsidP="005E304B">
      <w:pPr>
        <w:jc w:val="center"/>
        <w:rPr>
          <w:b/>
        </w:rPr>
      </w:pPr>
      <w:r w:rsidRPr="00EE2CBA">
        <w:rPr>
          <w:b/>
        </w:rPr>
        <w:t>za razdoblje od 201</w:t>
      </w:r>
      <w:r>
        <w:rPr>
          <w:b/>
        </w:rPr>
        <w:t>7</w:t>
      </w:r>
      <w:r w:rsidRPr="00EE2CBA">
        <w:rPr>
          <w:b/>
        </w:rPr>
        <w:t>. do 2020. godine</w:t>
      </w:r>
    </w:p>
    <w:p w:rsidR="005E304B" w:rsidRPr="00EE2CBA" w:rsidRDefault="005E304B" w:rsidP="005E304B"/>
    <w:p w:rsidR="005E304B" w:rsidRPr="00EE2CBA" w:rsidRDefault="005E304B" w:rsidP="005E304B"/>
    <w:p w:rsidR="005E304B" w:rsidRPr="00603924" w:rsidRDefault="005E304B" w:rsidP="005E304B">
      <w:pPr>
        <w:numPr>
          <w:ilvl w:val="0"/>
          <w:numId w:val="2"/>
        </w:numPr>
        <w:rPr>
          <w:b/>
          <w:i/>
        </w:rPr>
      </w:pPr>
      <w:r w:rsidRPr="00603924">
        <w:rPr>
          <w:b/>
          <w:i/>
        </w:rPr>
        <w:t>OPĆE ODREDBE</w:t>
      </w:r>
    </w:p>
    <w:p w:rsidR="005E304B" w:rsidRPr="00EE2CBA" w:rsidRDefault="005E304B" w:rsidP="005E304B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E2CBA">
        <w:rPr>
          <w:rFonts w:ascii="Times New Roman" w:hAnsi="Times New Roman"/>
          <w:b/>
          <w:sz w:val="24"/>
          <w:szCs w:val="24"/>
        </w:rPr>
        <w:t>Članak 1.</w:t>
      </w:r>
    </w:p>
    <w:p w:rsidR="005E304B" w:rsidRDefault="005E304B" w:rsidP="005E304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ab/>
        <w:t xml:space="preserve">Ovom Odlukom utvrđuju se aktivnosti u poljoprivredi za koje će </w:t>
      </w:r>
      <w:r>
        <w:rPr>
          <w:rFonts w:ascii="Times New Roman" w:hAnsi="Times New Roman"/>
          <w:sz w:val="24"/>
          <w:szCs w:val="24"/>
        </w:rPr>
        <w:t>Grad Koprivnica</w:t>
      </w:r>
      <w:r w:rsidRPr="00EE2CBA">
        <w:rPr>
          <w:rFonts w:ascii="Times New Roman" w:hAnsi="Times New Roman"/>
          <w:sz w:val="24"/>
          <w:szCs w:val="24"/>
        </w:rPr>
        <w:t xml:space="preserve"> u razdoblju od 201</w:t>
      </w:r>
      <w:r>
        <w:rPr>
          <w:rFonts w:ascii="Times New Roman" w:hAnsi="Times New Roman"/>
          <w:sz w:val="24"/>
          <w:szCs w:val="24"/>
        </w:rPr>
        <w:t>7</w:t>
      </w:r>
      <w:r w:rsidRPr="00EE2CBA">
        <w:rPr>
          <w:rFonts w:ascii="Times New Roman" w:hAnsi="Times New Roman"/>
          <w:sz w:val="24"/>
          <w:szCs w:val="24"/>
        </w:rPr>
        <w:t xml:space="preserve">. do 2020. godine dodjeljivati potpore male vrijednosti te kriteriji i postupak dodjele potpora poljoprivredi. </w:t>
      </w:r>
    </w:p>
    <w:p w:rsidR="005E304B" w:rsidRPr="00EE2CBA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75AD9">
        <w:rPr>
          <w:rFonts w:ascii="Times New Roman" w:hAnsi="Times New Roman"/>
          <w:sz w:val="24"/>
          <w:szCs w:val="24"/>
        </w:rPr>
        <w:t>Potpore podrazumijevaju dodjelu bespovratnih novčanih sredstava iz Proračuna Grada Koprivnice.</w:t>
      </w:r>
    </w:p>
    <w:p w:rsidR="005E304B" w:rsidRPr="00EE2CBA" w:rsidRDefault="005E304B" w:rsidP="005E304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304B" w:rsidRPr="00EE2CBA" w:rsidRDefault="005E304B" w:rsidP="005E304B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E2CBA">
        <w:rPr>
          <w:rFonts w:ascii="Times New Roman" w:hAnsi="Times New Roman"/>
          <w:b/>
          <w:sz w:val="24"/>
          <w:szCs w:val="24"/>
        </w:rPr>
        <w:t>Članak 2.</w:t>
      </w:r>
    </w:p>
    <w:p w:rsidR="005E304B" w:rsidRPr="00EE2CBA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Potporama male vrijednosti (u daljnjem tekstu: potpore), u smislu ove Odluke, podrazumijevaju se bespovratna novčana sredstva koja se iz Proračuna </w:t>
      </w:r>
      <w:r>
        <w:rPr>
          <w:rFonts w:ascii="Times New Roman" w:hAnsi="Times New Roman"/>
          <w:sz w:val="24"/>
          <w:szCs w:val="24"/>
        </w:rPr>
        <w:t>Grada Koprivnice</w:t>
      </w:r>
      <w:r w:rsidRPr="00EE2CBA">
        <w:rPr>
          <w:rFonts w:ascii="Times New Roman" w:hAnsi="Times New Roman"/>
          <w:sz w:val="24"/>
          <w:szCs w:val="24"/>
        </w:rPr>
        <w:t xml:space="preserve"> (u daljnjem tekstu: Proračun) sukladno pravilima EU o pružanju državne potpore poljoprivredi i ruralnom razvoju propisanim Uredbom Komisije (EZ) br. 1407/2013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BA">
        <w:rPr>
          <w:rFonts w:ascii="Times New Roman" w:hAnsi="Times New Roman"/>
          <w:sz w:val="24"/>
          <w:szCs w:val="24"/>
        </w:rPr>
        <w:t>od 18. prosinca 2013.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BA">
        <w:rPr>
          <w:rFonts w:ascii="Times New Roman" w:hAnsi="Times New Roman"/>
          <w:sz w:val="24"/>
          <w:szCs w:val="24"/>
        </w:rPr>
        <w:t xml:space="preserve">o primjeni članaka 107. i 108. Ugovora o funkcioniranju Europske unije na de </w:t>
      </w:r>
      <w:proofErr w:type="spellStart"/>
      <w:r w:rsidRPr="00EE2CBA"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potpore</w:t>
      </w:r>
      <w:r w:rsidRPr="00EE2CBA">
        <w:rPr>
          <w:rFonts w:ascii="Times New Roman" w:hAnsi="Times New Roman"/>
          <w:sz w:val="24"/>
          <w:szCs w:val="24"/>
        </w:rPr>
        <w:t xml:space="preserve"> i br. 1408/2013 od 18. prosinca 2013. o primjeni članaka 107. i 108. Ugovora o funkcioniranju Europske unije na potpore de </w:t>
      </w:r>
      <w:proofErr w:type="spellStart"/>
      <w:r w:rsidRPr="00EE2CBA">
        <w:rPr>
          <w:rFonts w:ascii="Times New Roman" w:hAnsi="Times New Roman"/>
          <w:sz w:val="24"/>
          <w:szCs w:val="24"/>
        </w:rPr>
        <w:t>minimis</w:t>
      </w:r>
      <w:proofErr w:type="spellEnd"/>
      <w:r w:rsidRPr="00EE2CBA">
        <w:rPr>
          <w:rFonts w:ascii="Times New Roman" w:hAnsi="Times New Roman"/>
          <w:sz w:val="24"/>
          <w:szCs w:val="24"/>
        </w:rPr>
        <w:t xml:space="preserve"> u poljoprivrednom sektoru (u dalj</w:t>
      </w:r>
      <w:r>
        <w:rPr>
          <w:rFonts w:ascii="Times New Roman" w:hAnsi="Times New Roman"/>
          <w:sz w:val="24"/>
          <w:szCs w:val="24"/>
        </w:rPr>
        <w:t xml:space="preserve">njem tekstu: Uredba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EE2CBA">
        <w:rPr>
          <w:rFonts w:ascii="Times New Roman" w:hAnsi="Times New Roman"/>
          <w:sz w:val="24"/>
          <w:szCs w:val="24"/>
        </w:rPr>
        <w:t>dodjeljuju korisnicima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CBA">
        <w:rPr>
          <w:rFonts w:ascii="Times New Roman" w:hAnsi="Times New Roman"/>
          <w:sz w:val="24"/>
          <w:szCs w:val="24"/>
        </w:rPr>
        <w:t>poduzetnicima koji se bave primarnom proizvodnjom i/ili preradom/prodajom poljoprivrednih proizvoda, osim</w:t>
      </w:r>
    </w:p>
    <w:p w:rsidR="005E304B" w:rsidRPr="00EE2CBA" w:rsidRDefault="005E304B" w:rsidP="005E304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5E304B" w:rsidRPr="00EE2CBA" w:rsidRDefault="005E304B" w:rsidP="005E304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potpora djelatnostima vezanima uz izvoz, to jest potpora koje su izravno vezane uz izvezene količine, potpora za osnivanje i upravljanje distribucijskom mrežom ili za neke druge tekuće troškove vezane uz izvoznu djelatnost,</w:t>
      </w:r>
    </w:p>
    <w:p w:rsidR="005E304B" w:rsidRPr="00DD7431" w:rsidRDefault="005E304B" w:rsidP="005E304B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potpora uvjetovanih korištenjem dom</w:t>
      </w:r>
      <w:r>
        <w:rPr>
          <w:rFonts w:ascii="Times New Roman" w:hAnsi="Times New Roman"/>
          <w:sz w:val="24"/>
          <w:szCs w:val="24"/>
        </w:rPr>
        <w:t>aćih umjesto uvoznih proizvoda.</w:t>
      </w:r>
    </w:p>
    <w:p w:rsidR="005E304B" w:rsidRPr="00EE2CBA" w:rsidRDefault="005E304B" w:rsidP="005E304B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E2CBA">
        <w:rPr>
          <w:rFonts w:ascii="Times New Roman" w:hAnsi="Times New Roman"/>
          <w:b/>
          <w:sz w:val="24"/>
          <w:szCs w:val="24"/>
        </w:rPr>
        <w:t>Članak 3.</w:t>
      </w:r>
    </w:p>
    <w:p w:rsidR="005E304B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Korisnik potpore, po odredbama ove Odluke </w:t>
      </w:r>
      <w:r>
        <w:rPr>
          <w:rFonts w:ascii="Times New Roman" w:hAnsi="Times New Roman"/>
          <w:sz w:val="24"/>
          <w:szCs w:val="24"/>
        </w:rPr>
        <w:t>je «jedan poduzetnik» - obiteljsko</w:t>
      </w:r>
      <w:r w:rsidRPr="00EE2CBA">
        <w:rPr>
          <w:rFonts w:ascii="Times New Roman" w:hAnsi="Times New Roman"/>
          <w:sz w:val="24"/>
          <w:szCs w:val="24"/>
        </w:rPr>
        <w:t xml:space="preserve"> poljoprivredno gospodarstvo</w:t>
      </w:r>
      <w:r>
        <w:rPr>
          <w:rFonts w:ascii="Times New Roman" w:hAnsi="Times New Roman"/>
          <w:sz w:val="24"/>
          <w:szCs w:val="24"/>
        </w:rPr>
        <w:t xml:space="preserve"> sa sjedištem, odnosno prebivalištem na području Grada Koprivnice najmanje tri godine, obrtnici registrirani za obavljanje poljoprivredne djelatnosti koji imaju sjedište obrta na području Grada Koprivnice i udruge sa sjedištem na području Grada Koprivnice, upisani</w:t>
      </w:r>
      <w:r w:rsidRPr="00EE2CBA">
        <w:rPr>
          <w:rFonts w:ascii="Times New Roman" w:hAnsi="Times New Roman"/>
          <w:sz w:val="24"/>
          <w:szCs w:val="24"/>
        </w:rPr>
        <w:t xml:space="preserve"> u Upisni</w:t>
      </w:r>
      <w:r>
        <w:rPr>
          <w:rFonts w:ascii="Times New Roman" w:hAnsi="Times New Roman"/>
          <w:sz w:val="24"/>
          <w:szCs w:val="24"/>
        </w:rPr>
        <w:t xml:space="preserve">k poljoprivrednih gospodarstava, a čije </w:t>
      </w:r>
      <w:r w:rsidRPr="00EE2CBA">
        <w:rPr>
          <w:rFonts w:ascii="Times New Roman" w:hAnsi="Times New Roman"/>
          <w:sz w:val="24"/>
          <w:szCs w:val="24"/>
        </w:rPr>
        <w:t xml:space="preserve">poljoprivredne površine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EE2CBA"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Koprivničko - križevačke</w:t>
      </w:r>
      <w:r w:rsidRPr="00EE2CBA">
        <w:rPr>
          <w:rFonts w:ascii="Times New Roman" w:hAnsi="Times New Roman"/>
          <w:sz w:val="24"/>
          <w:szCs w:val="24"/>
        </w:rPr>
        <w:t xml:space="preserve"> županije.</w:t>
      </w:r>
    </w:p>
    <w:p w:rsidR="005E304B" w:rsidRPr="00EE2CBA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Pojmom </w:t>
      </w:r>
      <w:r>
        <w:rPr>
          <w:rFonts w:ascii="Times New Roman" w:hAnsi="Times New Roman"/>
          <w:sz w:val="24"/>
          <w:szCs w:val="24"/>
        </w:rPr>
        <w:t>«jedan poduzetnik»</w:t>
      </w:r>
      <w:r w:rsidRPr="00EE2CBA">
        <w:rPr>
          <w:rFonts w:ascii="Times New Roman" w:hAnsi="Times New Roman"/>
          <w:sz w:val="24"/>
          <w:szCs w:val="24"/>
        </w:rPr>
        <w:t xml:space="preserve">, sukladno članku 2. točki 2. Uredbe de </w:t>
      </w:r>
      <w:proofErr w:type="spellStart"/>
      <w:r w:rsidRPr="00EE2CBA">
        <w:rPr>
          <w:rFonts w:ascii="Times New Roman" w:hAnsi="Times New Roman"/>
          <w:sz w:val="24"/>
          <w:szCs w:val="24"/>
        </w:rPr>
        <w:t>minimis</w:t>
      </w:r>
      <w:proofErr w:type="spellEnd"/>
      <w:r w:rsidRPr="00EE2CBA">
        <w:rPr>
          <w:rFonts w:ascii="Times New Roman" w:hAnsi="Times New Roman"/>
          <w:sz w:val="24"/>
          <w:szCs w:val="24"/>
        </w:rPr>
        <w:t xml:space="preserve">, obuhvaćeni su svi poduzetnici ukoliko su izravno ili preko jednog ili više drugih poduzetnika, međusobno povezani tako da jedan poduzetnik: </w:t>
      </w:r>
    </w:p>
    <w:p w:rsidR="005E304B" w:rsidRPr="00EE2CBA" w:rsidRDefault="005E304B" w:rsidP="005E304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lastRenderedPageBreak/>
        <w:t>ima većinu glasačkih prava dioničara ili članova drugog poduzetnika,</w:t>
      </w:r>
    </w:p>
    <w:p w:rsidR="005E304B" w:rsidRPr="00EE2CBA" w:rsidRDefault="005E304B" w:rsidP="005E304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ima pravo imenovati ili razriješiti većinu članova upravnog ili nadzornog tijela drugog poduzetnika,</w:t>
      </w:r>
    </w:p>
    <w:p w:rsidR="005E304B" w:rsidRPr="00EE2CBA" w:rsidRDefault="005E304B" w:rsidP="005E304B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ima pravo ostvarivati vladajući utjecaj na drugog poduzetnika po međusobnom ugovoru sklopljenom sukladno statutu ili društvenom ugovoru tog poduzetnika,</w:t>
      </w:r>
    </w:p>
    <w:p w:rsidR="005E304B" w:rsidRPr="00EE2CBA" w:rsidRDefault="005E304B" w:rsidP="005E304B">
      <w:pPr>
        <w:pStyle w:val="Bezproreda"/>
        <w:numPr>
          <w:ilvl w:val="0"/>
          <w:numId w:val="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koji je dioničar ili član drugog poduzetnika, po dogovoru s drugim dioničarima ili članovima tog poduzetnika, sam kontrolira većinu glasačkih prava dioničara ili članova tog poduzetnika.</w:t>
      </w:r>
    </w:p>
    <w:p w:rsidR="005E304B" w:rsidRPr="00EE2CBA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Poduzetnici koji su u bilo kojem od odnosa navedenih u prethodnom stavku smatraju se </w:t>
      </w:r>
      <w:r>
        <w:rPr>
          <w:rFonts w:ascii="Times New Roman" w:hAnsi="Times New Roman"/>
          <w:sz w:val="24"/>
          <w:szCs w:val="24"/>
        </w:rPr>
        <w:t>«jednim poduzetnikom»</w:t>
      </w:r>
      <w:r w:rsidRPr="00EE2CBA">
        <w:rPr>
          <w:rFonts w:ascii="Times New Roman" w:hAnsi="Times New Roman"/>
          <w:sz w:val="24"/>
          <w:szCs w:val="24"/>
        </w:rPr>
        <w:t>.</w:t>
      </w:r>
    </w:p>
    <w:p w:rsidR="005E304B" w:rsidRPr="00EE2CBA" w:rsidRDefault="005E304B" w:rsidP="005E304B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E2CBA">
        <w:rPr>
          <w:rFonts w:ascii="Times New Roman" w:hAnsi="Times New Roman"/>
          <w:b/>
          <w:sz w:val="24"/>
          <w:szCs w:val="24"/>
        </w:rPr>
        <w:t>Članak 4.</w:t>
      </w:r>
    </w:p>
    <w:p w:rsidR="005E304B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Sredstva za dodjelu potpora osiguravaju se u Proračun</w:t>
      </w:r>
      <w:r>
        <w:rPr>
          <w:rFonts w:ascii="Times New Roman" w:hAnsi="Times New Roman"/>
          <w:sz w:val="24"/>
          <w:szCs w:val="24"/>
        </w:rPr>
        <w:t>u Grada Koprivnice u iznosu od 300.000,00 kuna</w:t>
      </w:r>
      <w:r w:rsidRPr="00EE2CBA">
        <w:rPr>
          <w:rFonts w:ascii="Times New Roman" w:hAnsi="Times New Roman"/>
          <w:sz w:val="24"/>
          <w:szCs w:val="24"/>
        </w:rPr>
        <w:t xml:space="preserve"> za svaku godinu.</w:t>
      </w:r>
    </w:p>
    <w:p w:rsidR="005E304B" w:rsidRPr="008704FE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704FE">
        <w:rPr>
          <w:rFonts w:ascii="Times New Roman" w:hAnsi="Times New Roman"/>
          <w:sz w:val="24"/>
          <w:szCs w:val="24"/>
        </w:rPr>
        <w:t>Korisniku potpore može se, po ovoj Odluci, u toku kalendarske godine, odobriti potpora najviše do 30.000,00 kuna.</w:t>
      </w:r>
    </w:p>
    <w:p w:rsidR="005E304B" w:rsidRPr="00EE2CBA" w:rsidRDefault="005E304B" w:rsidP="005E304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E304B" w:rsidRPr="00603924" w:rsidRDefault="005E304B" w:rsidP="005E304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603924">
        <w:rPr>
          <w:rFonts w:ascii="Times New Roman" w:hAnsi="Times New Roman"/>
          <w:b/>
          <w:i/>
          <w:sz w:val="24"/>
          <w:szCs w:val="24"/>
        </w:rPr>
        <w:t xml:space="preserve">CILJEVI </w:t>
      </w:r>
    </w:p>
    <w:p w:rsidR="005E304B" w:rsidRPr="00EE2CBA" w:rsidRDefault="005E304B" w:rsidP="005E304B">
      <w:pPr>
        <w:pStyle w:val="Bezproreda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E2CBA">
        <w:rPr>
          <w:rFonts w:ascii="Times New Roman" w:hAnsi="Times New Roman"/>
          <w:b/>
          <w:sz w:val="24"/>
          <w:szCs w:val="24"/>
        </w:rPr>
        <w:t>Članak 5.</w:t>
      </w:r>
    </w:p>
    <w:p w:rsidR="005E304B" w:rsidRPr="00EE2CBA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Osnovni cilj dodjele potpora po odredbama ove Odluke, je podizanje razine dohodovnosti i konkurentnosti poljoprivredne proizvodnje </w:t>
      </w:r>
      <w:r>
        <w:rPr>
          <w:rFonts w:ascii="Times New Roman" w:hAnsi="Times New Roman"/>
          <w:sz w:val="24"/>
          <w:szCs w:val="24"/>
        </w:rPr>
        <w:t>na području Grada Koprivnice</w:t>
      </w:r>
      <w:r w:rsidRPr="00EE2CBA">
        <w:rPr>
          <w:rFonts w:ascii="Times New Roman" w:hAnsi="Times New Roman"/>
          <w:sz w:val="24"/>
          <w:szCs w:val="24"/>
        </w:rPr>
        <w:t xml:space="preserve"> te zadržavanje stanovništva u ruralnim područjima </w:t>
      </w:r>
      <w:r>
        <w:rPr>
          <w:rFonts w:ascii="Times New Roman" w:hAnsi="Times New Roman"/>
          <w:sz w:val="24"/>
          <w:szCs w:val="24"/>
        </w:rPr>
        <w:t>Grada Koprivnice</w:t>
      </w:r>
      <w:r w:rsidRPr="00EE2CBA">
        <w:rPr>
          <w:rFonts w:ascii="Times New Roman" w:hAnsi="Times New Roman"/>
          <w:sz w:val="24"/>
          <w:szCs w:val="24"/>
        </w:rPr>
        <w:t xml:space="preserve">. </w:t>
      </w:r>
    </w:p>
    <w:p w:rsidR="005E304B" w:rsidRPr="00EE2CBA" w:rsidRDefault="005E304B" w:rsidP="005E304B">
      <w:pPr>
        <w:pStyle w:val="Bezproreda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Specifični ciljevi dodjele potpora po odredbama ove Odluke, proizlaze iz doprinosa poljoprivrednih gospodarstava ostvarenju, osim proizvodnih i ostalih važnih čimbenika:</w:t>
      </w:r>
    </w:p>
    <w:p w:rsidR="005E304B" w:rsidRPr="00EE2CBA" w:rsidRDefault="005E304B" w:rsidP="005E304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 xml:space="preserve">prirodnih i krajobraznih (pridonose očuvanju svojstvenog krajolika europskog sela i biološkoj raznolikosti ruralnih područja), </w:t>
      </w:r>
    </w:p>
    <w:p w:rsidR="005E304B" w:rsidRPr="00EE2CBA" w:rsidRDefault="005E304B" w:rsidP="005E304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društvenih (osiguravaju prehranu ljudi, sprječavaju siromaštvo),</w:t>
      </w:r>
    </w:p>
    <w:p w:rsidR="005E304B" w:rsidRDefault="005E304B" w:rsidP="005E304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E2CBA">
        <w:rPr>
          <w:rFonts w:ascii="Times New Roman" w:hAnsi="Times New Roman"/>
          <w:sz w:val="24"/>
          <w:szCs w:val="24"/>
        </w:rPr>
        <w:t>kulturnih (pridonose očuvanju tradicija, narodnih običaja i druge nematerijalne baštine te proizvodnji lokalnih/regionalnih i tradicionalnih proizvoda).</w:t>
      </w:r>
    </w:p>
    <w:p w:rsidR="005E304B" w:rsidRDefault="005E304B" w:rsidP="005E304B">
      <w:pPr>
        <w:pStyle w:val="Bezproreda"/>
        <w:ind w:left="1428"/>
        <w:jc w:val="both"/>
        <w:rPr>
          <w:rFonts w:ascii="Times New Roman" w:hAnsi="Times New Roman"/>
          <w:sz w:val="24"/>
          <w:szCs w:val="24"/>
        </w:rPr>
      </w:pPr>
    </w:p>
    <w:p w:rsidR="005E304B" w:rsidRPr="00F75AD9" w:rsidRDefault="005E304B" w:rsidP="005E304B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</w:t>
      </w:r>
      <w:r w:rsidRPr="00F75AD9">
        <w:rPr>
          <w:b/>
          <w:i/>
        </w:rPr>
        <w:t>AKTIVNOSTI U POLJOPRIVREDI</w:t>
      </w:r>
    </w:p>
    <w:p w:rsidR="005E304B" w:rsidRDefault="005E304B" w:rsidP="005E304B">
      <w:pPr>
        <w:rPr>
          <w:rFonts w:eastAsia="Calibri"/>
          <w:lang w:eastAsia="en-US"/>
        </w:rPr>
      </w:pPr>
    </w:p>
    <w:p w:rsidR="005E304B" w:rsidRPr="00EE2CBA" w:rsidRDefault="005E304B" w:rsidP="005E304B">
      <w:pPr>
        <w:spacing w:after="240"/>
        <w:jc w:val="center"/>
        <w:rPr>
          <w:rFonts w:eastAsia="Calibri"/>
          <w:b/>
          <w:lang w:eastAsia="en-US"/>
        </w:rPr>
      </w:pPr>
      <w:r w:rsidRPr="00EE2CBA">
        <w:rPr>
          <w:rFonts w:eastAsia="Calibri"/>
          <w:b/>
          <w:lang w:eastAsia="en-US"/>
        </w:rPr>
        <w:t>Članak 6.</w:t>
      </w:r>
    </w:p>
    <w:p w:rsidR="005E304B" w:rsidRDefault="005E304B" w:rsidP="005E304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C172FA">
        <w:rPr>
          <w:rFonts w:ascii="Times New Roman" w:hAnsi="Times New Roman"/>
          <w:sz w:val="24"/>
          <w:szCs w:val="24"/>
        </w:rPr>
        <w:t>Grad Koprivnica će od 201</w:t>
      </w:r>
      <w:r>
        <w:rPr>
          <w:rFonts w:ascii="Times New Roman" w:hAnsi="Times New Roman"/>
          <w:sz w:val="24"/>
          <w:szCs w:val="24"/>
        </w:rPr>
        <w:t>7</w:t>
      </w:r>
      <w:r w:rsidRPr="00C172FA">
        <w:rPr>
          <w:rFonts w:ascii="Times New Roman" w:hAnsi="Times New Roman"/>
          <w:sz w:val="24"/>
          <w:szCs w:val="24"/>
        </w:rPr>
        <w:t>. do 2020. godine dodjeljivati potpore</w:t>
      </w:r>
      <w:r>
        <w:rPr>
          <w:rFonts w:ascii="Times New Roman" w:hAnsi="Times New Roman"/>
          <w:sz w:val="24"/>
          <w:szCs w:val="24"/>
        </w:rPr>
        <w:t xml:space="preserve"> sukladno Uredbi 1407/2013</w:t>
      </w:r>
      <w:r w:rsidRPr="00C172FA">
        <w:rPr>
          <w:rFonts w:ascii="Times New Roman" w:hAnsi="Times New Roman"/>
          <w:sz w:val="24"/>
          <w:szCs w:val="24"/>
        </w:rPr>
        <w:t xml:space="preserve"> za slijedeće aktivnosti:</w:t>
      </w:r>
    </w:p>
    <w:p w:rsidR="005E304B" w:rsidRDefault="005E304B" w:rsidP="005E304B">
      <w:pPr>
        <w:pStyle w:val="Bezproreda"/>
        <w:rPr>
          <w:rFonts w:ascii="Times New Roman" w:hAnsi="Times New Roman"/>
          <w:sz w:val="24"/>
          <w:szCs w:val="24"/>
        </w:rPr>
      </w:pP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1. Cjeloživotno obrazovanje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Mjera 2. Sudjelovanje na sajmovima </w:t>
      </w:r>
      <w:r w:rsidRPr="00D35292">
        <w:rPr>
          <w:rFonts w:ascii="Times New Roman" w:hAnsi="Times New Roman"/>
          <w:sz w:val="24"/>
          <w:szCs w:val="24"/>
        </w:rPr>
        <w:t>(izložbama, lo</w:t>
      </w:r>
      <w:r>
        <w:rPr>
          <w:rFonts w:ascii="Times New Roman" w:hAnsi="Times New Roman"/>
          <w:sz w:val="24"/>
          <w:szCs w:val="24"/>
        </w:rPr>
        <w:t>kalno-tradicijskim</w:t>
      </w:r>
      <w:r w:rsidRPr="00D35292">
        <w:rPr>
          <w:rFonts w:ascii="Times New Roman" w:hAnsi="Times New Roman"/>
          <w:sz w:val="24"/>
          <w:szCs w:val="24"/>
        </w:rPr>
        <w:t xml:space="preserve"> manifestacij</w:t>
      </w:r>
      <w:r>
        <w:rPr>
          <w:rFonts w:ascii="Times New Roman" w:hAnsi="Times New Roman"/>
          <w:sz w:val="24"/>
          <w:szCs w:val="24"/>
        </w:rPr>
        <w:t>ama)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3. Studijska putovanja</w:t>
      </w:r>
    </w:p>
    <w:p w:rsidR="005E304B" w:rsidRDefault="005E304B" w:rsidP="005E304B">
      <w:pPr>
        <w:pStyle w:val="Bezproreda"/>
        <w:rPr>
          <w:rFonts w:ascii="Times New Roman" w:hAnsi="Times New Roman"/>
          <w:sz w:val="24"/>
          <w:szCs w:val="24"/>
        </w:rPr>
      </w:pPr>
    </w:p>
    <w:p w:rsidR="005E304B" w:rsidRDefault="005E304B" w:rsidP="005E304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C172FA">
        <w:rPr>
          <w:rFonts w:ascii="Times New Roman" w:hAnsi="Times New Roman"/>
          <w:sz w:val="24"/>
          <w:szCs w:val="24"/>
        </w:rPr>
        <w:t>Grad Koprivnica će od 201</w:t>
      </w:r>
      <w:r>
        <w:rPr>
          <w:rFonts w:ascii="Times New Roman" w:hAnsi="Times New Roman"/>
          <w:sz w:val="24"/>
          <w:szCs w:val="24"/>
        </w:rPr>
        <w:t>7</w:t>
      </w:r>
      <w:r w:rsidRPr="00C172FA">
        <w:rPr>
          <w:rFonts w:ascii="Times New Roman" w:hAnsi="Times New Roman"/>
          <w:sz w:val="24"/>
          <w:szCs w:val="24"/>
        </w:rPr>
        <w:t>. do 2020. godine dodjeljivati potpore</w:t>
      </w:r>
      <w:r>
        <w:rPr>
          <w:rFonts w:ascii="Times New Roman" w:hAnsi="Times New Roman"/>
          <w:sz w:val="24"/>
          <w:szCs w:val="24"/>
        </w:rPr>
        <w:t xml:space="preserve"> sukladno Uredbi 1408/2013</w:t>
      </w:r>
      <w:r w:rsidRPr="00C172FA">
        <w:rPr>
          <w:rFonts w:ascii="Times New Roman" w:hAnsi="Times New Roman"/>
          <w:sz w:val="24"/>
          <w:szCs w:val="24"/>
        </w:rPr>
        <w:t xml:space="preserve"> za slijedeće aktivnosti:</w:t>
      </w:r>
    </w:p>
    <w:p w:rsidR="005E304B" w:rsidRDefault="005E304B" w:rsidP="005E304B">
      <w:pPr>
        <w:pStyle w:val="Bezproreda"/>
        <w:ind w:firstLine="360"/>
        <w:rPr>
          <w:rFonts w:ascii="Times New Roman" w:hAnsi="Times New Roman"/>
          <w:sz w:val="24"/>
          <w:szCs w:val="24"/>
        </w:rPr>
      </w:pP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4. Proizvodnja povrća, cvijeća i sjemenja u zatvorenim prostorima (plastenici i staklenici),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Mjera 5. Podizanje trajnih nasada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6. Očuvanje pčelinjeg fonda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7. Analiza tla i kalcifikacija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8. Okrupnjavanje posjeda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9. Nabava novih plastenika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10. Nabava i postavljanje sustava za navodnjavanje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11. Nabava i postavljanje sustava za zaštitu od tuče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12. Ekološka proizvodnja</w:t>
      </w:r>
    </w:p>
    <w:p w:rsidR="005E304B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13. Nabava i postavljanje uređaja za hladnjače (voće i povrće)</w:t>
      </w:r>
    </w:p>
    <w:p w:rsidR="005E304B" w:rsidRPr="00C172FA" w:rsidRDefault="005E304B" w:rsidP="005E304B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Mjera 14. Umjetno osjemenjivanje goveda</w:t>
      </w:r>
    </w:p>
    <w:p w:rsidR="005E304B" w:rsidRDefault="005E304B" w:rsidP="005E304B">
      <w:pPr>
        <w:pStyle w:val="Bezproreda"/>
      </w:pPr>
    </w:p>
    <w:p w:rsidR="005E304B" w:rsidRPr="00EE2CBA" w:rsidRDefault="005E304B" w:rsidP="005E304B">
      <w:pPr>
        <w:spacing w:after="200"/>
        <w:ind w:firstLine="708"/>
        <w:contextualSpacing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 xml:space="preserve">Opis, specifični cilj i financijski okvir svake od mjera za provedbu aktivnosti iz prethodnog stavka navode se u Popisu mjera i aktivnosti za dodjelu potpora </w:t>
      </w:r>
      <w:r>
        <w:t>Grada Koprivnice</w:t>
      </w:r>
      <w:r w:rsidRPr="00EE2CBA">
        <w:t xml:space="preserve"> </w:t>
      </w:r>
      <w:r w:rsidRPr="00EE2CBA">
        <w:rPr>
          <w:rFonts w:eastAsia="Calibri"/>
          <w:lang w:eastAsia="en-US"/>
        </w:rPr>
        <w:t>u poljoprivredi od 201</w:t>
      </w:r>
      <w:r>
        <w:rPr>
          <w:rFonts w:eastAsia="Calibri"/>
          <w:lang w:eastAsia="en-US"/>
        </w:rPr>
        <w:t>7</w:t>
      </w:r>
      <w:r w:rsidRPr="00EE2CBA">
        <w:rPr>
          <w:rFonts w:eastAsia="Calibri"/>
          <w:lang w:eastAsia="en-US"/>
        </w:rPr>
        <w:t>. do 2020. godine koji čini sastavni dio ove Odluke (</w:t>
      </w:r>
      <w:r w:rsidRPr="00EE2CBA">
        <w:t>u daljnjem tekstu: Popis mjera).</w:t>
      </w:r>
    </w:p>
    <w:p w:rsidR="005E304B" w:rsidRPr="00EE2CBA" w:rsidRDefault="005E304B" w:rsidP="005E304B">
      <w:pPr>
        <w:spacing w:after="200"/>
        <w:contextualSpacing/>
        <w:rPr>
          <w:rFonts w:eastAsia="Calibri"/>
          <w:lang w:eastAsia="en-US"/>
        </w:rPr>
      </w:pPr>
    </w:p>
    <w:p w:rsidR="005E304B" w:rsidRPr="00F75AD9" w:rsidRDefault="005E304B" w:rsidP="005E304B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</w:t>
      </w:r>
      <w:r w:rsidRPr="00F75AD9">
        <w:rPr>
          <w:b/>
          <w:i/>
        </w:rPr>
        <w:t>POSTUPAK DODJELE POTPORA</w:t>
      </w:r>
    </w:p>
    <w:p w:rsidR="005E304B" w:rsidRDefault="005E304B" w:rsidP="005E304B">
      <w:pPr>
        <w:rPr>
          <w:rFonts w:eastAsia="Calibri"/>
        </w:rPr>
      </w:pPr>
    </w:p>
    <w:p w:rsidR="005E304B" w:rsidRPr="00EE2CBA" w:rsidRDefault="005E304B" w:rsidP="005E304B">
      <w:pPr>
        <w:spacing w:after="240"/>
        <w:jc w:val="center"/>
        <w:rPr>
          <w:rFonts w:eastAsia="Calibri"/>
          <w:b/>
        </w:rPr>
      </w:pPr>
      <w:r w:rsidRPr="00EE2CBA">
        <w:rPr>
          <w:rFonts w:eastAsia="Calibri"/>
          <w:b/>
        </w:rPr>
        <w:t>Članak 7.</w:t>
      </w:r>
    </w:p>
    <w:p w:rsidR="005E304B" w:rsidRPr="00EE2CBA" w:rsidRDefault="005E304B" w:rsidP="005E304B">
      <w:pPr>
        <w:spacing w:after="240"/>
        <w:ind w:firstLine="708"/>
        <w:jc w:val="both"/>
      </w:pPr>
      <w:r>
        <w:rPr>
          <w:rFonts w:eastAsia="Calibri"/>
          <w:lang w:eastAsia="en-US"/>
        </w:rPr>
        <w:t>Grad Koprivnica</w:t>
      </w:r>
      <w:r w:rsidRPr="00EE2CBA">
        <w:rPr>
          <w:rFonts w:eastAsia="Calibri"/>
          <w:lang w:eastAsia="en-US"/>
        </w:rPr>
        <w:t xml:space="preserve"> na svojoj web stranici (</w:t>
      </w:r>
      <w:hyperlink r:id="rId5" w:history="1">
        <w:r w:rsidRPr="009748B0">
          <w:rPr>
            <w:rStyle w:val="Hiperveza"/>
            <w:rFonts w:eastAsia="Calibri"/>
            <w:lang w:eastAsia="en-US"/>
          </w:rPr>
          <w:t>www.koprivnica.hr</w:t>
        </w:r>
      </w:hyperlink>
      <w:r w:rsidRPr="00EE2CBA">
        <w:rPr>
          <w:rFonts w:eastAsia="Calibri"/>
          <w:lang w:eastAsia="en-US"/>
        </w:rPr>
        <w:t xml:space="preserve">) objavljuje javni poziv za podnošenje prijava za odobravanje potpora po pojedinoj mjeri iz </w:t>
      </w:r>
      <w:r w:rsidRPr="00EE2CBA">
        <w:t>Popisa mjera (u daljnjem tekstu: Javni poziv).</w:t>
      </w:r>
    </w:p>
    <w:p w:rsidR="005E304B" w:rsidRPr="00EE2CBA" w:rsidRDefault="005E304B" w:rsidP="005E304B">
      <w:pPr>
        <w:spacing w:after="240"/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 xml:space="preserve">Prijave za dodjelu potpora podnose se upravnom tijelu </w:t>
      </w:r>
      <w:r>
        <w:rPr>
          <w:rFonts w:eastAsia="Calibri"/>
          <w:lang w:eastAsia="en-US"/>
        </w:rPr>
        <w:t>Grada Koprivnice</w:t>
      </w:r>
      <w:r w:rsidRPr="00EE2CBA">
        <w:rPr>
          <w:rFonts w:eastAsia="Calibri"/>
          <w:lang w:eastAsia="en-US"/>
        </w:rPr>
        <w:t xml:space="preserve"> nadležnom za poslove poljoprivrede </w:t>
      </w:r>
      <w:r w:rsidRPr="00EE2CBA">
        <w:t xml:space="preserve">(u daljnjem tekstu: nadležno upravno tijelo) </w:t>
      </w:r>
      <w:r w:rsidRPr="00EE2CBA">
        <w:rPr>
          <w:rFonts w:eastAsia="Calibri"/>
          <w:lang w:eastAsia="en-US"/>
        </w:rPr>
        <w:t>tijekom cijele godine,</w:t>
      </w:r>
      <w:r>
        <w:rPr>
          <w:rFonts w:eastAsia="Calibri"/>
          <w:lang w:eastAsia="en-US"/>
        </w:rPr>
        <w:t xml:space="preserve"> najkasnije do 30.11. tekuće godine,</w:t>
      </w:r>
      <w:r w:rsidRPr="00EE2CBA">
        <w:rPr>
          <w:rFonts w:eastAsia="Calibri"/>
          <w:lang w:eastAsia="en-US"/>
        </w:rPr>
        <w:t xml:space="preserve"> odnosno do utroška sredstava planiranih za proračunsku godinu.</w:t>
      </w:r>
    </w:p>
    <w:p w:rsidR="005E304B" w:rsidRPr="00EE2CBA" w:rsidRDefault="005E304B" w:rsidP="005E304B">
      <w:pPr>
        <w:spacing w:after="240" w:line="276" w:lineRule="auto"/>
        <w:jc w:val="center"/>
        <w:rPr>
          <w:rFonts w:eastAsia="Calibri"/>
          <w:b/>
        </w:rPr>
      </w:pPr>
      <w:r w:rsidRPr="00EE2CBA">
        <w:rPr>
          <w:rFonts w:eastAsia="Calibri"/>
          <w:b/>
        </w:rPr>
        <w:t>Članak 8.</w:t>
      </w:r>
    </w:p>
    <w:p w:rsidR="005E304B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C250B">
        <w:rPr>
          <w:rFonts w:ascii="Times New Roman" w:hAnsi="Times New Roman"/>
          <w:sz w:val="24"/>
          <w:szCs w:val="24"/>
        </w:rPr>
        <w:t>Prijava za dodjelu potpore sadrži: ispunjeni prijavni obrazac, dokaz o upisu prijavitelja u Upisnik poljoprivrednih gospodarstava, dokaz o prebivalištu, potvrdu o poreznom statusu, izvadak iz odgovarajućeg registra u koji je prijavitelj upisan, preslike računa ili druge vjerodostojne dokumentacije, dokaze o pravnom osnovu korištenja poljoprivrednog zemljišta i druge dokumente kojima se dokazuje opravdanost traženja potpore, ovisno o uvjetima za svaku pojedinu mjeru iz Javnog poziva.</w:t>
      </w:r>
    </w:p>
    <w:p w:rsidR="005E304B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Potrebna dokumentacija za isplatu sredstava potpore po pojedinoj mjeri bit će specificirana na svakom obrascu zahtjeva.</w:t>
      </w:r>
    </w:p>
    <w:p w:rsidR="005E304B" w:rsidRPr="00DC250B" w:rsidRDefault="005E304B" w:rsidP="005E304B">
      <w:pPr>
        <w:ind w:firstLine="708"/>
      </w:pPr>
      <w:r>
        <w:t>Potpora se ne može ostvariti za rabljenu opremu.</w:t>
      </w:r>
    </w:p>
    <w:p w:rsidR="005E304B" w:rsidRPr="00EE2CBA" w:rsidRDefault="005E304B" w:rsidP="005E304B"/>
    <w:p w:rsidR="005E304B" w:rsidRPr="00DC250B" w:rsidRDefault="005E304B" w:rsidP="005E304B">
      <w:pPr>
        <w:spacing w:after="240"/>
        <w:jc w:val="center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Članak 9.</w:t>
      </w:r>
    </w:p>
    <w:p w:rsidR="005E304B" w:rsidRPr="00DC250B" w:rsidRDefault="005E304B" w:rsidP="005E304B">
      <w:pPr>
        <w:ind w:firstLine="708"/>
        <w:jc w:val="both"/>
      </w:pPr>
      <w:r w:rsidRPr="00DC250B">
        <w:t>Sukladno članku 3. Uredbe 1408/2013 ukupan iznos potpora male vrijednosti koji je dodijeljen jednom poduzetniku ne smije prijeći iznos od 15.000,00 EUR-a tijekom r</w:t>
      </w:r>
      <w:r>
        <w:t>azdoblja od tri fiskalne godine</w:t>
      </w:r>
      <w:r w:rsidRPr="00DC250B">
        <w:t xml:space="preserve"> te se ta gornja granica  primjenjuje bez obzira na oblik ili svrhu potpore.</w:t>
      </w:r>
    </w:p>
    <w:p w:rsidR="005E304B" w:rsidRPr="00DC250B" w:rsidRDefault="005E304B" w:rsidP="005E304B">
      <w:pPr>
        <w:ind w:firstLine="708"/>
        <w:jc w:val="both"/>
      </w:pPr>
      <w:r w:rsidRPr="00DC250B">
        <w:rPr>
          <w:rFonts w:eastAsia="Calibri"/>
        </w:rPr>
        <w:t>Sukladno članku 6. Uredbe 1408/2013, podnositelj zahtjeva mora svom zahtjevu priložiti izjavu o iznosima dodijeljenih potpora male vrijednosti u sektoru poljoprivrede iz drugih izvora tijekom prethodne dvije fiskalne godine i u tekućoj fiskalnoj godini</w:t>
      </w:r>
      <w:r w:rsidRPr="00DC250B">
        <w:t xml:space="preserve">. </w:t>
      </w:r>
    </w:p>
    <w:p w:rsidR="005E304B" w:rsidRPr="00DC250B" w:rsidRDefault="005E304B" w:rsidP="005E304B">
      <w:pPr>
        <w:ind w:firstLine="708"/>
        <w:jc w:val="both"/>
      </w:pPr>
      <w:r w:rsidRPr="00DC250B">
        <w:t>Davatelj državne potpore dužan je korisniku potpore dostaviti obavijest da mu je dodijeljena potpora male vrijednosti sukladno Uredbi 1408/2013.</w:t>
      </w:r>
    </w:p>
    <w:p w:rsidR="005E304B" w:rsidRPr="00DC250B" w:rsidRDefault="005E304B" w:rsidP="005E304B">
      <w:pPr>
        <w:ind w:firstLine="708"/>
        <w:jc w:val="both"/>
      </w:pPr>
      <w:r w:rsidRPr="00DC250B">
        <w:lastRenderedPageBreak/>
        <w:t>Sukladno članku 3. Uredbe 1407/2013 ukupan iznos potpora male vrijednosti koji je dodijeljen jednom poduzetniku ne smije prijeći iznos od 200.000,00 EUR-a  tijekom razdoblja od tri fiskalne godine  te se ta gornja granica  primjenjuje bez obzira na oblik ili svrhu potpore.</w:t>
      </w:r>
    </w:p>
    <w:p w:rsidR="005E304B" w:rsidRPr="00DC250B" w:rsidRDefault="005E304B" w:rsidP="005E304B">
      <w:pPr>
        <w:ind w:firstLine="708"/>
        <w:jc w:val="both"/>
      </w:pPr>
      <w:r w:rsidRPr="00DC250B">
        <w:t xml:space="preserve">Sukladno članku 6. Uredbe 1407/2013, podnositelj zahtjeva mora svom zahtjevu priložiti izjavu o iznosima dodijeljenih potpora male vrijednosti iz drugih izvora tijekom prethodne dvije fiskalne godine i u tekućoj fiskalnoj godini. </w:t>
      </w:r>
    </w:p>
    <w:p w:rsidR="005E304B" w:rsidRDefault="005E304B" w:rsidP="005E304B">
      <w:pPr>
        <w:ind w:firstLine="708"/>
        <w:jc w:val="both"/>
      </w:pPr>
      <w:r w:rsidRPr="00DC250B">
        <w:t>Davatelj državne potpore dužan je korisniku potpore dostaviti obavije</w:t>
      </w:r>
      <w:r>
        <w:t xml:space="preserve">st da mu je dodijeljena potpora </w:t>
      </w:r>
      <w:r w:rsidRPr="00DC250B">
        <w:t>male vrijednosti sukladno Uredbi 1407/2013.</w:t>
      </w:r>
    </w:p>
    <w:p w:rsidR="005E304B" w:rsidRPr="00DC250B" w:rsidRDefault="005E304B" w:rsidP="005E304B">
      <w:pPr>
        <w:jc w:val="both"/>
        <w:rPr>
          <w:rFonts w:eastAsia="Calibri"/>
          <w:color w:val="00B050"/>
          <w:lang w:eastAsia="en-US"/>
        </w:rPr>
      </w:pPr>
    </w:p>
    <w:p w:rsidR="005E304B" w:rsidRPr="00EE2CBA" w:rsidRDefault="005E304B" w:rsidP="005E304B">
      <w:pPr>
        <w:spacing w:after="240"/>
        <w:jc w:val="center"/>
        <w:rPr>
          <w:rFonts w:eastAsia="Calibri"/>
          <w:b/>
          <w:lang w:eastAsia="en-US"/>
        </w:rPr>
      </w:pPr>
      <w:r w:rsidRPr="00EE2CBA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10</w:t>
      </w:r>
      <w:r w:rsidRPr="00EE2CBA">
        <w:rPr>
          <w:rFonts w:eastAsia="Calibri"/>
          <w:b/>
          <w:lang w:eastAsia="en-US"/>
        </w:rPr>
        <w:t>.</w:t>
      </w:r>
    </w:p>
    <w:p w:rsidR="005E304B" w:rsidRPr="00F75AD9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75AD9">
        <w:rPr>
          <w:rFonts w:ascii="Times New Roman" w:hAnsi="Times New Roman"/>
          <w:sz w:val="24"/>
          <w:szCs w:val="24"/>
        </w:rPr>
        <w:t xml:space="preserve">U postupku ocjene prijave, nadležno upravno tijelo utvrđuje da li su za dodjelu potpore ispunjeni uvjeti propisani Uredbom de </w:t>
      </w:r>
      <w:proofErr w:type="spellStart"/>
      <w:r w:rsidRPr="00F75AD9">
        <w:rPr>
          <w:rFonts w:ascii="Times New Roman" w:hAnsi="Times New Roman"/>
          <w:sz w:val="24"/>
          <w:szCs w:val="24"/>
        </w:rPr>
        <w:t>minimis</w:t>
      </w:r>
      <w:proofErr w:type="spellEnd"/>
      <w:r w:rsidRPr="00F75AD9">
        <w:rPr>
          <w:rFonts w:ascii="Times New Roman" w:hAnsi="Times New Roman"/>
          <w:sz w:val="24"/>
          <w:szCs w:val="24"/>
        </w:rPr>
        <w:t>, a zaključak gradonačelnika o dodjeli potpore dostavlja se korisniku potpore, čime se potpora smatra dodijeljenom, bez obzira na vrijeme isplate.</w:t>
      </w:r>
    </w:p>
    <w:p w:rsidR="005E304B" w:rsidRDefault="005E304B" w:rsidP="005E304B">
      <w:pPr>
        <w:pStyle w:val="Bezproreda"/>
        <w:ind w:firstLine="708"/>
        <w:jc w:val="both"/>
      </w:pPr>
      <w:r w:rsidRPr="00F75AD9">
        <w:rPr>
          <w:rFonts w:ascii="Times New Roman" w:hAnsi="Times New Roman"/>
          <w:sz w:val="24"/>
          <w:szCs w:val="24"/>
        </w:rPr>
        <w:t>Za korisnike potpore koji su u sustavu PDV-a, isti nije prihvatljiv trošak.</w:t>
      </w:r>
    </w:p>
    <w:p w:rsidR="005E304B" w:rsidRPr="00EE2CBA" w:rsidRDefault="005E304B" w:rsidP="005E304B">
      <w:pPr>
        <w:ind w:firstLine="360"/>
        <w:rPr>
          <w:rFonts w:eastAsia="Calibri"/>
          <w:lang w:eastAsia="en-US"/>
        </w:rPr>
      </w:pPr>
    </w:p>
    <w:p w:rsidR="005E304B" w:rsidRDefault="005E304B" w:rsidP="005E304B">
      <w:pPr>
        <w:numPr>
          <w:ilvl w:val="0"/>
          <w:numId w:val="2"/>
        </w:numPr>
        <w:rPr>
          <w:rFonts w:eastAsia="Calibri"/>
          <w:b/>
          <w:i/>
          <w:lang w:eastAsia="en-US"/>
        </w:rPr>
      </w:pPr>
      <w:r w:rsidRPr="0008695D">
        <w:rPr>
          <w:rFonts w:eastAsia="Calibri"/>
          <w:b/>
          <w:i/>
          <w:lang w:eastAsia="en-US"/>
        </w:rPr>
        <w:t>PRAĆENJE I NADZOR</w:t>
      </w:r>
    </w:p>
    <w:p w:rsidR="005E304B" w:rsidRPr="00F75AD9" w:rsidRDefault="005E304B" w:rsidP="005E304B">
      <w:pPr>
        <w:ind w:left="1080"/>
        <w:rPr>
          <w:rFonts w:eastAsia="Calibri"/>
          <w:b/>
          <w:i/>
          <w:lang w:eastAsia="en-US"/>
        </w:rPr>
      </w:pPr>
    </w:p>
    <w:p w:rsidR="005E304B" w:rsidRPr="00EE2CBA" w:rsidRDefault="005E304B" w:rsidP="005E304B">
      <w:pPr>
        <w:spacing w:after="240"/>
        <w:jc w:val="center"/>
        <w:rPr>
          <w:rFonts w:eastAsia="Calibri"/>
          <w:i/>
          <w:lang w:eastAsia="en-US"/>
        </w:rPr>
      </w:pPr>
      <w:r w:rsidRPr="00EE2CBA">
        <w:rPr>
          <w:rFonts w:eastAsia="Calibri"/>
          <w:b/>
          <w:lang w:eastAsia="en-US"/>
        </w:rPr>
        <w:t>Članak 1</w:t>
      </w:r>
      <w:r>
        <w:rPr>
          <w:rFonts w:eastAsia="Calibri"/>
          <w:b/>
          <w:lang w:eastAsia="en-US"/>
        </w:rPr>
        <w:t>1</w:t>
      </w:r>
      <w:r w:rsidRPr="00EE2CBA">
        <w:rPr>
          <w:rFonts w:eastAsia="Calibri"/>
          <w:b/>
          <w:lang w:eastAsia="en-US"/>
        </w:rPr>
        <w:t>.</w:t>
      </w:r>
    </w:p>
    <w:p w:rsidR="005E304B" w:rsidRPr="00F75AD9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75AD9">
        <w:rPr>
          <w:rFonts w:ascii="Times New Roman" w:hAnsi="Times New Roman"/>
          <w:sz w:val="24"/>
          <w:szCs w:val="24"/>
        </w:rPr>
        <w:t>Nadležno upravno tijelo će u suradnji s korisnikom potpore, s ciljem poštovanja načela transparentnosti trošenja proračunskog novca i mjerenja vrijednosti povrata za uložena sredstva, pratiti provedbu financiranih mjera, sukladno propisima o fiskalnoj odgovornosti, financijskom poslovanju i računovodstvu, ovom Odlukom i drugim pozitivnim propisima.</w:t>
      </w:r>
    </w:p>
    <w:p w:rsidR="005E304B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75AD9">
        <w:rPr>
          <w:rFonts w:ascii="Times New Roman" w:hAnsi="Times New Roman"/>
          <w:sz w:val="24"/>
          <w:szCs w:val="24"/>
        </w:rPr>
        <w:t>Praćenje će se vršiti kontrolom «na licu mjesta» od strane zaduženih službenika, u dogovoru s korisnikom sredstava potpore.</w:t>
      </w:r>
    </w:p>
    <w:p w:rsidR="005E304B" w:rsidRPr="00F75AD9" w:rsidRDefault="005E304B" w:rsidP="005E304B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5E304B" w:rsidRPr="008704FE" w:rsidRDefault="005E304B" w:rsidP="005E304B">
      <w:pPr>
        <w:spacing w:after="240"/>
        <w:jc w:val="center"/>
        <w:rPr>
          <w:b/>
        </w:rPr>
      </w:pPr>
      <w:r w:rsidRPr="008704FE">
        <w:rPr>
          <w:rFonts w:eastAsia="Calibri"/>
          <w:b/>
          <w:lang w:eastAsia="en-US"/>
        </w:rPr>
        <w:t>Članak 1</w:t>
      </w:r>
      <w:r>
        <w:rPr>
          <w:rFonts w:eastAsia="Calibri"/>
          <w:b/>
          <w:lang w:eastAsia="en-US"/>
        </w:rPr>
        <w:t>2</w:t>
      </w:r>
      <w:r w:rsidRPr="008704FE">
        <w:rPr>
          <w:rFonts w:eastAsia="Calibri"/>
          <w:b/>
          <w:lang w:eastAsia="en-US"/>
        </w:rPr>
        <w:t>.</w:t>
      </w:r>
    </w:p>
    <w:p w:rsidR="005E304B" w:rsidRDefault="005E304B" w:rsidP="005E3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75AD9">
        <w:rPr>
          <w:rFonts w:ascii="Times New Roman" w:hAnsi="Times New Roman"/>
          <w:sz w:val="24"/>
          <w:szCs w:val="24"/>
        </w:rPr>
        <w:t>Korisnicima koji imaju dugovanja prema Proračunu Gr</w:t>
      </w:r>
      <w:r>
        <w:rPr>
          <w:rFonts w:ascii="Times New Roman" w:hAnsi="Times New Roman"/>
          <w:sz w:val="24"/>
          <w:szCs w:val="24"/>
        </w:rPr>
        <w:t xml:space="preserve">ada Koprivnice neće se odobriti </w:t>
      </w:r>
      <w:r w:rsidRPr="00F75AD9">
        <w:rPr>
          <w:rFonts w:ascii="Times New Roman" w:hAnsi="Times New Roman"/>
          <w:sz w:val="24"/>
          <w:szCs w:val="24"/>
        </w:rPr>
        <w:t>sredstva potpore.</w:t>
      </w:r>
    </w:p>
    <w:p w:rsidR="005E304B" w:rsidRPr="00F75AD9" w:rsidRDefault="005E304B" w:rsidP="005E304B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5E304B" w:rsidRDefault="005E304B" w:rsidP="005E304B">
      <w:pPr>
        <w:numPr>
          <w:ilvl w:val="0"/>
          <w:numId w:val="2"/>
        </w:numPr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 </w:t>
      </w:r>
      <w:r w:rsidRPr="008C4B2A">
        <w:rPr>
          <w:rFonts w:eastAsia="Calibri"/>
          <w:b/>
          <w:i/>
          <w:lang w:eastAsia="en-US"/>
        </w:rPr>
        <w:t>ZAVRŠNE ODREDBE</w:t>
      </w:r>
    </w:p>
    <w:p w:rsidR="005E304B" w:rsidRPr="008C4B2A" w:rsidRDefault="005E304B" w:rsidP="005E304B">
      <w:pPr>
        <w:rPr>
          <w:rFonts w:eastAsia="Calibri"/>
          <w:b/>
          <w:i/>
          <w:lang w:eastAsia="en-US"/>
        </w:rPr>
      </w:pPr>
    </w:p>
    <w:p w:rsidR="005E304B" w:rsidRPr="00F75AD9" w:rsidRDefault="005E304B" w:rsidP="005E304B">
      <w:pPr>
        <w:jc w:val="center"/>
        <w:rPr>
          <w:b/>
        </w:rPr>
      </w:pPr>
      <w:r w:rsidRPr="00F75AD9">
        <w:rPr>
          <w:b/>
        </w:rPr>
        <w:t>Članak 13.</w:t>
      </w:r>
    </w:p>
    <w:p w:rsidR="005E304B" w:rsidRPr="00EE2CBA" w:rsidRDefault="005E304B" w:rsidP="005E304B">
      <w:pPr>
        <w:jc w:val="center"/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>
        <w:t>Ova Odluka stupa na snagu osmog</w:t>
      </w:r>
      <w:r w:rsidRPr="00CC7B2A">
        <w:t xml:space="preserve"> dan</w:t>
      </w:r>
      <w:r>
        <w:t>a</w:t>
      </w:r>
      <w:r w:rsidRPr="00CC7B2A">
        <w:t xml:space="preserve"> od dana objave u</w:t>
      </w:r>
      <w:r w:rsidRPr="008C4B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«Glasniku Grada Koprivnice»</w:t>
      </w:r>
      <w:r w:rsidRPr="008C4B2A">
        <w:rPr>
          <w:rFonts w:eastAsia="Calibri"/>
          <w:lang w:eastAsia="en-US"/>
        </w:rPr>
        <w:t>.</w:t>
      </w: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</w:p>
    <w:p w:rsidR="004705E9" w:rsidRPr="004705E9" w:rsidRDefault="004705E9" w:rsidP="004705E9">
      <w:pPr>
        <w:ind w:firstLine="708"/>
        <w:jc w:val="both"/>
        <w:rPr>
          <w:rFonts w:eastAsia="Calibri"/>
          <w:lang w:eastAsia="en-US"/>
        </w:rPr>
      </w:pPr>
      <w:r w:rsidRPr="004705E9">
        <w:rPr>
          <w:rFonts w:eastAsia="Calibri"/>
          <w:lang w:eastAsia="en-US"/>
        </w:rPr>
        <w:t>KLASA:320-01/17-01/0001</w:t>
      </w:r>
    </w:p>
    <w:p w:rsidR="004705E9" w:rsidRPr="004705E9" w:rsidRDefault="004705E9" w:rsidP="004705E9">
      <w:pPr>
        <w:ind w:firstLine="708"/>
        <w:jc w:val="both"/>
        <w:rPr>
          <w:rFonts w:eastAsia="Calibri"/>
          <w:lang w:eastAsia="en-US"/>
        </w:rPr>
      </w:pPr>
      <w:r w:rsidRPr="004705E9">
        <w:rPr>
          <w:rFonts w:eastAsia="Calibri"/>
          <w:lang w:eastAsia="en-US"/>
        </w:rPr>
        <w:t>UR BROJ:2137/01-05-02/6-17-2</w:t>
      </w:r>
    </w:p>
    <w:p w:rsidR="005E304B" w:rsidRDefault="004705E9" w:rsidP="004705E9">
      <w:pPr>
        <w:ind w:firstLine="708"/>
        <w:jc w:val="both"/>
        <w:rPr>
          <w:rFonts w:eastAsia="Calibri"/>
          <w:lang w:eastAsia="en-US"/>
        </w:rPr>
      </w:pPr>
      <w:r w:rsidRPr="004705E9">
        <w:rPr>
          <w:rFonts w:eastAsia="Calibri"/>
          <w:lang w:eastAsia="en-US"/>
        </w:rPr>
        <w:t>Koprivnica, 19. travnja 2017.</w:t>
      </w:r>
    </w:p>
    <w:p w:rsidR="004705E9" w:rsidRDefault="004705E9" w:rsidP="004705E9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</w:p>
    <w:p w:rsidR="005E304B" w:rsidRPr="00F628D6" w:rsidRDefault="005E304B" w:rsidP="005E304B">
      <w:pPr>
        <w:ind w:firstLine="708"/>
        <w:jc w:val="center"/>
        <w:rPr>
          <w:rFonts w:eastAsia="Calibri"/>
          <w:b/>
          <w:lang w:eastAsia="en-US"/>
        </w:rPr>
      </w:pPr>
      <w:r w:rsidRPr="00F628D6">
        <w:rPr>
          <w:rFonts w:eastAsia="Calibri"/>
          <w:b/>
          <w:lang w:eastAsia="en-US"/>
        </w:rPr>
        <w:t>GRADSKO VIJEĆE</w:t>
      </w:r>
    </w:p>
    <w:p w:rsidR="005E304B" w:rsidRDefault="005E304B" w:rsidP="005E304B">
      <w:pPr>
        <w:ind w:firstLine="708"/>
        <w:jc w:val="center"/>
        <w:rPr>
          <w:rFonts w:eastAsia="Calibri"/>
          <w:b/>
          <w:lang w:eastAsia="en-US"/>
        </w:rPr>
      </w:pPr>
      <w:r w:rsidRPr="00F628D6">
        <w:rPr>
          <w:rFonts w:eastAsia="Calibri"/>
          <w:b/>
          <w:lang w:eastAsia="en-US"/>
        </w:rPr>
        <w:t>GRADA KOPRIVNICE</w:t>
      </w:r>
    </w:p>
    <w:p w:rsidR="005E304B" w:rsidRDefault="005E304B" w:rsidP="005E304B">
      <w:pPr>
        <w:ind w:firstLine="708"/>
        <w:jc w:val="center"/>
        <w:rPr>
          <w:rFonts w:eastAsia="Calibri"/>
          <w:b/>
          <w:lang w:eastAsia="en-US"/>
        </w:rPr>
      </w:pPr>
    </w:p>
    <w:p w:rsidR="005E304B" w:rsidRDefault="005E304B" w:rsidP="005E304B">
      <w:pPr>
        <w:ind w:firstLine="708"/>
        <w:jc w:val="center"/>
        <w:rPr>
          <w:rFonts w:eastAsia="Calibri"/>
          <w:lang w:eastAsia="en-US"/>
        </w:rPr>
      </w:pPr>
    </w:p>
    <w:p w:rsidR="005E304B" w:rsidRDefault="005E304B" w:rsidP="005E304B">
      <w:pPr>
        <w:tabs>
          <w:tab w:val="center" w:pos="7371"/>
        </w:tabs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ab/>
        <w:t>Predsjednik:</w:t>
      </w:r>
    </w:p>
    <w:p w:rsidR="005E304B" w:rsidRPr="00EE2CBA" w:rsidRDefault="005E304B" w:rsidP="005E304B">
      <w:pPr>
        <w:tabs>
          <w:tab w:val="center" w:pos="7371"/>
        </w:tabs>
        <w:ind w:firstLine="708"/>
        <w:jc w:val="both"/>
        <w:rPr>
          <w:rFonts w:eastAsia="Calibri"/>
        </w:rPr>
      </w:pPr>
      <w:r>
        <w:rPr>
          <w:rFonts w:eastAsia="Calibri"/>
        </w:rPr>
        <w:tab/>
        <w:t xml:space="preserve">Zoran </w:t>
      </w:r>
      <w:proofErr w:type="spellStart"/>
      <w:r>
        <w:rPr>
          <w:rFonts w:eastAsia="Calibri"/>
        </w:rPr>
        <w:t>Gošek</w:t>
      </w:r>
      <w:proofErr w:type="spellEnd"/>
      <w:r>
        <w:rPr>
          <w:rFonts w:eastAsia="Calibri"/>
        </w:rPr>
        <w:t>, dipl. ing.</w:t>
      </w:r>
    </w:p>
    <w:p w:rsidR="005E304B" w:rsidRPr="00EE2CBA" w:rsidRDefault="005E304B" w:rsidP="005E304B">
      <w:pPr>
        <w:ind w:left="4248"/>
        <w:jc w:val="center"/>
        <w:rPr>
          <w:rFonts w:eastAsia="Calibri"/>
        </w:rPr>
      </w:pPr>
    </w:p>
    <w:p w:rsidR="005E304B" w:rsidRPr="00EE2CBA" w:rsidRDefault="005E304B" w:rsidP="005E304B">
      <w:pPr>
        <w:rPr>
          <w:rFonts w:eastAsia="Calibri"/>
        </w:rPr>
      </w:pPr>
      <w:r>
        <w:rPr>
          <w:rFonts w:eastAsia="Calibri"/>
        </w:rPr>
        <w:br w:type="page"/>
      </w:r>
    </w:p>
    <w:p w:rsidR="005E304B" w:rsidRPr="00EE2CBA" w:rsidRDefault="005E304B" w:rsidP="005E304B">
      <w:pPr>
        <w:spacing w:line="360" w:lineRule="auto"/>
        <w:jc w:val="center"/>
        <w:rPr>
          <w:rFonts w:eastAsia="Calibri"/>
          <w:b/>
          <w:lang w:eastAsia="en-US"/>
        </w:rPr>
      </w:pPr>
      <w:r w:rsidRPr="00EE2CBA">
        <w:rPr>
          <w:rFonts w:eastAsia="Calibri"/>
          <w:b/>
          <w:lang w:eastAsia="en-US"/>
        </w:rPr>
        <w:lastRenderedPageBreak/>
        <w:t>POPIS MJERA I AKTIVNOSTI</w:t>
      </w:r>
    </w:p>
    <w:p w:rsidR="005E304B" w:rsidRPr="00EE2CBA" w:rsidRDefault="005E304B" w:rsidP="005E304B">
      <w:pPr>
        <w:spacing w:line="360" w:lineRule="auto"/>
        <w:jc w:val="center"/>
        <w:rPr>
          <w:b/>
        </w:rPr>
      </w:pPr>
      <w:r w:rsidRPr="00EE2CBA">
        <w:rPr>
          <w:rFonts w:eastAsia="Calibri"/>
          <w:b/>
          <w:lang w:eastAsia="en-US"/>
        </w:rPr>
        <w:t xml:space="preserve">ZA DODJELU POTPORA </w:t>
      </w:r>
      <w:r>
        <w:rPr>
          <w:b/>
        </w:rPr>
        <w:t>GRADA KOPRIVNICE</w:t>
      </w:r>
      <w:r w:rsidRPr="00EE2CBA">
        <w:rPr>
          <w:b/>
        </w:rPr>
        <w:t xml:space="preserve"> </w:t>
      </w:r>
    </w:p>
    <w:p w:rsidR="005E304B" w:rsidRPr="00EE2CBA" w:rsidRDefault="005E304B" w:rsidP="005E304B">
      <w:pPr>
        <w:spacing w:line="360" w:lineRule="auto"/>
        <w:jc w:val="center"/>
        <w:rPr>
          <w:rFonts w:eastAsia="Calibri"/>
          <w:b/>
          <w:lang w:eastAsia="en-US"/>
        </w:rPr>
      </w:pPr>
      <w:r w:rsidRPr="00EE2CBA">
        <w:rPr>
          <w:rFonts w:eastAsia="Calibri"/>
          <w:b/>
          <w:lang w:eastAsia="en-US"/>
        </w:rPr>
        <w:t>U POLJOPRIVREDI OD 201</w:t>
      </w:r>
      <w:r>
        <w:rPr>
          <w:rFonts w:eastAsia="Calibri"/>
          <w:b/>
          <w:lang w:eastAsia="en-US"/>
        </w:rPr>
        <w:t>7</w:t>
      </w:r>
      <w:r w:rsidRPr="00EE2CBA">
        <w:rPr>
          <w:rFonts w:eastAsia="Calibri"/>
          <w:b/>
          <w:lang w:eastAsia="en-US"/>
        </w:rPr>
        <w:t>. DO 2020. GODINE</w:t>
      </w:r>
    </w:p>
    <w:p w:rsidR="005E304B" w:rsidRDefault="005E304B" w:rsidP="005E304B">
      <w:pPr>
        <w:rPr>
          <w:rFonts w:eastAsia="Calibri"/>
          <w:b/>
        </w:rPr>
      </w:pPr>
    </w:p>
    <w:p w:rsidR="005E304B" w:rsidRDefault="005E304B" w:rsidP="005E304B">
      <w:pPr>
        <w:rPr>
          <w:rFonts w:eastAsia="Calibri"/>
          <w:b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1. Cjeloživotno obrazovanje</w:t>
      </w:r>
    </w:p>
    <w:p w:rsidR="005E304B" w:rsidRPr="00EE2CBA" w:rsidRDefault="005E304B" w:rsidP="005E304B">
      <w:pPr>
        <w:jc w:val="both"/>
      </w:pPr>
      <w:r w:rsidRPr="00EE2CBA">
        <w:tab/>
      </w:r>
    </w:p>
    <w:p w:rsidR="005E304B" w:rsidRPr="00EE2CBA" w:rsidRDefault="005E304B" w:rsidP="005E304B">
      <w:pPr>
        <w:ind w:firstLine="708"/>
        <w:jc w:val="both"/>
      </w:pPr>
      <w:r w:rsidRPr="00EE2CBA">
        <w:t>Mjerom cjeloživotnog obrazovanja želi se potaknuti razvoj kompetencija na tržištu rada kako bi se postigla veća konkurentnost i trajna zapo</w:t>
      </w:r>
      <w:r>
        <w:t>slenost</w:t>
      </w:r>
      <w:r w:rsidRPr="00EE2CBA">
        <w:t xml:space="preserve">. Cilj mjere je jačanje i nadogradnja formalno stečenog obrazovanja, znanja i vještina. </w:t>
      </w:r>
    </w:p>
    <w:p w:rsidR="005E304B" w:rsidRDefault="005E304B" w:rsidP="005E304B">
      <w:pPr>
        <w:ind w:firstLine="708"/>
        <w:jc w:val="both"/>
      </w:pPr>
      <w:r w:rsidRPr="00EE2CBA">
        <w:t>Potpora se dodjeljuje za dio troškova edukacij</w:t>
      </w:r>
      <w:r>
        <w:t>e i stručnog osposobljavanja</w:t>
      </w:r>
      <w:r w:rsidRPr="00EE2CBA">
        <w:t xml:space="preserve"> za rad </w:t>
      </w:r>
      <w:r>
        <w:t>u voćarstvu i povrtlarstvu</w:t>
      </w:r>
      <w:r w:rsidRPr="00EE2CBA">
        <w:t xml:space="preserve">. </w:t>
      </w:r>
    </w:p>
    <w:p w:rsidR="005E304B" w:rsidRDefault="005E304B" w:rsidP="005E304B">
      <w:pPr>
        <w:ind w:firstLine="708"/>
        <w:jc w:val="both"/>
      </w:pPr>
      <w:r w:rsidRPr="00EE2CBA">
        <w:t xml:space="preserve">Potpora se dodjeljuje u visini do 50% ukupnih troškova edukacije, a naviše do </w:t>
      </w:r>
      <w:r>
        <w:t>7</w:t>
      </w:r>
      <w:r w:rsidRPr="00EE2CBA">
        <w:t xml:space="preserve">00,00 kn po </w:t>
      </w:r>
      <w:r>
        <w:t>svakoj edukaciji ili stručnom osposobljavanju</w:t>
      </w:r>
      <w:r w:rsidRPr="00EE2CBA">
        <w:t>.</w:t>
      </w:r>
    </w:p>
    <w:p w:rsidR="005E304B" w:rsidRDefault="005E304B" w:rsidP="005E304B">
      <w:pPr>
        <w:ind w:firstLine="708"/>
        <w:jc w:val="both"/>
      </w:pPr>
    </w:p>
    <w:p w:rsidR="005E304B" w:rsidRDefault="005E304B" w:rsidP="005E304B">
      <w:pPr>
        <w:ind w:firstLine="708"/>
        <w:jc w:val="both"/>
      </w:pPr>
      <w:r w:rsidRPr="00EE2CBA">
        <w:rPr>
          <w:rFonts w:eastAsia="Calibri"/>
          <w:lang w:eastAsia="en-US"/>
        </w:rPr>
        <w:t xml:space="preserve">Maksimalan iznos sredstava potpore po jednom korisniku iznosi najviše </w:t>
      </w:r>
      <w:r>
        <w:rPr>
          <w:rFonts w:eastAsia="Calibri"/>
          <w:lang w:eastAsia="en-US"/>
        </w:rPr>
        <w:t>5</w:t>
      </w:r>
      <w:r w:rsidRPr="00EE2CBA">
        <w:rPr>
          <w:rFonts w:eastAsia="Calibri"/>
          <w:lang w:eastAsia="en-US"/>
        </w:rPr>
        <w:t>.000,00 kn godišnje.</w:t>
      </w:r>
    </w:p>
    <w:p w:rsidR="005E304B" w:rsidRPr="00EE2CBA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2. Sudjelovanje na sajmovima (izložbama, lokalno-tradicijskim manifestacijama)</w:t>
      </w:r>
    </w:p>
    <w:p w:rsidR="005E304B" w:rsidRPr="00DC250B" w:rsidRDefault="005E304B" w:rsidP="005E304B">
      <w:pPr>
        <w:jc w:val="both"/>
      </w:pPr>
    </w:p>
    <w:p w:rsidR="005E304B" w:rsidRDefault="005E304B" w:rsidP="005E304B">
      <w:pPr>
        <w:ind w:firstLine="708"/>
        <w:jc w:val="both"/>
      </w:pPr>
      <w:r>
        <w:t xml:space="preserve">Za sudjelovanje na sajmovima radi izlaganja robe u cilju promidžbe vlastitih proizvoda  subvencionirati će se troškovi zakupa izložbenog prostora u visini stvarnih troškova, a maksimalno 700,00 kuna dnevno. </w:t>
      </w:r>
    </w:p>
    <w:p w:rsidR="005E304B" w:rsidRDefault="005E304B" w:rsidP="005E304B">
      <w:pPr>
        <w:jc w:val="both"/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 xml:space="preserve">Maksimalan iznos sredstava potpore po jednom korisniku iznosi najviše </w:t>
      </w:r>
      <w:r>
        <w:rPr>
          <w:rFonts w:eastAsia="Calibri"/>
          <w:lang w:eastAsia="en-US"/>
        </w:rPr>
        <w:t>5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b/>
        </w:rPr>
      </w:pPr>
      <w:r>
        <w:rPr>
          <w:b/>
        </w:rPr>
        <w:t xml:space="preserve">MJERA </w:t>
      </w:r>
      <w:r w:rsidRPr="00DC250B">
        <w:rPr>
          <w:b/>
        </w:rPr>
        <w:t>3. Studijska putovanja</w:t>
      </w:r>
    </w:p>
    <w:p w:rsidR="005E304B" w:rsidRDefault="005E304B" w:rsidP="005E304B">
      <w:pPr>
        <w:jc w:val="both"/>
      </w:pPr>
    </w:p>
    <w:p w:rsidR="005E304B" w:rsidRDefault="005E304B" w:rsidP="005E304B">
      <w:pPr>
        <w:jc w:val="both"/>
      </w:pPr>
      <w:r>
        <w:tab/>
        <w:t>Grad Koprivnica subvencionirati će do dva studijska putovanja godišnje i to troškove autobusnog prijevoza za pojedinu udrugu s područja Grada Koprivnice čiji su članovi korisnici mjera iz ove Odluke.</w:t>
      </w:r>
    </w:p>
    <w:p w:rsidR="005E304B" w:rsidRDefault="005E304B" w:rsidP="005E304B">
      <w:pPr>
        <w:jc w:val="both"/>
      </w:pPr>
      <w:r>
        <w:tab/>
        <w:t xml:space="preserve">Cijena prijevoza po računu prijevoznika do 5.000,00 kuna subvencionira se u cijelosti, a u koliko je cijena veća, iznos iznad 5.000,00 kuna subvencionirati će se sa 30%. </w:t>
      </w:r>
    </w:p>
    <w:p w:rsidR="005E304B" w:rsidRDefault="005E304B" w:rsidP="005E304B">
      <w:pPr>
        <w:jc w:val="both"/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>
        <w:t>Maksimalni iznos sredstava potpore po jednom putovanju može iznositi najviše do 10.000,00 kuna godišnje.</w:t>
      </w:r>
    </w:p>
    <w:p w:rsidR="005E304B" w:rsidRPr="00DC250B" w:rsidRDefault="005E304B" w:rsidP="005E304B">
      <w:pPr>
        <w:jc w:val="both"/>
        <w:rPr>
          <w:rFonts w:eastAsia="Calibri"/>
        </w:rPr>
      </w:pPr>
    </w:p>
    <w:p w:rsidR="005E304B" w:rsidRPr="00DC250B" w:rsidRDefault="005E304B" w:rsidP="005E304B">
      <w:pPr>
        <w:ind w:right="-31"/>
        <w:jc w:val="both"/>
        <w:rPr>
          <w:b/>
        </w:rPr>
      </w:pPr>
      <w:r w:rsidRPr="00DC250B">
        <w:rPr>
          <w:b/>
        </w:rPr>
        <w:t>MJERA</w:t>
      </w:r>
      <w:r w:rsidRPr="00DC250B">
        <w:rPr>
          <w:b/>
          <w:sz w:val="28"/>
        </w:rPr>
        <w:t xml:space="preserve"> </w:t>
      </w:r>
      <w:r>
        <w:rPr>
          <w:b/>
        </w:rPr>
        <w:t>4</w:t>
      </w:r>
      <w:r w:rsidRPr="00DC250B">
        <w:rPr>
          <w:b/>
        </w:rPr>
        <w:t>. Proizvodnja povrća, cvijeća i sjemenja u zatvorenim prostorima (plastenici i staklenici)</w:t>
      </w:r>
    </w:p>
    <w:p w:rsidR="005E304B" w:rsidRDefault="005E304B" w:rsidP="005E304B">
      <w:pPr>
        <w:jc w:val="both"/>
      </w:pPr>
    </w:p>
    <w:p w:rsidR="005E304B" w:rsidRPr="00D35292" w:rsidRDefault="005E304B" w:rsidP="005E304B">
      <w:pPr>
        <w:jc w:val="both"/>
      </w:pPr>
      <w:r>
        <w:rPr>
          <w:rFonts w:eastAsia="Calibri"/>
        </w:rPr>
        <w:tab/>
        <w:t>P</w:t>
      </w:r>
      <w:r>
        <w:t>roizvodnja</w:t>
      </w:r>
      <w:r w:rsidRPr="00D35292">
        <w:t xml:space="preserve"> povrća, cvijeća i sjemenja u zatvorenim prostorima (plastenicima i staklenicima) minimalne površine 150 m²  </w:t>
      </w:r>
      <w:r>
        <w:t xml:space="preserve">financirat </w:t>
      </w:r>
      <w:r w:rsidRPr="00D35292">
        <w:t>će se iznosom od 5,00 kn po 1m² proizvodnog prostora.</w:t>
      </w:r>
    </w:p>
    <w:p w:rsidR="005E304B" w:rsidRDefault="005E304B" w:rsidP="005E304B">
      <w:pPr>
        <w:ind w:firstLine="708"/>
        <w:jc w:val="both"/>
      </w:pPr>
      <w:r w:rsidRPr="00D35292">
        <w:t xml:space="preserve">Isplata </w:t>
      </w:r>
      <w:r>
        <w:t>potpore</w:t>
      </w:r>
      <w:r w:rsidRPr="00D35292">
        <w:t xml:space="preserve"> vršiti će se na temelju dokumentacije o veličini zatvorenog prostora (staklenika, plastenika).</w:t>
      </w:r>
    </w:p>
    <w:p w:rsidR="005E304B" w:rsidRPr="00D35292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lastRenderedPageBreak/>
        <w:t>Maksimalan iznos sredstava potpore po je</w:t>
      </w:r>
      <w:r>
        <w:rPr>
          <w:rFonts w:eastAsia="Calibri"/>
          <w:lang w:eastAsia="en-US"/>
        </w:rPr>
        <w:t xml:space="preserve">dnom korisniku iznosi najviše </w:t>
      </w:r>
      <w:r w:rsidRPr="00EE2CBA">
        <w:rPr>
          <w:rFonts w:eastAsia="Calibri"/>
          <w:lang w:eastAsia="en-US"/>
        </w:rPr>
        <w:t>5.000,00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5</w:t>
      </w:r>
      <w:r w:rsidRPr="00DC250B">
        <w:rPr>
          <w:rFonts w:eastAsia="Calibri"/>
          <w:b/>
          <w:lang w:eastAsia="en-US"/>
        </w:rPr>
        <w:t>. Podizanje trajnih nasada</w:t>
      </w:r>
    </w:p>
    <w:p w:rsidR="005E304B" w:rsidRPr="00EE2CBA" w:rsidRDefault="005E304B" w:rsidP="005E304B">
      <w:pPr>
        <w:jc w:val="both"/>
        <w:rPr>
          <w:rFonts w:eastAsia="Calibri"/>
          <w:lang w:eastAsia="en-US"/>
        </w:rPr>
      </w:pPr>
    </w:p>
    <w:p w:rsidR="005E304B" w:rsidRPr="00EE2CBA" w:rsidRDefault="005E304B" w:rsidP="005E304B">
      <w:pPr>
        <w:ind w:firstLine="708"/>
        <w:jc w:val="both"/>
        <w:rPr>
          <w:bCs/>
        </w:rPr>
      </w:pPr>
      <w:r w:rsidRPr="00EE2CBA">
        <w:t xml:space="preserve">U cilju stvaranja novih nasada, </w:t>
      </w:r>
      <w:r>
        <w:t>Grad Koprivnica subvencionirat</w:t>
      </w:r>
      <w:r w:rsidRPr="00EE2CBA">
        <w:t xml:space="preserve"> će nabavku kval</w:t>
      </w:r>
      <w:r>
        <w:t xml:space="preserve">itetnih voćnih sadnica i loznih cijepova preporučenih sorti za područje </w:t>
      </w:r>
      <w:proofErr w:type="spellStart"/>
      <w:r>
        <w:t>podregije</w:t>
      </w:r>
      <w:proofErr w:type="spellEnd"/>
      <w:r>
        <w:t xml:space="preserve"> Prigorje – Bilogora, propisanih Pravilnikom o Nacionalnoj listi priznatih </w:t>
      </w:r>
      <w:proofErr w:type="spellStart"/>
      <w:r>
        <w:t>kultivara</w:t>
      </w:r>
      <w:proofErr w:type="spellEnd"/>
      <w:r>
        <w:t xml:space="preserve"> vinove loze</w:t>
      </w:r>
      <w:r w:rsidRPr="00EE2CBA">
        <w:t>. Voćne sadnice</w:t>
      </w:r>
      <w:r>
        <w:t xml:space="preserve"> </w:t>
      </w:r>
      <w:r w:rsidRPr="00EE2CBA">
        <w:t xml:space="preserve">subvencionirat će se kod kupnje jedne vrste voćne sadnice, u </w:t>
      </w:r>
      <w:r>
        <w:t>iznosu</w:t>
      </w:r>
      <w:r w:rsidRPr="00EE2CBA">
        <w:t xml:space="preserve"> prema niže navedenoj tablici</w:t>
      </w:r>
      <w:r w:rsidRPr="00EE2CBA">
        <w:rPr>
          <w:bCs/>
        </w:rPr>
        <w:t xml:space="preserve">: </w:t>
      </w:r>
    </w:p>
    <w:p w:rsidR="005E304B" w:rsidRPr="00EE2CBA" w:rsidRDefault="005E304B" w:rsidP="005E304B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88"/>
        <w:gridCol w:w="1778"/>
        <w:gridCol w:w="3214"/>
      </w:tblGrid>
      <w:tr w:rsidR="005E304B" w:rsidRPr="00DC250B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4B" w:rsidRPr="00DC250B" w:rsidRDefault="005E304B" w:rsidP="00945EF2">
            <w:pPr>
              <w:jc w:val="center"/>
              <w:rPr>
                <w:b/>
              </w:rPr>
            </w:pPr>
            <w:r w:rsidRPr="00DC250B">
              <w:rPr>
                <w:b/>
              </w:rPr>
              <w:t>Redni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4B" w:rsidRPr="00DC250B" w:rsidRDefault="005E304B" w:rsidP="00945EF2">
            <w:pPr>
              <w:jc w:val="center"/>
              <w:rPr>
                <w:b/>
              </w:rPr>
            </w:pPr>
            <w:r w:rsidRPr="00DC250B">
              <w:rPr>
                <w:b/>
              </w:rPr>
              <w:t>Vrsta voćnih sadnica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4B" w:rsidRPr="00DC250B" w:rsidRDefault="005E304B" w:rsidP="00945EF2">
            <w:pPr>
              <w:jc w:val="center"/>
              <w:rPr>
                <w:b/>
              </w:rPr>
            </w:pPr>
            <w:r w:rsidRPr="00DC250B">
              <w:rPr>
                <w:b/>
              </w:rPr>
              <w:t>Min. kupljeno sadnica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4B" w:rsidRPr="00DC250B" w:rsidRDefault="005E304B" w:rsidP="00945EF2">
            <w:pPr>
              <w:jc w:val="center"/>
              <w:rPr>
                <w:b/>
              </w:rPr>
            </w:pPr>
            <w:r w:rsidRPr="00DC250B">
              <w:rPr>
                <w:b/>
              </w:rPr>
              <w:t>Subvencije po</w:t>
            </w:r>
          </w:p>
          <w:p w:rsidR="005E304B" w:rsidRPr="00DC250B" w:rsidRDefault="005E304B" w:rsidP="00945EF2">
            <w:pPr>
              <w:jc w:val="center"/>
              <w:rPr>
                <w:b/>
              </w:rPr>
            </w:pPr>
            <w:r w:rsidRPr="00DC250B">
              <w:rPr>
                <w:b/>
              </w:rPr>
              <w:t>voćnoj sadnici (kn)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 w:rsidRPr="00EE2CBA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both"/>
            </w:pPr>
            <w:r>
              <w:t>Jabuka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DC250B" w:rsidRDefault="005E304B" w:rsidP="00945EF2">
            <w:pPr>
              <w:jc w:val="center"/>
            </w:pPr>
            <w:r w:rsidRPr="00DC250B">
              <w:t>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8</w:t>
            </w:r>
            <w:r w:rsidRPr="00EE2CBA">
              <w:t>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EE2CBA" w:rsidRDefault="005E304B" w:rsidP="00945EF2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Kruška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 w:rsidRPr="00EE2CBA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both"/>
            </w:pPr>
            <w:r>
              <w:t>Breskva, Nektarina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DC250B" w:rsidRDefault="005E304B" w:rsidP="00945EF2">
            <w:pPr>
              <w:jc w:val="center"/>
            </w:pPr>
            <w:r w:rsidRPr="00DC250B"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EE2CBA" w:rsidRDefault="005E304B" w:rsidP="00945EF2">
            <w:pPr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Marelica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both"/>
            </w:pPr>
            <w:r w:rsidRPr="00EE2CBA">
              <w:t xml:space="preserve">Trešnja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DC250B" w:rsidRDefault="005E304B" w:rsidP="00945EF2">
            <w:pPr>
              <w:jc w:val="center"/>
            </w:pPr>
            <w:r w:rsidRPr="00DC250B"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 w:rsidRPr="00EE2CBA"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both"/>
            </w:pPr>
            <w:r>
              <w:t>Višnja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DC250B" w:rsidRDefault="005E304B" w:rsidP="00945EF2">
            <w:pPr>
              <w:jc w:val="center"/>
            </w:pPr>
            <w:r w:rsidRPr="00DC250B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 w:rsidRPr="00EE2CBA"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EE2CBA" w:rsidRDefault="005E304B" w:rsidP="00945EF2">
            <w:pPr>
              <w:jc w:val="both"/>
            </w:pPr>
            <w:r>
              <w:t>Šljiva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EE2CBA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proofErr w:type="spellStart"/>
            <w:r>
              <w:t>Aronija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Lijeska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8,00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Ribiz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5,00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Kupina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5,00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Malina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1000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5,00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proofErr w:type="spellStart"/>
            <w:r>
              <w:t>Tayberry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5,00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Orah cijepljeni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30,00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300926" w:rsidRDefault="005E304B" w:rsidP="00945EF2">
            <w:pPr>
              <w:jc w:val="center"/>
            </w:pPr>
            <w:r w:rsidRPr="00300926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 xml:space="preserve">Kesten </w:t>
            </w:r>
            <w:r w:rsidRPr="006A59BC">
              <w:t>cijepljeni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40,00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both"/>
            </w:pPr>
            <w:r w:rsidRPr="00EE2CBA">
              <w:t>Borovnica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DC250B" w:rsidRDefault="005E304B" w:rsidP="00945EF2">
            <w:pPr>
              <w:jc w:val="center"/>
            </w:pPr>
            <w:r w:rsidRPr="00DC250B"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4B" w:rsidRPr="00EE2CBA" w:rsidRDefault="005E304B" w:rsidP="00945EF2">
            <w:pPr>
              <w:jc w:val="center"/>
            </w:pPr>
            <w:r>
              <w:t>10,00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EE2CBA" w:rsidRDefault="005E304B" w:rsidP="00945EF2">
            <w:pPr>
              <w:jc w:val="both"/>
            </w:pPr>
            <w:r>
              <w:t>Brusnica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10,00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Goji bobice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15,00</w:t>
            </w:r>
          </w:p>
        </w:tc>
      </w:tr>
      <w:tr w:rsidR="005E304B" w:rsidRPr="00EE2CBA" w:rsidTr="00945E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both"/>
            </w:pPr>
            <w:r>
              <w:t>Vinova loza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Pr="00DC250B" w:rsidRDefault="005E304B" w:rsidP="00945EF2">
            <w:pPr>
              <w:jc w:val="center"/>
            </w:pPr>
            <w:r w:rsidRPr="00DC250B"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B" w:rsidRDefault="005E304B" w:rsidP="00945EF2">
            <w:pPr>
              <w:jc w:val="center"/>
            </w:pPr>
            <w:r>
              <w:t>4,00</w:t>
            </w:r>
          </w:p>
        </w:tc>
      </w:tr>
    </w:tbl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</w:pPr>
      <w:r w:rsidRPr="00EE2CBA">
        <w:rPr>
          <w:rFonts w:eastAsia="Calibri"/>
          <w:lang w:eastAsia="en-US"/>
        </w:rPr>
        <w:t>Maksimalan iznos sredstava potpore po je</w:t>
      </w:r>
      <w:r>
        <w:rPr>
          <w:rFonts w:eastAsia="Calibri"/>
          <w:lang w:eastAsia="en-US"/>
        </w:rPr>
        <w:t>dnom korisniku iznosi najviše 20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jc w:val="both"/>
      </w:pPr>
    </w:p>
    <w:p w:rsidR="005E304B" w:rsidRPr="00DC250B" w:rsidRDefault="005E304B" w:rsidP="005E304B">
      <w:pPr>
        <w:jc w:val="both"/>
        <w:rPr>
          <w:b/>
        </w:rPr>
      </w:pPr>
      <w:r w:rsidRPr="00DC250B">
        <w:rPr>
          <w:b/>
        </w:rPr>
        <w:t xml:space="preserve">MJERA </w:t>
      </w:r>
      <w:r>
        <w:rPr>
          <w:b/>
        </w:rPr>
        <w:t>6</w:t>
      </w:r>
      <w:r w:rsidRPr="00DC250B">
        <w:rPr>
          <w:b/>
        </w:rPr>
        <w:t>. Očuvanje pčelinjeg fonda</w:t>
      </w:r>
    </w:p>
    <w:p w:rsidR="005E304B" w:rsidRDefault="005E304B" w:rsidP="005E304B">
      <w:pPr>
        <w:jc w:val="both"/>
      </w:pPr>
    </w:p>
    <w:p w:rsidR="005E304B" w:rsidRDefault="005E304B" w:rsidP="005E304B">
      <w:pPr>
        <w:jc w:val="both"/>
      </w:pPr>
      <w:r>
        <w:tab/>
        <w:t>U cilju očuvanja i proširenja pčelinjeg fonda na području Grada Koprivnice te stvaranja preduvjeta za daljnju proizvodnju pčelinjih proizvoda sufinancirat će se držanje i proizvodnja pčela sa 20,00 kuna po svakoj pčelinjoj zajednici upisanoj u Evidenciju pčelara i pčelinjaka Hrvatskog pčelarskog saveza.</w:t>
      </w:r>
    </w:p>
    <w:p w:rsidR="005E304B" w:rsidRDefault="005E304B" w:rsidP="005E304B">
      <w:pPr>
        <w:jc w:val="both"/>
      </w:pPr>
      <w:r>
        <w:tab/>
        <w:t>Korisnik mora biti upisan u Upisnik poljoprivrednih gospodarstva i učlanjen u pčelarsku udrugu s područja Grada Koprivnice.</w:t>
      </w:r>
    </w:p>
    <w:p w:rsidR="005E304B" w:rsidRDefault="005E304B" w:rsidP="005E304B">
      <w:pPr>
        <w:jc w:val="both"/>
      </w:pPr>
    </w:p>
    <w:p w:rsidR="005E304B" w:rsidRPr="006A59BC" w:rsidRDefault="005E304B" w:rsidP="005E304B">
      <w:pPr>
        <w:jc w:val="both"/>
        <w:rPr>
          <w:rFonts w:eastAsia="Calibri"/>
          <w:lang w:eastAsia="en-US"/>
        </w:rPr>
      </w:pPr>
      <w:r>
        <w:tab/>
      </w:r>
      <w:r w:rsidRPr="00EE2CBA">
        <w:rPr>
          <w:rFonts w:eastAsia="Calibri"/>
          <w:lang w:eastAsia="en-US"/>
        </w:rPr>
        <w:t>Maksimalan iznos sredstava potpore po je</w:t>
      </w:r>
      <w:r>
        <w:rPr>
          <w:rFonts w:eastAsia="Calibri"/>
          <w:lang w:eastAsia="en-US"/>
        </w:rPr>
        <w:t xml:space="preserve">dnom korisniku iznosi najviše </w:t>
      </w:r>
      <w:r w:rsidRPr="00EE2CBA">
        <w:rPr>
          <w:rFonts w:eastAsia="Calibri"/>
          <w:lang w:eastAsia="en-US"/>
        </w:rPr>
        <w:t>5.000,00 kn godišnje.</w:t>
      </w: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7</w:t>
      </w:r>
      <w:r w:rsidRPr="00DC250B">
        <w:rPr>
          <w:rFonts w:eastAsia="Calibri"/>
          <w:b/>
          <w:lang w:eastAsia="en-US"/>
        </w:rPr>
        <w:t xml:space="preserve">. </w:t>
      </w:r>
      <w:r w:rsidRPr="00DC250B">
        <w:rPr>
          <w:b/>
        </w:rPr>
        <w:t>Analiza tla i kalcifikacija</w:t>
      </w:r>
    </w:p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</w:pPr>
      <w:r w:rsidRPr="00EE2CBA">
        <w:t>U cilju poboljšanja strukture obradivih površina i osiguranja profitabilnije poljopriv</w:t>
      </w:r>
      <w:r>
        <w:t>redne proizvodnje, na površini većoj od 0,25 ha, sufinancirat</w:t>
      </w:r>
      <w:r w:rsidRPr="00EE2CBA">
        <w:t xml:space="preserve"> će </w:t>
      </w:r>
      <w:r>
        <w:t xml:space="preserve">se </w:t>
      </w:r>
      <w:r w:rsidRPr="00EE2CBA">
        <w:t>analiz</w:t>
      </w:r>
      <w:r>
        <w:t>a tla</w:t>
      </w:r>
      <w:r w:rsidRPr="00EE2CBA">
        <w:t xml:space="preserve"> poljoprivrednog zemljišta</w:t>
      </w:r>
      <w:r>
        <w:t xml:space="preserve"> za sadnju trajnih nasada i povrća te analiza tla u već postojećim trajnim nasadima</w:t>
      </w:r>
      <w:r w:rsidRPr="00EE2CBA">
        <w:t xml:space="preserve">. </w:t>
      </w:r>
    </w:p>
    <w:p w:rsidR="005E304B" w:rsidRDefault="005E304B" w:rsidP="005E304B">
      <w:pPr>
        <w:ind w:firstLine="708"/>
        <w:jc w:val="both"/>
      </w:pPr>
      <w:r w:rsidRPr="00EE2CBA">
        <w:t>Analizu tla provode ovlašteni laboratoriji (institucije) na području R</w:t>
      </w:r>
      <w:r>
        <w:t>epublike Hrvatske. Sufinancirat</w:t>
      </w:r>
      <w:r w:rsidRPr="00EE2CBA">
        <w:t xml:space="preserve"> će</w:t>
      </w:r>
      <w:r>
        <w:t xml:space="preserve"> se</w:t>
      </w:r>
      <w:r w:rsidRPr="00EE2CBA">
        <w:t xml:space="preserve"> trošak anal</w:t>
      </w:r>
      <w:r>
        <w:t xml:space="preserve">ize tla s 250,00 kuna po uzorku, te kupnja materijala za </w:t>
      </w:r>
      <w:proofErr w:type="spellStart"/>
      <w:r>
        <w:t>od</w:t>
      </w:r>
      <w:r w:rsidRPr="00EE2CBA">
        <w:t>kiseljavanje</w:t>
      </w:r>
      <w:proofErr w:type="spellEnd"/>
      <w:r w:rsidRPr="00EE2CBA">
        <w:t xml:space="preserve"> tla u</w:t>
      </w:r>
      <w:r>
        <w:t xml:space="preserve"> cjelokupnom</w:t>
      </w:r>
      <w:r w:rsidRPr="00EE2CBA">
        <w:t xml:space="preserve"> iznosu </w:t>
      </w:r>
      <w:r>
        <w:t>računa.</w:t>
      </w:r>
      <w:r w:rsidRPr="00EE2CBA">
        <w:t xml:space="preserve"> </w:t>
      </w:r>
      <w:r>
        <w:t>Isplata će se vršiti nakon sadnje trajnih nasada ili povrća, odnosno nakon kalcifikacije u postojećim trajnim nasadima.</w:t>
      </w:r>
    </w:p>
    <w:p w:rsidR="005E304B" w:rsidRDefault="005E304B" w:rsidP="005E304B">
      <w:pPr>
        <w:jc w:val="both"/>
      </w:pPr>
    </w:p>
    <w:p w:rsidR="005E304B" w:rsidRPr="002F4AE5" w:rsidRDefault="005E304B" w:rsidP="005E304B">
      <w:pPr>
        <w:ind w:firstLine="708"/>
        <w:jc w:val="both"/>
      </w:pPr>
      <w:r w:rsidRPr="002F4AE5">
        <w:t xml:space="preserve">Maksimalan iznos sredstava potpore po jednom korisniku iznosi najviše </w:t>
      </w:r>
      <w:r>
        <w:t>5</w:t>
      </w:r>
      <w:r w:rsidRPr="002F4AE5">
        <w:t>.000,00 kn godišnje.</w:t>
      </w:r>
    </w:p>
    <w:p w:rsidR="005E304B" w:rsidRPr="00D35292" w:rsidRDefault="005E304B" w:rsidP="005E304B">
      <w:pPr>
        <w:jc w:val="both"/>
        <w:rPr>
          <w:rStyle w:val="Naglaeno"/>
          <w:rFonts w:eastAsia="Calibri"/>
          <w:b w:val="0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8</w:t>
      </w:r>
      <w:r w:rsidRPr="00DC250B">
        <w:rPr>
          <w:rFonts w:eastAsia="Calibri"/>
          <w:b/>
          <w:lang w:eastAsia="en-US"/>
        </w:rPr>
        <w:t>. O</w:t>
      </w:r>
      <w:r w:rsidRPr="00DC250B">
        <w:rPr>
          <w:b/>
        </w:rPr>
        <w:t>krupnjavanje posjeda</w:t>
      </w:r>
    </w:p>
    <w:p w:rsidR="005E304B" w:rsidRPr="00EE2CBA" w:rsidRDefault="005E304B" w:rsidP="005E304B">
      <w:pPr>
        <w:jc w:val="both"/>
        <w:rPr>
          <w:rFonts w:eastAsia="Calibri"/>
          <w:lang w:eastAsia="en-US"/>
        </w:rPr>
      </w:pPr>
    </w:p>
    <w:p w:rsidR="005E304B" w:rsidRDefault="005E304B" w:rsidP="005E304B">
      <w:pPr>
        <w:ind w:firstLine="708"/>
        <w:jc w:val="both"/>
      </w:pPr>
      <w:r w:rsidRPr="00EE2CBA">
        <w:t>Potpora</w:t>
      </w:r>
      <w:r>
        <w:t xml:space="preserve"> gospodarstvima koja se odluče</w:t>
      </w:r>
      <w:r w:rsidRPr="00EE2CBA">
        <w:t xml:space="preserve"> na okrupnjavanje</w:t>
      </w:r>
      <w:r>
        <w:t xml:space="preserve"> postojećih parcela kupnjom ili zamjenom sa susjednim poljoprivrednim zemljištem sufinancirat će se sa 1.000,00 kuna po 1 hektaru.</w:t>
      </w:r>
    </w:p>
    <w:p w:rsidR="005E304B" w:rsidRPr="00EE2CBA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>Maksimalan iznos sredstava potpore po je</w:t>
      </w:r>
      <w:r>
        <w:rPr>
          <w:rFonts w:eastAsia="Calibri"/>
          <w:lang w:eastAsia="en-US"/>
        </w:rPr>
        <w:t xml:space="preserve">dnom korisniku iznosi najviše </w:t>
      </w:r>
      <w:r w:rsidRPr="00EE2CBA">
        <w:rPr>
          <w:rFonts w:eastAsia="Calibri"/>
          <w:lang w:eastAsia="en-US"/>
        </w:rPr>
        <w:t>5.000,00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b/>
        </w:rPr>
      </w:pPr>
      <w:r w:rsidRPr="00DC250B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9</w:t>
      </w:r>
      <w:r w:rsidRPr="00DC250B">
        <w:rPr>
          <w:rFonts w:eastAsia="Calibri"/>
          <w:b/>
          <w:lang w:eastAsia="en-US"/>
        </w:rPr>
        <w:t xml:space="preserve">. </w:t>
      </w:r>
      <w:r w:rsidRPr="00DC250B">
        <w:rPr>
          <w:b/>
        </w:rPr>
        <w:t>Nabava novih plastenika</w:t>
      </w:r>
    </w:p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  <w:rPr>
          <w:bCs/>
        </w:rPr>
      </w:pPr>
      <w:r w:rsidRPr="00EE2CBA">
        <w:rPr>
          <w:bCs/>
        </w:rPr>
        <w:t xml:space="preserve">Sufinancirat će se nabava novih plastenika </w:t>
      </w:r>
      <w:r>
        <w:rPr>
          <w:bCs/>
        </w:rPr>
        <w:t>minimalne površine od 150 m² iznosom od 40% vrijednosti plastenika</w:t>
      </w:r>
      <w:r w:rsidRPr="00EE2CBA">
        <w:rPr>
          <w:bCs/>
        </w:rPr>
        <w:t>.</w:t>
      </w:r>
    </w:p>
    <w:p w:rsidR="005E304B" w:rsidRDefault="005E304B" w:rsidP="005E304B">
      <w:pPr>
        <w:ind w:firstLine="708"/>
        <w:jc w:val="both"/>
        <w:rPr>
          <w:bCs/>
        </w:rPr>
      </w:pPr>
      <w:r>
        <w:rPr>
          <w:bCs/>
        </w:rPr>
        <w:t>Isplata će se izvršiti nakon postavljanja plastenika na zemljištu na kojem će se obavljati proizvodnja.</w:t>
      </w:r>
    </w:p>
    <w:p w:rsidR="005E304B" w:rsidRPr="00EE2CBA" w:rsidRDefault="005E304B" w:rsidP="005E304B">
      <w:pPr>
        <w:jc w:val="both"/>
        <w:rPr>
          <w:bCs/>
        </w:rPr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>Maksimalan iznos sredstava potpore po je</w:t>
      </w:r>
      <w:r>
        <w:rPr>
          <w:rFonts w:eastAsia="Calibri"/>
          <w:lang w:eastAsia="en-US"/>
        </w:rPr>
        <w:t>dnom korisniku iznosi najviše 20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 xml:space="preserve">MJERA </w:t>
      </w:r>
      <w:r>
        <w:rPr>
          <w:rFonts w:eastAsia="Calibri"/>
          <w:b/>
          <w:lang w:eastAsia="en-US"/>
        </w:rPr>
        <w:t>10</w:t>
      </w:r>
      <w:r w:rsidRPr="00DC250B">
        <w:rPr>
          <w:rFonts w:eastAsia="Calibri"/>
          <w:b/>
          <w:lang w:eastAsia="en-US"/>
        </w:rPr>
        <w:t>. Nabava i postavljanje sustava za navodnjavanje</w:t>
      </w:r>
    </w:p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</w:pPr>
      <w:r w:rsidRPr="00EE2CBA">
        <w:t>U svrhu razvoja održivije i konkurentnije pol</w:t>
      </w:r>
      <w:r>
        <w:t>joprivredne proizvodnje subvencionirati</w:t>
      </w:r>
      <w:r w:rsidRPr="00EE2CBA">
        <w:t xml:space="preserve"> će se nabava i postavljanje op</w:t>
      </w:r>
      <w:r>
        <w:t xml:space="preserve">reme i uređaja za navodnjavanje iznosom od 40% vrijednosti sistema za navodnjavanje. Kupnja materijala za </w:t>
      </w:r>
      <w:proofErr w:type="spellStart"/>
      <w:r>
        <w:t>samogradnju</w:t>
      </w:r>
      <w:proofErr w:type="spellEnd"/>
      <w:r>
        <w:t xml:space="preserve"> sistema za navodnjavanje subvencionirati će se sa 30% iznosa d</w:t>
      </w:r>
      <w:r w:rsidRPr="00EE2CBA">
        <w:t>okumentiranih troškova.</w:t>
      </w:r>
    </w:p>
    <w:p w:rsidR="005E304B" w:rsidRDefault="005E304B" w:rsidP="005E304B">
      <w:pPr>
        <w:ind w:firstLine="708"/>
        <w:jc w:val="both"/>
      </w:pPr>
      <w:r>
        <w:t>Isplata će se izvršiti nakon postavljanja opreme na zemljištu na kojem će se obavljati proizvodnja, a sistem mora biti u funkciji.</w:t>
      </w:r>
    </w:p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>Maksimalan iznos sredstava potpore po je</w:t>
      </w:r>
      <w:r>
        <w:rPr>
          <w:rFonts w:eastAsia="Calibri"/>
          <w:lang w:eastAsia="en-US"/>
        </w:rPr>
        <w:t>dnom korisniku iznosi najviše 20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1</w:t>
      </w:r>
      <w:r>
        <w:rPr>
          <w:rFonts w:eastAsia="Calibri"/>
          <w:b/>
          <w:lang w:eastAsia="en-US"/>
        </w:rPr>
        <w:t>1</w:t>
      </w:r>
      <w:r w:rsidRPr="00DC250B">
        <w:rPr>
          <w:rFonts w:eastAsia="Calibri"/>
          <w:b/>
          <w:lang w:eastAsia="en-US"/>
        </w:rPr>
        <w:t>. Nabava i postavljanje sustava za zaštitu od tuče</w:t>
      </w:r>
    </w:p>
    <w:p w:rsidR="005E304B" w:rsidRPr="00EE2CBA" w:rsidRDefault="005E304B" w:rsidP="005E304B">
      <w:pPr>
        <w:jc w:val="both"/>
      </w:pPr>
    </w:p>
    <w:p w:rsidR="005E304B" w:rsidRDefault="005E304B" w:rsidP="005E304B">
      <w:pPr>
        <w:ind w:firstLine="708"/>
        <w:jc w:val="both"/>
        <w:rPr>
          <w:bCs/>
        </w:rPr>
      </w:pPr>
      <w:r>
        <w:lastRenderedPageBreak/>
        <w:t>Postavljanje</w:t>
      </w:r>
      <w:r w:rsidRPr="00EE2CBA">
        <w:t xml:space="preserve"> mreža protiv tuče je redovita tehnološka mjera pri podizanj</w:t>
      </w:r>
      <w:r>
        <w:t>u novih višegodišnjih nasada</w:t>
      </w:r>
      <w:r w:rsidRPr="00EE2CBA">
        <w:t xml:space="preserve">. </w:t>
      </w:r>
      <w:r w:rsidRPr="00EE2CBA">
        <w:rPr>
          <w:bCs/>
        </w:rPr>
        <w:t xml:space="preserve">Zaštitne mreže </w:t>
      </w:r>
      <w:r>
        <w:rPr>
          <w:bCs/>
        </w:rPr>
        <w:t>subvencionirati</w:t>
      </w:r>
      <w:r w:rsidRPr="00EE2CBA">
        <w:rPr>
          <w:bCs/>
        </w:rPr>
        <w:t xml:space="preserve"> će se u visini </w:t>
      </w:r>
      <w:r>
        <w:rPr>
          <w:bCs/>
        </w:rPr>
        <w:t>od</w:t>
      </w:r>
      <w:r w:rsidRPr="00EE2CBA">
        <w:rPr>
          <w:bCs/>
        </w:rPr>
        <w:t xml:space="preserve"> </w:t>
      </w:r>
      <w:r>
        <w:rPr>
          <w:bCs/>
        </w:rPr>
        <w:t>40</w:t>
      </w:r>
      <w:r w:rsidRPr="00EE2CBA">
        <w:rPr>
          <w:bCs/>
        </w:rPr>
        <w:t xml:space="preserve">% od </w:t>
      </w:r>
      <w:r>
        <w:rPr>
          <w:bCs/>
        </w:rPr>
        <w:t>vrijednosti sistema</w:t>
      </w:r>
      <w:r w:rsidRPr="00EE2CBA">
        <w:rPr>
          <w:bCs/>
        </w:rPr>
        <w:t>.</w:t>
      </w:r>
    </w:p>
    <w:p w:rsidR="005E304B" w:rsidRPr="00EE2CBA" w:rsidRDefault="005E304B" w:rsidP="005E304B">
      <w:pPr>
        <w:ind w:firstLine="708"/>
        <w:jc w:val="both"/>
        <w:rPr>
          <w:bCs/>
        </w:rPr>
      </w:pPr>
      <w:r>
        <w:rPr>
          <w:bCs/>
        </w:rPr>
        <w:t>Isplata će se izvršiti nakon postavljanja sustava na zemljištu gdje se nalazi trajni nasad ili plastenik.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>Maksimalan iznos sredstava potpore po jednom korisniku iznosi najviše 2</w:t>
      </w:r>
      <w:r>
        <w:rPr>
          <w:rFonts w:eastAsia="Calibri"/>
          <w:lang w:eastAsia="en-US"/>
        </w:rPr>
        <w:t>0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1</w:t>
      </w:r>
      <w:r>
        <w:rPr>
          <w:rFonts w:eastAsia="Calibri"/>
          <w:b/>
          <w:lang w:eastAsia="en-US"/>
        </w:rPr>
        <w:t>2</w:t>
      </w:r>
      <w:r w:rsidRPr="00DC250B">
        <w:rPr>
          <w:rFonts w:eastAsia="Calibri"/>
          <w:b/>
          <w:lang w:eastAsia="en-US"/>
        </w:rPr>
        <w:t>. Ekološka proizvodnja</w:t>
      </w:r>
    </w:p>
    <w:p w:rsidR="005E304B" w:rsidRPr="00EE2CBA" w:rsidRDefault="005E304B" w:rsidP="005E304B">
      <w:pPr>
        <w:jc w:val="both"/>
      </w:pPr>
    </w:p>
    <w:p w:rsidR="005E304B" w:rsidRPr="008704FE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8704FE">
        <w:rPr>
          <w:rFonts w:eastAsia="Calibri"/>
          <w:lang w:eastAsia="en-US"/>
        </w:rPr>
        <w:t>Potpora za ekološku proizvodnju subvencionirati će se sa 1.000,00 kuna po hektaru proizvodne površine ili cjelokupni troškovi stručnog nadzora i izdavanja potvrdnice.</w:t>
      </w:r>
    </w:p>
    <w:p w:rsidR="005E304B" w:rsidRPr="008704FE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8704FE">
        <w:rPr>
          <w:rFonts w:eastAsia="Calibri"/>
          <w:lang w:eastAsia="en-US"/>
        </w:rPr>
        <w:t>Korisnik mora biti upisan u Upisnik proizvođača u ekološkoj proizvodnji poljoprivrednih i prehrambenih proizvoda i mora dostaviti potvrdnicu, izdanu od strane ovlaštene pravne osobe, o provedbi postupka potvrđivanja sukladnosti proizvoda u ekološkoj proizvodnji.</w:t>
      </w:r>
    </w:p>
    <w:p w:rsidR="005E304B" w:rsidRPr="008704FE" w:rsidRDefault="005E304B" w:rsidP="005E304B">
      <w:pPr>
        <w:jc w:val="both"/>
        <w:rPr>
          <w:rFonts w:eastAsia="Calibri"/>
          <w:lang w:eastAsia="en-US"/>
        </w:rPr>
      </w:pPr>
    </w:p>
    <w:p w:rsidR="005E304B" w:rsidRPr="008704FE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8704FE">
        <w:rPr>
          <w:rFonts w:eastAsia="Calibri"/>
          <w:lang w:eastAsia="en-US"/>
        </w:rPr>
        <w:t>Maksimalan iznos sredstava potpore po jednom korisniku iznosi najviše 20.000,00 kn godišnje.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1</w:t>
      </w:r>
      <w:r>
        <w:rPr>
          <w:rFonts w:eastAsia="Calibri"/>
          <w:b/>
          <w:lang w:eastAsia="en-US"/>
        </w:rPr>
        <w:t>3</w:t>
      </w:r>
      <w:r w:rsidRPr="00DC250B">
        <w:rPr>
          <w:rFonts w:eastAsia="Calibri"/>
          <w:b/>
          <w:lang w:eastAsia="en-US"/>
        </w:rPr>
        <w:t>. Nabava i postavljanje uređaja za hladnjače (voće i povrće)</w:t>
      </w:r>
    </w:p>
    <w:p w:rsidR="005E304B" w:rsidRDefault="005E304B" w:rsidP="005E304B">
      <w:pPr>
        <w:jc w:val="both"/>
        <w:rPr>
          <w:rFonts w:eastAsia="Calibri"/>
          <w:lang w:eastAsia="en-US"/>
        </w:rPr>
      </w:pP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Izgradnjom hladnjača za čuvanje voća i povrća, nakon berbe i skladištenja, osiguravaju se uvjeti čuvanja kvalitete voća i povrća na dulji vremenski rok. </w:t>
      </w:r>
    </w:p>
    <w:p w:rsidR="005E304B" w:rsidRDefault="005E304B" w:rsidP="005E304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Grad Koprivnica subvencionirati će kupnju rashladnih uređaja za hladnjače iznosom od 40% vrijednosti uređaja. U cijenu rashladnog uređaja uračunavaju se: AGREGAT – vanjska jedinica (kompresor, kondenzator plina, ventilatori, posuda za tekući plin, </w:t>
      </w:r>
      <w:proofErr w:type="spellStart"/>
      <w:r>
        <w:rPr>
          <w:rFonts w:eastAsia="Calibri"/>
          <w:lang w:eastAsia="en-US"/>
        </w:rPr>
        <w:t>presostati</w:t>
      </w:r>
      <w:proofErr w:type="spellEnd"/>
      <w:r>
        <w:rPr>
          <w:rFonts w:eastAsia="Calibri"/>
          <w:lang w:eastAsia="en-US"/>
        </w:rPr>
        <w:t xml:space="preserve">), UNUTARNJA JEDINICA – (dinamički isparivač, </w:t>
      </w:r>
      <w:proofErr w:type="spellStart"/>
      <w:r>
        <w:rPr>
          <w:rFonts w:eastAsia="Calibri"/>
          <w:lang w:eastAsia="en-US"/>
        </w:rPr>
        <w:t>termoekspanzioni</w:t>
      </w:r>
      <w:proofErr w:type="spellEnd"/>
      <w:r>
        <w:rPr>
          <w:rFonts w:eastAsia="Calibri"/>
          <w:lang w:eastAsia="en-US"/>
        </w:rPr>
        <w:t xml:space="preserve"> ventil, magnetni ventil i </w:t>
      </w:r>
      <w:proofErr w:type="spellStart"/>
      <w:r>
        <w:rPr>
          <w:rFonts w:eastAsia="Calibri"/>
          <w:lang w:eastAsia="en-US"/>
        </w:rPr>
        <w:t>ovlaživač</w:t>
      </w:r>
      <w:proofErr w:type="spellEnd"/>
      <w:r>
        <w:rPr>
          <w:rFonts w:eastAsia="Calibri"/>
          <w:lang w:eastAsia="en-US"/>
        </w:rPr>
        <w:t>) i UPRAVLJAČKA JEDINICA (mjerenje vlage i temperature i regulacija sa vlagom i temperaturom).</w:t>
      </w:r>
    </w:p>
    <w:p w:rsidR="005E304B" w:rsidRDefault="005E304B" w:rsidP="005E304B">
      <w:pPr>
        <w:ind w:firstLine="708"/>
        <w:jc w:val="both"/>
        <w:rPr>
          <w:bCs/>
        </w:rPr>
      </w:pPr>
      <w:r>
        <w:rPr>
          <w:bCs/>
        </w:rPr>
        <w:t>Isplata će se izvršiti nakon postavljanja uređaja u prostoriji, a uređaj mora biti u funkciji.</w:t>
      </w:r>
    </w:p>
    <w:p w:rsidR="005E304B" w:rsidRDefault="005E304B" w:rsidP="005E304B">
      <w:pPr>
        <w:jc w:val="both"/>
        <w:rPr>
          <w:bCs/>
        </w:rPr>
      </w:pPr>
    </w:p>
    <w:p w:rsidR="005E304B" w:rsidRPr="00F8522F" w:rsidRDefault="005E304B" w:rsidP="005E304B">
      <w:pPr>
        <w:ind w:firstLine="708"/>
        <w:jc w:val="both"/>
        <w:rPr>
          <w:rFonts w:eastAsia="Calibri"/>
          <w:lang w:eastAsia="en-US"/>
        </w:rPr>
      </w:pPr>
      <w:r w:rsidRPr="00EE2CBA">
        <w:rPr>
          <w:rFonts w:eastAsia="Calibri"/>
          <w:lang w:eastAsia="en-US"/>
        </w:rPr>
        <w:t>Maksimalan iznos sredstava potpore po jednom korisniku iznosi najviše 2</w:t>
      </w:r>
      <w:r>
        <w:rPr>
          <w:rFonts w:eastAsia="Calibri"/>
          <w:lang w:eastAsia="en-US"/>
        </w:rPr>
        <w:t>0</w:t>
      </w:r>
      <w:r w:rsidRPr="00EE2CBA">
        <w:rPr>
          <w:rFonts w:eastAsia="Calibri"/>
          <w:lang w:eastAsia="en-US"/>
        </w:rPr>
        <w:t>.000,00 kn godišnje.</w:t>
      </w:r>
    </w:p>
    <w:p w:rsidR="005E304B" w:rsidRDefault="005E304B" w:rsidP="005E304B">
      <w:pPr>
        <w:jc w:val="both"/>
      </w:pPr>
    </w:p>
    <w:p w:rsidR="005E304B" w:rsidRPr="00DC250B" w:rsidRDefault="005E304B" w:rsidP="005E304B">
      <w:pPr>
        <w:jc w:val="both"/>
        <w:rPr>
          <w:rFonts w:eastAsia="Calibri"/>
          <w:b/>
          <w:lang w:eastAsia="en-US"/>
        </w:rPr>
      </w:pPr>
      <w:r w:rsidRPr="00DC250B">
        <w:rPr>
          <w:rFonts w:eastAsia="Calibri"/>
          <w:b/>
          <w:lang w:eastAsia="en-US"/>
        </w:rPr>
        <w:t>MJERA 14. Umjetno osjemenjivanje goveda</w:t>
      </w:r>
    </w:p>
    <w:p w:rsidR="005E304B" w:rsidRDefault="005E304B" w:rsidP="005E304B">
      <w:pPr>
        <w:jc w:val="both"/>
      </w:pPr>
    </w:p>
    <w:p w:rsidR="005E304B" w:rsidRPr="00121222" w:rsidRDefault="005E304B" w:rsidP="005E304B">
      <w:pPr>
        <w:jc w:val="both"/>
      </w:pPr>
      <w:r>
        <w:tab/>
      </w:r>
      <w:r w:rsidRPr="00121222">
        <w:t xml:space="preserve">Potpora subvencioniranja umjetnog </w:t>
      </w:r>
      <w:proofErr w:type="spellStart"/>
      <w:r w:rsidRPr="00121222">
        <w:t>osjemenjivanja</w:t>
      </w:r>
      <w:proofErr w:type="spellEnd"/>
      <w:r w:rsidRPr="00121222">
        <w:t xml:space="preserve"> goveda financirati će se u cjelokupnom iznosu cijene sjemena i to sve dok </w:t>
      </w:r>
      <w:proofErr w:type="spellStart"/>
      <w:r w:rsidRPr="00121222">
        <w:t>plotkinja</w:t>
      </w:r>
      <w:proofErr w:type="spellEnd"/>
      <w:r w:rsidRPr="00121222">
        <w:t xml:space="preserve"> ne ostane gravidna.</w:t>
      </w:r>
    </w:p>
    <w:p w:rsidR="005E304B" w:rsidRDefault="005E304B" w:rsidP="005E304B">
      <w:pPr>
        <w:jc w:val="both"/>
        <w:rPr>
          <w:color w:val="00B050"/>
        </w:rPr>
      </w:pPr>
    </w:p>
    <w:p w:rsidR="001D1171" w:rsidRDefault="005E304B" w:rsidP="005E304B">
      <w:r w:rsidRPr="00EE2CBA">
        <w:rPr>
          <w:rFonts w:eastAsia="Calibri"/>
          <w:lang w:eastAsia="en-US"/>
        </w:rPr>
        <w:t xml:space="preserve">Maksimalan iznos sredstava potpore po jednom korisniku iznosi najviše </w:t>
      </w:r>
      <w:r>
        <w:rPr>
          <w:rFonts w:eastAsia="Calibri"/>
          <w:lang w:eastAsia="en-US"/>
        </w:rPr>
        <w:t>5</w:t>
      </w:r>
      <w:r w:rsidRPr="00EE2CBA">
        <w:rPr>
          <w:rFonts w:eastAsia="Calibri"/>
          <w:lang w:eastAsia="en-US"/>
        </w:rPr>
        <w:t>.000,00 kn godišnje.</w:t>
      </w:r>
    </w:p>
    <w:sectPr w:rsidR="001D1171" w:rsidSect="005E304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122"/>
    <w:multiLevelType w:val="hybridMultilevel"/>
    <w:tmpl w:val="94261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467"/>
    <w:multiLevelType w:val="hybridMultilevel"/>
    <w:tmpl w:val="319A49D4"/>
    <w:lvl w:ilvl="0" w:tplc="D79C0BE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1DEF"/>
    <w:multiLevelType w:val="hybridMultilevel"/>
    <w:tmpl w:val="010A5DE0"/>
    <w:lvl w:ilvl="0" w:tplc="CAA4958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4B"/>
    <w:rsid w:val="001D1171"/>
    <w:rsid w:val="004705E9"/>
    <w:rsid w:val="005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A693"/>
  <w15:chartTrackingRefBased/>
  <w15:docId w15:val="{382D0AC9-C59D-455E-8ACA-0BE3E10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304B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5E304B"/>
    <w:rPr>
      <w:color w:val="0000FF"/>
      <w:u w:val="single"/>
    </w:rPr>
  </w:style>
  <w:style w:type="character" w:styleId="Naglaeno">
    <w:name w:val="Strong"/>
    <w:qFormat/>
    <w:rsid w:val="005E3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Fonjak</dc:creator>
  <cp:keywords/>
  <dc:description/>
  <cp:lastModifiedBy>Dijana Radotović</cp:lastModifiedBy>
  <cp:revision>2</cp:revision>
  <dcterms:created xsi:type="dcterms:W3CDTF">2017-04-21T06:39:00Z</dcterms:created>
  <dcterms:modified xsi:type="dcterms:W3CDTF">2017-04-21T06:39:00Z</dcterms:modified>
</cp:coreProperties>
</file>