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02" w:rsidRPr="00E91B02" w:rsidRDefault="002C2DB9" w:rsidP="00E91B02">
      <w:pPr>
        <w:widowControl/>
        <w:suppressAutoHyphens w:val="0"/>
        <w:autoSpaceDE w:val="0"/>
        <w:autoSpaceDN w:val="0"/>
        <w:adjustRightInd w:val="0"/>
        <w:jc w:val="both"/>
        <w:rPr>
          <w:rFonts w:asciiTheme="minorHAnsi" w:hAnsiTheme="minorHAnsi"/>
          <w:sz w:val="22"/>
          <w:szCs w:val="22"/>
        </w:rPr>
      </w:pPr>
      <w:r w:rsidRPr="00E91B02">
        <w:rPr>
          <w:rFonts w:asciiTheme="minorHAnsi" w:hAnsiTheme="minorHAnsi"/>
          <w:sz w:val="22"/>
          <w:szCs w:val="22"/>
        </w:rPr>
        <w:t>Projekt „</w:t>
      </w:r>
      <w:proofErr w:type="spellStart"/>
      <w:r w:rsidR="00E91B02" w:rsidRPr="00E91B02">
        <w:rPr>
          <w:rFonts w:asciiTheme="minorHAnsi" w:eastAsiaTheme="minorHAnsi" w:hAnsiTheme="minorHAnsi" w:cs="DejaVuSans"/>
          <w:kern w:val="0"/>
          <w:sz w:val="22"/>
          <w:szCs w:val="22"/>
          <w:lang w:eastAsia="en-US" w:bidi="ar-SA"/>
        </w:rPr>
        <w:t>Sustainable</w:t>
      </w:r>
      <w:proofErr w:type="spellEnd"/>
      <w:r w:rsidR="00E91B02" w:rsidRPr="00E91B02">
        <w:rPr>
          <w:rFonts w:asciiTheme="minorHAnsi" w:eastAsiaTheme="minorHAnsi" w:hAnsiTheme="minorHAnsi" w:cs="DejaVuSans"/>
          <w:kern w:val="0"/>
          <w:sz w:val="22"/>
          <w:szCs w:val="22"/>
          <w:lang w:eastAsia="en-US" w:bidi="ar-SA"/>
        </w:rPr>
        <w:t xml:space="preserve"> Urb</w:t>
      </w:r>
      <w:bookmarkStart w:id="0" w:name="_GoBack"/>
      <w:bookmarkEnd w:id="0"/>
      <w:r w:rsidR="00E91B02" w:rsidRPr="00E91B02">
        <w:rPr>
          <w:rFonts w:asciiTheme="minorHAnsi" w:eastAsiaTheme="minorHAnsi" w:hAnsiTheme="minorHAnsi" w:cs="DejaVuSans"/>
          <w:kern w:val="0"/>
          <w:sz w:val="22"/>
          <w:szCs w:val="22"/>
          <w:lang w:eastAsia="en-US" w:bidi="ar-SA"/>
        </w:rPr>
        <w:t xml:space="preserve">an </w:t>
      </w:r>
      <w:proofErr w:type="spellStart"/>
      <w:r w:rsidR="00E91B02" w:rsidRPr="00E91B02">
        <w:rPr>
          <w:rFonts w:asciiTheme="minorHAnsi" w:eastAsiaTheme="minorHAnsi" w:hAnsiTheme="minorHAnsi" w:cs="DejaVuSans"/>
          <w:kern w:val="0"/>
          <w:sz w:val="22"/>
          <w:szCs w:val="22"/>
          <w:lang w:eastAsia="en-US" w:bidi="ar-SA"/>
        </w:rPr>
        <w:t>FUrniTURE</w:t>
      </w:r>
      <w:proofErr w:type="spellEnd"/>
      <w:r w:rsidR="00E91B02" w:rsidRPr="00E91B02">
        <w:rPr>
          <w:rFonts w:asciiTheme="minorHAnsi" w:eastAsiaTheme="minorHAnsi" w:hAnsiTheme="minorHAnsi" w:cs="DejaVuSans"/>
          <w:kern w:val="0"/>
          <w:sz w:val="22"/>
          <w:szCs w:val="22"/>
          <w:lang w:eastAsia="en-US" w:bidi="ar-SA"/>
        </w:rPr>
        <w:t xml:space="preserve">: Tool design to </w:t>
      </w:r>
      <w:proofErr w:type="spellStart"/>
      <w:r w:rsidR="00E91B02" w:rsidRPr="00E91B02">
        <w:rPr>
          <w:rFonts w:asciiTheme="minorHAnsi" w:eastAsiaTheme="minorHAnsi" w:hAnsiTheme="minorHAnsi" w:cs="DejaVuSans"/>
          <w:kern w:val="0"/>
          <w:sz w:val="22"/>
          <w:szCs w:val="22"/>
          <w:lang w:eastAsia="en-US" w:bidi="ar-SA"/>
        </w:rPr>
        <w:t>perform</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environmental</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assessments</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in</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the</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green</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procurement</w:t>
      </w:r>
      <w:proofErr w:type="spellEnd"/>
      <w:r w:rsidR="00E91B02" w:rsidRPr="00E91B02">
        <w:rPr>
          <w:rFonts w:asciiTheme="minorHAnsi" w:eastAsiaTheme="minorHAnsi" w:hAnsiTheme="minorHAnsi" w:cs="DejaVuSans"/>
          <w:kern w:val="0"/>
          <w:sz w:val="22"/>
          <w:szCs w:val="22"/>
          <w:lang w:eastAsia="en-US" w:bidi="ar-SA"/>
        </w:rPr>
        <w:t xml:space="preserve"> </w:t>
      </w:r>
      <w:proofErr w:type="spellStart"/>
      <w:r w:rsidR="00E91B02" w:rsidRPr="00E91B02">
        <w:rPr>
          <w:rFonts w:asciiTheme="minorHAnsi" w:eastAsiaTheme="minorHAnsi" w:hAnsiTheme="minorHAnsi" w:cs="DejaVuSans"/>
          <w:kern w:val="0"/>
          <w:sz w:val="22"/>
          <w:szCs w:val="22"/>
          <w:lang w:eastAsia="en-US" w:bidi="ar-SA"/>
        </w:rPr>
        <w:t>framewor</w:t>
      </w:r>
      <w:r w:rsidR="00E91B02" w:rsidRPr="00E91B02">
        <w:rPr>
          <w:rFonts w:asciiTheme="minorHAnsi" w:eastAsiaTheme="minorHAnsi" w:hAnsiTheme="minorHAnsi" w:cs="DejaVuSans"/>
          <w:kern w:val="0"/>
          <w:sz w:val="22"/>
          <w:szCs w:val="22"/>
          <w:lang w:eastAsia="en-US" w:bidi="ar-SA"/>
        </w:rPr>
        <w:t>k</w:t>
      </w:r>
      <w:proofErr w:type="spellEnd"/>
      <w:r w:rsidRPr="00E91B02">
        <w:rPr>
          <w:rFonts w:asciiTheme="minorHAnsi" w:hAnsiTheme="minorHAnsi"/>
          <w:sz w:val="22"/>
          <w:szCs w:val="22"/>
        </w:rPr>
        <w:t xml:space="preserve">“ s akronimom </w:t>
      </w:r>
      <w:r w:rsidR="007A4A02" w:rsidRPr="00E91B02">
        <w:rPr>
          <w:rFonts w:asciiTheme="minorHAnsi" w:hAnsiTheme="minorHAnsi"/>
          <w:sz w:val="22"/>
          <w:szCs w:val="22"/>
        </w:rPr>
        <w:t>FUTURE</w:t>
      </w:r>
      <w:r w:rsidRPr="00E91B02">
        <w:rPr>
          <w:rFonts w:asciiTheme="minorHAnsi" w:hAnsiTheme="minorHAnsi"/>
          <w:sz w:val="22"/>
          <w:szCs w:val="22"/>
        </w:rPr>
        <w:t>, financiran je</w:t>
      </w:r>
      <w:r w:rsidR="00E91B02" w:rsidRPr="00E91B02">
        <w:rPr>
          <w:rFonts w:asciiTheme="minorHAnsi" w:hAnsiTheme="minorHAnsi"/>
          <w:sz w:val="22"/>
          <w:szCs w:val="22"/>
        </w:rPr>
        <w:t xml:space="preserve"> kroz Program Unije LIFE+.</w:t>
      </w:r>
    </w:p>
    <w:p w:rsidR="002C2DB9" w:rsidRPr="00E91B02" w:rsidRDefault="002C2DB9" w:rsidP="002C2DB9">
      <w:pPr>
        <w:pStyle w:val="Bezproreda"/>
        <w:jc w:val="both"/>
        <w:rPr>
          <w:rFonts w:asciiTheme="minorHAnsi" w:hAnsiTheme="minorHAnsi"/>
          <w:szCs w:val="22"/>
        </w:rPr>
      </w:pPr>
    </w:p>
    <w:p w:rsidR="002C2DB9" w:rsidRPr="00E91B02" w:rsidRDefault="00E91B02" w:rsidP="002C2DB9">
      <w:pPr>
        <w:pStyle w:val="Bezproreda"/>
        <w:jc w:val="both"/>
        <w:rPr>
          <w:rFonts w:asciiTheme="minorHAnsi" w:hAnsiTheme="minorHAnsi"/>
          <w:b/>
          <w:szCs w:val="22"/>
        </w:rPr>
      </w:pPr>
      <w:r w:rsidRPr="00E91B02">
        <w:rPr>
          <w:rFonts w:asciiTheme="minorHAnsi" w:hAnsiTheme="minorHAnsi"/>
          <w:b/>
          <w:szCs w:val="22"/>
        </w:rPr>
        <w:t>C</w:t>
      </w:r>
      <w:r w:rsidR="002C2DB9" w:rsidRPr="00E91B02">
        <w:rPr>
          <w:rFonts w:asciiTheme="minorHAnsi" w:hAnsiTheme="minorHAnsi"/>
          <w:b/>
          <w:szCs w:val="22"/>
        </w:rPr>
        <w:t xml:space="preserve">ilj projekta: </w:t>
      </w:r>
    </w:p>
    <w:p w:rsidR="00E91B02" w:rsidRPr="00E91B02" w:rsidRDefault="00E91B02" w:rsidP="002C2DB9">
      <w:pPr>
        <w:pStyle w:val="Bezproreda"/>
        <w:jc w:val="both"/>
        <w:rPr>
          <w:rFonts w:asciiTheme="minorHAnsi" w:hAnsiTheme="minorHAnsi"/>
          <w:szCs w:val="22"/>
        </w:rPr>
      </w:pPr>
      <w:r w:rsidRPr="00E91B02">
        <w:rPr>
          <w:rFonts w:asciiTheme="minorHAnsi" w:hAnsiTheme="minorHAnsi"/>
          <w:szCs w:val="22"/>
        </w:rPr>
        <w:t>Razviti alat koji će omogućiti precizne i jednostavne analize okoliša te olakšati primjenu regulativa vezanih uz zelenu javnu nabavu.</w:t>
      </w:r>
    </w:p>
    <w:p w:rsidR="00E91B02" w:rsidRPr="00E91B02" w:rsidRDefault="00E91B02" w:rsidP="00E91B02">
      <w:pPr>
        <w:pStyle w:val="Bezproreda"/>
        <w:jc w:val="both"/>
        <w:rPr>
          <w:rFonts w:asciiTheme="minorHAnsi" w:hAnsiTheme="minorHAnsi"/>
          <w:szCs w:val="22"/>
        </w:rPr>
      </w:pPr>
    </w:p>
    <w:p w:rsidR="002C2DB9" w:rsidRPr="00E91B02" w:rsidRDefault="00E91B02" w:rsidP="002C2DB9">
      <w:pPr>
        <w:pStyle w:val="Bezproreda"/>
        <w:jc w:val="both"/>
        <w:rPr>
          <w:rFonts w:asciiTheme="minorHAnsi" w:hAnsiTheme="minorHAnsi"/>
          <w:b/>
          <w:szCs w:val="22"/>
        </w:rPr>
      </w:pPr>
      <w:r w:rsidRPr="00E91B02">
        <w:rPr>
          <w:rFonts w:asciiTheme="minorHAnsi" w:hAnsiTheme="minorHAnsi"/>
          <w:b/>
          <w:szCs w:val="22"/>
        </w:rPr>
        <w:t>G</w:t>
      </w:r>
      <w:r w:rsidR="002C2DB9" w:rsidRPr="00E91B02">
        <w:rPr>
          <w:rFonts w:asciiTheme="minorHAnsi" w:hAnsiTheme="minorHAnsi"/>
          <w:b/>
          <w:szCs w:val="22"/>
        </w:rPr>
        <w:t>lavni korisnik projekta:</w:t>
      </w:r>
    </w:p>
    <w:p w:rsidR="00E91B02" w:rsidRPr="00E91B02" w:rsidRDefault="00E91B02" w:rsidP="002C2DB9">
      <w:pPr>
        <w:pStyle w:val="Bezproreda"/>
        <w:jc w:val="both"/>
        <w:rPr>
          <w:rStyle w:val="hps"/>
          <w:rFonts w:asciiTheme="minorHAnsi" w:hAnsiTheme="minorHAnsi"/>
          <w:szCs w:val="22"/>
        </w:rPr>
      </w:pPr>
      <w:r w:rsidRPr="00E91B02">
        <w:rPr>
          <w:rStyle w:val="hps"/>
          <w:rFonts w:asciiTheme="minorHAnsi" w:hAnsiTheme="minorHAnsi"/>
          <w:szCs w:val="22"/>
        </w:rPr>
        <w:t xml:space="preserve">Tehnološki institut za plastiku </w:t>
      </w:r>
      <w:r>
        <w:rPr>
          <w:rStyle w:val="hps"/>
          <w:rFonts w:asciiTheme="minorHAnsi" w:hAnsiTheme="minorHAnsi"/>
          <w:szCs w:val="22"/>
        </w:rPr>
        <w:t>–</w:t>
      </w:r>
      <w:r w:rsidRPr="00E91B02">
        <w:rPr>
          <w:rStyle w:val="hps"/>
          <w:rFonts w:asciiTheme="minorHAnsi" w:hAnsiTheme="minorHAnsi"/>
          <w:szCs w:val="22"/>
        </w:rPr>
        <w:t xml:space="preserve"> AIMPLAS</w:t>
      </w:r>
    </w:p>
    <w:p w:rsidR="002C2DB9" w:rsidRPr="00E91B02" w:rsidRDefault="002C2DB9" w:rsidP="002C2DB9">
      <w:pPr>
        <w:pStyle w:val="Bezproreda"/>
        <w:jc w:val="both"/>
        <w:rPr>
          <w:rStyle w:val="hps"/>
          <w:rFonts w:asciiTheme="minorHAnsi" w:hAnsiTheme="minorHAnsi"/>
          <w:szCs w:val="22"/>
        </w:rPr>
      </w:pPr>
    </w:p>
    <w:p w:rsidR="00E91B02" w:rsidRPr="00E91B02" w:rsidRDefault="002C2DB9" w:rsidP="002C2DB9">
      <w:pPr>
        <w:pStyle w:val="Bezproreda"/>
        <w:jc w:val="both"/>
        <w:rPr>
          <w:rStyle w:val="hps"/>
          <w:rFonts w:asciiTheme="minorHAnsi" w:hAnsiTheme="minorHAnsi"/>
          <w:b/>
          <w:szCs w:val="22"/>
        </w:rPr>
      </w:pPr>
      <w:r w:rsidRPr="00E91B02">
        <w:rPr>
          <w:rStyle w:val="hps"/>
          <w:rFonts w:asciiTheme="minorHAnsi" w:hAnsiTheme="minorHAnsi"/>
          <w:b/>
          <w:szCs w:val="22"/>
        </w:rPr>
        <w:t>Partner</w:t>
      </w:r>
      <w:r w:rsidR="00E91B02" w:rsidRPr="00E91B02">
        <w:rPr>
          <w:rStyle w:val="hps"/>
          <w:rFonts w:asciiTheme="minorHAnsi" w:hAnsiTheme="minorHAnsi"/>
          <w:b/>
          <w:szCs w:val="22"/>
        </w:rPr>
        <w:t>i</w:t>
      </w:r>
      <w:r w:rsidRPr="00E91B02">
        <w:rPr>
          <w:rStyle w:val="hps"/>
          <w:rFonts w:asciiTheme="minorHAnsi" w:hAnsiTheme="minorHAnsi"/>
          <w:b/>
          <w:szCs w:val="22"/>
        </w:rPr>
        <w:t xml:space="preserve"> na projektu:</w:t>
      </w:r>
    </w:p>
    <w:p w:rsidR="00E91B02" w:rsidRPr="00E91B02" w:rsidRDefault="00E91B02" w:rsidP="00E91B02">
      <w:pPr>
        <w:widowControl/>
        <w:suppressAutoHyphens w:val="0"/>
        <w:autoSpaceDE w:val="0"/>
        <w:autoSpaceDN w:val="0"/>
        <w:adjustRightInd w:val="0"/>
        <w:rPr>
          <w:rFonts w:asciiTheme="minorHAnsi" w:eastAsiaTheme="minorHAnsi" w:hAnsiTheme="minorHAnsi" w:cs="DejaVuSans"/>
          <w:kern w:val="0"/>
          <w:sz w:val="22"/>
          <w:szCs w:val="22"/>
          <w:lang w:eastAsia="en-US" w:bidi="ar-SA"/>
        </w:rPr>
      </w:pPr>
    </w:p>
    <w:p w:rsidR="00E91B02" w:rsidRPr="00E91B02" w:rsidRDefault="00E91B02" w:rsidP="00E91B02">
      <w:pPr>
        <w:pStyle w:val="Odlomakpopisa"/>
        <w:numPr>
          <w:ilvl w:val="0"/>
          <w:numId w:val="8"/>
        </w:numPr>
        <w:autoSpaceDE w:val="0"/>
        <w:autoSpaceDN w:val="0"/>
        <w:adjustRightInd w:val="0"/>
        <w:jc w:val="both"/>
        <w:rPr>
          <w:rFonts w:asciiTheme="minorHAnsi" w:eastAsiaTheme="minorHAnsi" w:hAnsiTheme="minorHAnsi" w:cs="DejaVuSans"/>
        </w:rPr>
      </w:pPr>
      <w:r w:rsidRPr="00E91B02">
        <w:rPr>
          <w:rFonts w:asciiTheme="minorHAnsi" w:eastAsiaTheme="minorHAnsi" w:hAnsiTheme="minorHAnsi" w:cs="DejaVuSans"/>
        </w:rPr>
        <w:t>Udruga gradova i regija za recikliranje i održivo upravljanje resursima</w:t>
      </w:r>
      <w:r>
        <w:rPr>
          <w:rFonts w:asciiTheme="minorHAnsi" w:eastAsiaTheme="minorHAnsi" w:hAnsiTheme="minorHAnsi" w:cs="DejaVuSans"/>
        </w:rPr>
        <w:t xml:space="preserve"> -  ACR+</w:t>
      </w:r>
      <w:r w:rsidRPr="00E91B02">
        <w:rPr>
          <w:rFonts w:asciiTheme="minorHAnsi" w:eastAsiaTheme="minorHAnsi" w:hAnsiTheme="minorHAnsi" w:cs="DejaVuSans"/>
        </w:rPr>
        <w:t>, Brussels, Belgija</w:t>
      </w:r>
    </w:p>
    <w:p w:rsidR="00E91B02" w:rsidRPr="00E91B02" w:rsidRDefault="00E91B02" w:rsidP="00E91B02">
      <w:pPr>
        <w:pStyle w:val="Odlomakpopisa"/>
        <w:numPr>
          <w:ilvl w:val="0"/>
          <w:numId w:val="8"/>
        </w:numPr>
        <w:autoSpaceDE w:val="0"/>
        <w:autoSpaceDN w:val="0"/>
        <w:adjustRightInd w:val="0"/>
        <w:jc w:val="both"/>
        <w:rPr>
          <w:rFonts w:asciiTheme="minorHAnsi" w:eastAsiaTheme="minorHAnsi" w:hAnsiTheme="minorHAnsi" w:cs="DejaVuSans"/>
        </w:rPr>
      </w:pPr>
      <w:r w:rsidRPr="00E91B02">
        <w:rPr>
          <w:rFonts w:asciiTheme="minorHAnsi" w:eastAsiaTheme="minorHAnsi" w:hAnsiTheme="minorHAnsi" w:cs="DejaVuSans"/>
        </w:rPr>
        <w:t xml:space="preserve">AIJU </w:t>
      </w:r>
      <w:r w:rsidRPr="00E91B02">
        <w:rPr>
          <w:rFonts w:asciiTheme="minorHAnsi" w:eastAsiaTheme="minorHAnsi" w:hAnsiTheme="minorHAnsi" w:cs="DejaVuSans"/>
        </w:rPr>
        <w:t>– istraživački centar, Valencia, Španjolska</w:t>
      </w:r>
    </w:p>
    <w:p w:rsidR="00E91B02" w:rsidRPr="00E91B02" w:rsidRDefault="00E91B02" w:rsidP="00E91B02">
      <w:pPr>
        <w:pStyle w:val="Odlomakpopisa"/>
        <w:numPr>
          <w:ilvl w:val="0"/>
          <w:numId w:val="8"/>
        </w:numPr>
        <w:autoSpaceDE w:val="0"/>
        <w:autoSpaceDN w:val="0"/>
        <w:adjustRightInd w:val="0"/>
        <w:jc w:val="both"/>
        <w:rPr>
          <w:rFonts w:asciiTheme="minorHAnsi" w:eastAsiaTheme="minorHAnsi" w:hAnsiTheme="minorHAnsi" w:cs="DejaVuSans"/>
        </w:rPr>
      </w:pPr>
      <w:r w:rsidRPr="00E91B02">
        <w:rPr>
          <w:rFonts w:asciiTheme="minorHAnsi" w:eastAsiaTheme="minorHAnsi" w:hAnsiTheme="minorHAnsi" w:cs="DejaVuSans"/>
        </w:rPr>
        <w:t>Sveučilište</w:t>
      </w:r>
      <w:r w:rsidRPr="00E91B02">
        <w:rPr>
          <w:rFonts w:asciiTheme="minorHAnsi" w:eastAsiaTheme="minorHAnsi" w:hAnsiTheme="minorHAnsi" w:cs="DejaVuSans"/>
        </w:rPr>
        <w:t xml:space="preserve"> Jaume I</w:t>
      </w:r>
      <w:r w:rsidRPr="00E91B02">
        <w:rPr>
          <w:rFonts w:asciiTheme="minorHAnsi" w:eastAsiaTheme="minorHAnsi" w:hAnsiTheme="minorHAnsi" w:cs="DejaVuSans"/>
        </w:rPr>
        <w:t xml:space="preserve">, </w:t>
      </w:r>
      <w:r w:rsidRPr="00E91B02">
        <w:rPr>
          <w:rFonts w:asciiTheme="minorHAnsi" w:eastAsiaTheme="minorHAnsi" w:hAnsiTheme="minorHAnsi" w:cs="DejaVuSans"/>
        </w:rPr>
        <w:t>Castellón</w:t>
      </w:r>
      <w:r w:rsidRPr="00E91B02">
        <w:rPr>
          <w:rFonts w:asciiTheme="minorHAnsi" w:eastAsiaTheme="minorHAnsi" w:hAnsiTheme="minorHAnsi" w:cs="DejaVuSans"/>
        </w:rPr>
        <w:t>, Španjolska</w:t>
      </w:r>
    </w:p>
    <w:p w:rsidR="00E91B02" w:rsidRPr="00E91B02" w:rsidRDefault="00E91B02" w:rsidP="00E91B02">
      <w:pPr>
        <w:pStyle w:val="Odlomakpopisa"/>
        <w:numPr>
          <w:ilvl w:val="0"/>
          <w:numId w:val="8"/>
        </w:numPr>
        <w:autoSpaceDE w:val="0"/>
        <w:autoSpaceDN w:val="0"/>
        <w:adjustRightInd w:val="0"/>
        <w:jc w:val="both"/>
        <w:rPr>
          <w:rFonts w:asciiTheme="minorHAnsi" w:eastAsiaTheme="minorHAnsi" w:hAnsiTheme="minorHAnsi" w:cs="DejaVuSans"/>
        </w:rPr>
      </w:pPr>
      <w:proofErr w:type="spellStart"/>
      <w:r w:rsidRPr="00E91B02">
        <w:rPr>
          <w:rFonts w:asciiTheme="minorHAnsi" w:eastAsiaTheme="minorHAnsi" w:hAnsiTheme="minorHAnsi" w:cs="DejaVuSans"/>
        </w:rPr>
        <w:t>InnDEA</w:t>
      </w:r>
      <w:proofErr w:type="spellEnd"/>
      <w:r w:rsidRPr="00E91B02">
        <w:rPr>
          <w:rFonts w:asciiTheme="minorHAnsi" w:eastAsiaTheme="minorHAnsi" w:hAnsiTheme="minorHAnsi" w:cs="DejaVuSans"/>
        </w:rPr>
        <w:t xml:space="preserve"> Valencia</w:t>
      </w:r>
      <w:r w:rsidRPr="00E91B02">
        <w:rPr>
          <w:rFonts w:asciiTheme="minorHAnsi" w:eastAsiaTheme="minorHAnsi" w:hAnsiTheme="minorHAnsi" w:cs="DejaVuSans"/>
        </w:rPr>
        <w:t>, Španjolska</w:t>
      </w:r>
    </w:p>
    <w:p w:rsidR="002C2DB9" w:rsidRPr="00E91B02" w:rsidRDefault="00E91B02" w:rsidP="002C2DB9">
      <w:pPr>
        <w:pStyle w:val="Odlomakpopisa"/>
        <w:numPr>
          <w:ilvl w:val="0"/>
          <w:numId w:val="8"/>
        </w:numPr>
        <w:autoSpaceDE w:val="0"/>
        <w:autoSpaceDN w:val="0"/>
        <w:adjustRightInd w:val="0"/>
        <w:jc w:val="both"/>
        <w:rPr>
          <w:rFonts w:asciiTheme="minorHAnsi" w:hAnsiTheme="minorHAnsi"/>
          <w:b/>
        </w:rPr>
      </w:pPr>
      <w:r w:rsidRPr="00E91B02">
        <w:rPr>
          <w:rFonts w:asciiTheme="minorHAnsi" w:eastAsiaTheme="minorHAnsi" w:hAnsiTheme="minorHAnsi" w:cs="DejaVuSans"/>
        </w:rPr>
        <w:t>Grad Koprivnica</w:t>
      </w:r>
    </w:p>
    <w:p w:rsidR="002C2DB9" w:rsidRDefault="002C2DB9" w:rsidP="002C2DB9">
      <w:pPr>
        <w:pStyle w:val="Bezproreda"/>
        <w:jc w:val="both"/>
        <w:rPr>
          <w:rFonts w:asciiTheme="minorHAnsi" w:eastAsiaTheme="minorHAnsi" w:hAnsiTheme="minorHAnsi" w:cs="DejaVuSans"/>
          <w:kern w:val="0"/>
          <w:szCs w:val="22"/>
          <w:lang w:eastAsia="en-US" w:bidi="ar-SA"/>
        </w:rPr>
      </w:pPr>
      <w:r w:rsidRPr="00E91B02">
        <w:rPr>
          <w:rStyle w:val="hps"/>
          <w:rFonts w:asciiTheme="minorHAnsi" w:hAnsiTheme="minorHAnsi"/>
          <w:b/>
          <w:szCs w:val="22"/>
        </w:rPr>
        <w:t>Ukupni budžet projekta</w:t>
      </w:r>
      <w:r w:rsidRPr="00E91B02">
        <w:rPr>
          <w:rStyle w:val="hps"/>
          <w:rFonts w:asciiTheme="minorHAnsi" w:hAnsiTheme="minorHAnsi"/>
          <w:szCs w:val="22"/>
        </w:rPr>
        <w:t xml:space="preserve"> iznosi </w:t>
      </w:r>
      <w:r w:rsidR="00E91B02" w:rsidRPr="00E91B02">
        <w:rPr>
          <w:rFonts w:asciiTheme="minorHAnsi" w:eastAsiaTheme="minorHAnsi" w:hAnsiTheme="minorHAnsi" w:cs="DejaVuSans"/>
          <w:kern w:val="0"/>
          <w:szCs w:val="22"/>
          <w:lang w:eastAsia="en-US" w:bidi="ar-SA"/>
        </w:rPr>
        <w:t>605.496,00 EUR.</w:t>
      </w:r>
    </w:p>
    <w:p w:rsidR="00E91B02" w:rsidRPr="00E91B02" w:rsidRDefault="00E91B02" w:rsidP="002C2DB9">
      <w:pPr>
        <w:pStyle w:val="Bezproreda"/>
        <w:jc w:val="both"/>
        <w:rPr>
          <w:rStyle w:val="hps"/>
          <w:rFonts w:asciiTheme="minorHAnsi" w:hAnsiTheme="minorHAnsi"/>
          <w:szCs w:val="22"/>
        </w:rPr>
      </w:pPr>
    </w:p>
    <w:p w:rsidR="002C2DB9" w:rsidRPr="00E91B02" w:rsidRDefault="002C2DB9" w:rsidP="002C2DB9">
      <w:pPr>
        <w:pStyle w:val="Bezproreda"/>
        <w:jc w:val="both"/>
        <w:rPr>
          <w:rFonts w:asciiTheme="minorHAnsi" w:hAnsiTheme="minorHAnsi"/>
          <w:szCs w:val="22"/>
        </w:rPr>
      </w:pPr>
      <w:r w:rsidRPr="00E91B02">
        <w:rPr>
          <w:rStyle w:val="hps"/>
          <w:rFonts w:asciiTheme="minorHAnsi" w:hAnsiTheme="minorHAnsi"/>
          <w:b/>
          <w:szCs w:val="22"/>
        </w:rPr>
        <w:t xml:space="preserve">Period implementacije projekta: </w:t>
      </w:r>
      <w:r w:rsidR="00E91B02" w:rsidRPr="00E91B02">
        <w:rPr>
          <w:rFonts w:asciiTheme="minorHAnsi" w:hAnsiTheme="minorHAnsi"/>
          <w:szCs w:val="22"/>
        </w:rPr>
        <w:t>1.10</w:t>
      </w:r>
      <w:r w:rsidRPr="00E91B02">
        <w:rPr>
          <w:rFonts w:asciiTheme="minorHAnsi" w:hAnsiTheme="minorHAnsi"/>
          <w:szCs w:val="22"/>
        </w:rPr>
        <w:t>. 201</w:t>
      </w:r>
      <w:r w:rsidR="00E91B02" w:rsidRPr="00E91B02">
        <w:rPr>
          <w:rFonts w:asciiTheme="minorHAnsi" w:hAnsiTheme="minorHAnsi"/>
          <w:szCs w:val="22"/>
        </w:rPr>
        <w:t>5. – 31.3. 2018</w:t>
      </w:r>
      <w:r w:rsidRPr="00E91B02">
        <w:rPr>
          <w:rFonts w:asciiTheme="minorHAnsi" w:hAnsiTheme="minorHAnsi"/>
          <w:szCs w:val="22"/>
        </w:rPr>
        <w:t>.</w:t>
      </w:r>
    </w:p>
    <w:p w:rsidR="002C2DB9" w:rsidRPr="00E91B02" w:rsidRDefault="002C2DB9" w:rsidP="002C2DB9">
      <w:pPr>
        <w:tabs>
          <w:tab w:val="left" w:pos="1926"/>
        </w:tabs>
        <w:jc w:val="both"/>
        <w:rPr>
          <w:rFonts w:asciiTheme="minorHAnsi" w:hAnsiTheme="minorHAnsi"/>
          <w:sz w:val="22"/>
          <w:szCs w:val="22"/>
        </w:rPr>
      </w:pPr>
    </w:p>
    <w:p w:rsidR="00E91B02" w:rsidRPr="00E91B02" w:rsidRDefault="00E91B02" w:rsidP="002C2DB9">
      <w:pPr>
        <w:pStyle w:val="Bezproreda"/>
        <w:jc w:val="both"/>
        <w:rPr>
          <w:rFonts w:asciiTheme="minorHAnsi" w:hAnsiTheme="minorHAnsi"/>
          <w:szCs w:val="22"/>
        </w:rPr>
      </w:pPr>
      <w:r w:rsidRPr="00E91B02">
        <w:rPr>
          <w:rFonts w:asciiTheme="minorHAnsi" w:hAnsiTheme="minorHAnsi"/>
          <w:b/>
          <w:szCs w:val="22"/>
        </w:rPr>
        <w:t xml:space="preserve">Očekivani rezultati projekta </w:t>
      </w:r>
      <w:r w:rsidRPr="00E91B02">
        <w:rPr>
          <w:rFonts w:asciiTheme="minorHAnsi" w:hAnsiTheme="minorHAnsi"/>
          <w:szCs w:val="22"/>
        </w:rPr>
        <w:t>odnose se na stvaranje pozitivnih utjecaja na okoliš, stvaranje tržišta za proizvode koji poštuju okoliš, poticanje poduzeća na razvoj novih tehnologija koje pozitivno utječu na okoliš, poticanje „zelenog“ gospodarstva, potaknuti konkurentnost različitih industrija Europske unije putem promicanja inovacija u eko-tehnologijama, potaknuti upotrebu zelenih standarda u privatnim i javnim nabavama</w:t>
      </w:r>
    </w:p>
    <w:p w:rsidR="002C2DB9" w:rsidRPr="00E91B02" w:rsidRDefault="002C2DB9" w:rsidP="002C2DB9">
      <w:pPr>
        <w:pStyle w:val="Bezproreda"/>
        <w:jc w:val="both"/>
        <w:rPr>
          <w:rFonts w:asciiTheme="minorHAnsi" w:hAnsiTheme="minorHAnsi"/>
          <w:b/>
          <w:szCs w:val="22"/>
        </w:rPr>
      </w:pPr>
    </w:p>
    <w:p w:rsidR="00E91B02" w:rsidRPr="00E91B02" w:rsidRDefault="00E91B02" w:rsidP="00E91B02">
      <w:pPr>
        <w:pStyle w:val="Bezproreda"/>
        <w:jc w:val="both"/>
        <w:rPr>
          <w:rFonts w:asciiTheme="minorHAnsi" w:eastAsiaTheme="minorHAnsi" w:hAnsiTheme="minorHAnsi" w:cs="DejaVuSans"/>
          <w:kern w:val="0"/>
          <w:szCs w:val="22"/>
          <w:lang w:eastAsia="en-US" w:bidi="ar-SA"/>
        </w:rPr>
      </w:pPr>
      <w:r w:rsidRPr="00E91B02">
        <w:rPr>
          <w:rFonts w:asciiTheme="minorHAnsi" w:eastAsiaTheme="minorHAnsi" w:hAnsiTheme="minorHAnsi" w:cs="DejaVuSans"/>
          <w:b/>
          <w:kern w:val="0"/>
          <w:szCs w:val="22"/>
          <w:lang w:eastAsia="en-US" w:bidi="ar-SA"/>
        </w:rPr>
        <w:t>Uloga Grada Koprivnice u projektu</w:t>
      </w:r>
      <w:r>
        <w:rPr>
          <w:rFonts w:asciiTheme="minorHAnsi" w:eastAsiaTheme="minorHAnsi" w:hAnsiTheme="minorHAnsi" w:cs="DejaVuSans"/>
          <w:kern w:val="0"/>
          <w:szCs w:val="22"/>
          <w:lang w:eastAsia="en-US" w:bidi="ar-SA"/>
        </w:rPr>
        <w:t xml:space="preserve"> jest </w:t>
      </w:r>
      <w:r w:rsidRPr="00E91B02">
        <w:rPr>
          <w:rFonts w:asciiTheme="minorHAnsi" w:eastAsiaTheme="minorHAnsi" w:hAnsiTheme="minorHAnsi" w:cs="DejaVuSans"/>
          <w:kern w:val="0"/>
          <w:szCs w:val="22"/>
          <w:lang w:eastAsia="en-US" w:bidi="ar-SA"/>
        </w:rPr>
        <w:t xml:space="preserve">pratiti promjene u zakonodavstvu Europske unije vezano uz zelenu javnu nabavu, testirati alat za provođenje postupaka zelene javne nabave koji će biti kreiran od strane projektnih partnera kroz </w:t>
      </w:r>
      <w:r>
        <w:rPr>
          <w:rFonts w:asciiTheme="minorHAnsi" w:eastAsiaTheme="minorHAnsi" w:hAnsiTheme="minorHAnsi" w:cs="DejaVuSans"/>
          <w:kern w:val="0"/>
          <w:szCs w:val="22"/>
          <w:lang w:eastAsia="en-US" w:bidi="ar-SA"/>
        </w:rPr>
        <w:t xml:space="preserve">realizaciju </w:t>
      </w:r>
      <w:r w:rsidRPr="00E91B02">
        <w:rPr>
          <w:rFonts w:asciiTheme="minorHAnsi" w:eastAsiaTheme="minorHAnsi" w:hAnsiTheme="minorHAnsi" w:cs="DejaVuSans"/>
          <w:kern w:val="0"/>
          <w:szCs w:val="22"/>
          <w:lang w:eastAsia="en-US" w:bidi="ar-SA"/>
        </w:rPr>
        <w:t xml:space="preserve">stvarne nabave </w:t>
      </w:r>
      <w:r>
        <w:rPr>
          <w:rFonts w:asciiTheme="minorHAnsi" w:eastAsiaTheme="minorHAnsi" w:hAnsiTheme="minorHAnsi" w:cs="DejaVuSans"/>
          <w:kern w:val="0"/>
          <w:szCs w:val="22"/>
          <w:lang w:eastAsia="en-US" w:bidi="ar-SA"/>
        </w:rPr>
        <w:t>opreme te promovirati projektne rezultate i načela zelene javne nabave među ostalim dionicima u Hrvatskoj.</w:t>
      </w:r>
    </w:p>
    <w:p w:rsidR="00E91B02" w:rsidRPr="00E91B02" w:rsidRDefault="00E91B02" w:rsidP="00E91B02">
      <w:pPr>
        <w:pStyle w:val="Bezproreda"/>
        <w:jc w:val="both"/>
        <w:rPr>
          <w:rFonts w:asciiTheme="minorHAnsi" w:hAnsiTheme="minorHAnsi"/>
          <w:szCs w:val="22"/>
        </w:rPr>
      </w:pPr>
    </w:p>
    <w:p w:rsidR="002C2DB9" w:rsidRPr="00E91B02" w:rsidRDefault="002C2DB9" w:rsidP="002C2DB9">
      <w:pPr>
        <w:rPr>
          <w:rFonts w:asciiTheme="minorHAnsi" w:hAnsiTheme="minorHAnsi"/>
          <w:sz w:val="22"/>
          <w:szCs w:val="22"/>
        </w:rPr>
      </w:pPr>
    </w:p>
    <w:p w:rsidR="002C2DB9" w:rsidRPr="00E91B02" w:rsidRDefault="002C2DB9" w:rsidP="002C2DB9">
      <w:pPr>
        <w:rPr>
          <w:rFonts w:asciiTheme="minorHAnsi" w:hAnsiTheme="minorHAnsi"/>
          <w:sz w:val="22"/>
          <w:szCs w:val="22"/>
        </w:rPr>
      </w:pPr>
    </w:p>
    <w:p w:rsidR="002C2DB9" w:rsidRPr="00E91B02" w:rsidRDefault="002C2DB9" w:rsidP="002C2DB9">
      <w:pPr>
        <w:pStyle w:val="Bezproreda"/>
        <w:ind w:left="66"/>
        <w:rPr>
          <w:rFonts w:asciiTheme="minorHAnsi" w:eastAsia="Times New Roman" w:hAnsiTheme="minorHAnsi" w:cs="Times New Roman"/>
          <w:b/>
          <w:kern w:val="0"/>
          <w:szCs w:val="22"/>
          <w:lang w:eastAsia="hr-HR" w:bidi="ar-SA"/>
        </w:rPr>
      </w:pPr>
    </w:p>
    <w:sectPr w:rsidR="002C2DB9" w:rsidRPr="00E91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5200F5FF" w:usb2="0A242021" w:usb3="00000000" w:csb0="000001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FreeSans">
    <w:altName w:val="MS Mincho"/>
    <w:charset w:val="80"/>
    <w:family w:val="auto"/>
    <w:pitch w:val="variable"/>
  </w:font>
  <w:font w:name="DejaVu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507"/>
    <w:multiLevelType w:val="hybridMultilevel"/>
    <w:tmpl w:val="19C04090"/>
    <w:lvl w:ilvl="0" w:tplc="0F7669D8">
      <w:numFmt w:val="bullet"/>
      <w:lvlText w:val="-"/>
      <w:lvlJc w:val="left"/>
      <w:pPr>
        <w:ind w:left="720" w:hanging="360"/>
      </w:pPr>
      <w:rPr>
        <w:rFonts w:ascii="Calibri" w:eastAsia="DejaVu Sans" w:hAnsi="Calibri"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35875"/>
    <w:multiLevelType w:val="hybridMultilevel"/>
    <w:tmpl w:val="8346BA56"/>
    <w:lvl w:ilvl="0" w:tplc="0F7669D8">
      <w:numFmt w:val="bullet"/>
      <w:lvlText w:val="-"/>
      <w:lvlJc w:val="left"/>
      <w:pPr>
        <w:ind w:left="1080" w:hanging="360"/>
      </w:pPr>
      <w:rPr>
        <w:rFonts w:ascii="Calibri" w:eastAsia="DejaVu Sans" w:hAnsi="Calibri" w:cs="Mang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32B6479"/>
    <w:multiLevelType w:val="hybridMultilevel"/>
    <w:tmpl w:val="972E32C2"/>
    <w:lvl w:ilvl="0" w:tplc="0F7669D8">
      <w:numFmt w:val="bullet"/>
      <w:lvlText w:val="-"/>
      <w:lvlJc w:val="left"/>
      <w:pPr>
        <w:ind w:left="720" w:hanging="360"/>
      </w:pPr>
      <w:rPr>
        <w:rFonts w:ascii="Calibri" w:eastAsia="DejaVu Sans" w:hAnsi="Calibri"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A242B3"/>
    <w:multiLevelType w:val="hybridMultilevel"/>
    <w:tmpl w:val="0F7A3780"/>
    <w:lvl w:ilvl="0" w:tplc="0F7669D8">
      <w:numFmt w:val="bullet"/>
      <w:lvlText w:val="-"/>
      <w:lvlJc w:val="left"/>
      <w:pPr>
        <w:ind w:left="1080" w:hanging="360"/>
      </w:pPr>
      <w:rPr>
        <w:rFonts w:ascii="Calibri" w:eastAsia="DejaVu Sans" w:hAnsi="Calibri" w:cs="Mang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9936CC7"/>
    <w:multiLevelType w:val="hybridMultilevel"/>
    <w:tmpl w:val="ADA8B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2542D"/>
    <w:multiLevelType w:val="hybridMultilevel"/>
    <w:tmpl w:val="1BE80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C27990"/>
    <w:multiLevelType w:val="hybridMultilevel"/>
    <w:tmpl w:val="9DEA880E"/>
    <w:lvl w:ilvl="0" w:tplc="0F7669D8">
      <w:numFmt w:val="bullet"/>
      <w:lvlText w:val="-"/>
      <w:lvlJc w:val="left"/>
      <w:pPr>
        <w:ind w:left="720" w:hanging="360"/>
      </w:pPr>
      <w:rPr>
        <w:rFonts w:ascii="Calibri" w:eastAsia="DejaVu Sans" w:hAnsi="Calibri"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2349A6"/>
    <w:multiLevelType w:val="hybridMultilevel"/>
    <w:tmpl w:val="43BC1A3C"/>
    <w:lvl w:ilvl="0" w:tplc="0F7669D8">
      <w:numFmt w:val="bullet"/>
      <w:lvlText w:val="-"/>
      <w:lvlJc w:val="left"/>
      <w:pPr>
        <w:ind w:left="720" w:hanging="360"/>
      </w:pPr>
      <w:rPr>
        <w:rFonts w:ascii="Calibri" w:eastAsia="DejaVu Sans" w:hAnsi="Calibri"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B9"/>
    <w:rsid w:val="002C2DB9"/>
    <w:rsid w:val="007A4A02"/>
    <w:rsid w:val="00810238"/>
    <w:rsid w:val="00E91B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BDF8-7A2C-4AF6-B4BF-13B37B78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B9"/>
    <w:pPr>
      <w:widowControl w:val="0"/>
      <w:suppressAutoHyphens/>
      <w:spacing w:after="0" w:line="240" w:lineRule="auto"/>
    </w:pPr>
    <w:rPr>
      <w:rFonts w:ascii="Liberation Serif" w:eastAsia="DejaVu Sans" w:hAnsi="Liberation Serif" w:cs="FreeSans"/>
      <w:kern w:val="1"/>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ps">
    <w:name w:val="hps"/>
    <w:rsid w:val="002C2DB9"/>
  </w:style>
  <w:style w:type="paragraph" w:styleId="Bezproreda">
    <w:name w:val="No Spacing"/>
    <w:uiPriority w:val="1"/>
    <w:qFormat/>
    <w:rsid w:val="002C2DB9"/>
    <w:pPr>
      <w:widowControl w:val="0"/>
      <w:suppressAutoHyphens/>
      <w:spacing w:after="0" w:line="240" w:lineRule="auto"/>
    </w:pPr>
    <w:rPr>
      <w:rFonts w:ascii="Calibri" w:eastAsia="DejaVu Sans" w:hAnsi="Calibri" w:cs="Mangal"/>
      <w:kern w:val="1"/>
      <w:szCs w:val="21"/>
      <w:lang w:eastAsia="zh-CN" w:bidi="hi-IN"/>
    </w:rPr>
  </w:style>
  <w:style w:type="paragraph" w:styleId="Odlomakpopisa">
    <w:name w:val="List Paragraph"/>
    <w:basedOn w:val="Normal"/>
    <w:uiPriority w:val="34"/>
    <w:qFormat/>
    <w:rsid w:val="002C2DB9"/>
    <w:pPr>
      <w:widowControl/>
      <w:suppressAutoHyphens w:val="0"/>
      <w:spacing w:after="200" w:line="276" w:lineRule="auto"/>
      <w:ind w:left="720"/>
      <w:contextualSpacing/>
    </w:pPr>
    <w:rPr>
      <w:rFonts w:ascii="Calibri" w:eastAsia="Calibri" w:hAnsi="Calibri" w:cs="Times New Roman"/>
      <w:kern w:val="0"/>
      <w:sz w:val="22"/>
      <w:szCs w:val="22"/>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233</Words>
  <Characters>1332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Balaško</dc:creator>
  <cp:keywords/>
  <dc:description/>
  <cp:lastModifiedBy>Maja Balaško</cp:lastModifiedBy>
  <cp:revision>3</cp:revision>
  <dcterms:created xsi:type="dcterms:W3CDTF">2015-08-25T06:37:00Z</dcterms:created>
  <dcterms:modified xsi:type="dcterms:W3CDTF">2015-11-08T16:27:00Z</dcterms:modified>
</cp:coreProperties>
</file>