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34F3" w:rsidRDefault="004034F3" w:rsidP="00FA165B"/>
    <w:p w:rsidR="004034F3" w:rsidRDefault="004034F3" w:rsidP="00FA165B"/>
    <w:p w:rsidR="007A0BE5" w:rsidRDefault="007A0BE5" w:rsidP="007A0BE5">
      <w:pPr>
        <w:tabs>
          <w:tab w:val="center" w:pos="4320"/>
          <w:tab w:val="right" w:pos="8640"/>
        </w:tabs>
        <w:spacing w:before="1000"/>
        <w:ind w:left="851"/>
        <w:rPr>
          <w:szCs w:val="20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7CE19E47" wp14:editId="768212D5">
            <wp:simplePos x="0" y="0"/>
            <wp:positionH relativeFrom="margin">
              <wp:posOffset>948690</wp:posOffset>
            </wp:positionH>
            <wp:positionV relativeFrom="paragraph">
              <wp:posOffset>-73660</wp:posOffset>
            </wp:positionV>
            <wp:extent cx="485775" cy="609600"/>
            <wp:effectExtent l="0" t="0" r="9525" b="0"/>
            <wp:wrapNone/>
            <wp:docPr id="3" name="Slika 3" descr="R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H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0BE5" w:rsidRPr="001E5EE1" w:rsidRDefault="007A0BE5" w:rsidP="00BA4A1C">
      <w:pPr>
        <w:tabs>
          <w:tab w:val="center" w:pos="4320"/>
          <w:tab w:val="right" w:pos="8640"/>
        </w:tabs>
        <w:ind w:left="851"/>
        <w:rPr>
          <w:szCs w:val="20"/>
        </w:rPr>
      </w:pPr>
      <w:r w:rsidRPr="001E5EE1">
        <w:rPr>
          <w:szCs w:val="20"/>
        </w:rPr>
        <w:t>REPUBLIKA HRVATSKA</w:t>
      </w:r>
    </w:p>
    <w:p w:rsidR="007A0BE5" w:rsidRPr="001E5EE1" w:rsidRDefault="007A0BE5" w:rsidP="007A0BE5">
      <w:pPr>
        <w:tabs>
          <w:tab w:val="center" w:pos="4320"/>
          <w:tab w:val="right" w:pos="8640"/>
        </w:tabs>
        <w:rPr>
          <w:szCs w:val="20"/>
        </w:rPr>
      </w:pPr>
      <w:r w:rsidRPr="001E5EE1">
        <w:rPr>
          <w:szCs w:val="20"/>
        </w:rPr>
        <w:t>KOPRIVNIČKO-KRIŽEVAČKA ŽUPANIJA</w:t>
      </w:r>
    </w:p>
    <w:p w:rsidR="007A0BE5" w:rsidRPr="001E5EE1" w:rsidRDefault="007A0BE5" w:rsidP="007A0BE5">
      <w:pPr>
        <w:tabs>
          <w:tab w:val="center" w:pos="4320"/>
          <w:tab w:val="right" w:pos="8640"/>
        </w:tabs>
        <w:spacing w:before="160"/>
        <w:ind w:left="1077"/>
        <w:rPr>
          <w:b/>
          <w:szCs w:val="20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342265</wp:posOffset>
            </wp:positionH>
            <wp:positionV relativeFrom="paragraph">
              <wp:posOffset>36195</wp:posOffset>
            </wp:positionV>
            <wp:extent cx="279400" cy="368300"/>
            <wp:effectExtent l="0" t="0" r="6350" b="0"/>
            <wp:wrapNone/>
            <wp:docPr id="2" name="Slika 2" descr="Grb Grada (60 px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rb Grada (60 px)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E5EE1">
        <w:rPr>
          <w:b/>
          <w:szCs w:val="20"/>
        </w:rPr>
        <w:t>GRAD KOPRIVNICA</w:t>
      </w:r>
    </w:p>
    <w:p w:rsidR="007A0BE5" w:rsidRPr="001E5EE1" w:rsidRDefault="007A0BE5" w:rsidP="007A0BE5">
      <w:pPr>
        <w:tabs>
          <w:tab w:val="center" w:pos="4320"/>
          <w:tab w:val="right" w:pos="8640"/>
        </w:tabs>
        <w:spacing w:before="160"/>
        <w:ind w:left="1077"/>
        <w:rPr>
          <w:b/>
          <w:sz w:val="10"/>
          <w:szCs w:val="10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44"/>
      </w:tblGrid>
      <w:tr w:rsidR="007A0BE5" w:rsidRPr="001E5EE1" w:rsidTr="00FE79CC">
        <w:tc>
          <w:tcPr>
            <w:tcW w:w="4644" w:type="dxa"/>
            <w:shd w:val="clear" w:color="auto" w:fill="auto"/>
          </w:tcPr>
          <w:p w:rsidR="007A0BE5" w:rsidRDefault="007A0BE5" w:rsidP="00FE79CC">
            <w:pPr>
              <w:tabs>
                <w:tab w:val="center" w:pos="4320"/>
                <w:tab w:val="right" w:pos="8640"/>
              </w:tabs>
              <w:jc w:val="center"/>
            </w:pPr>
            <w:r w:rsidRPr="001E5EE1">
              <w:fldChar w:fldCharType="begin"/>
            </w:r>
            <w:r w:rsidRPr="001E5EE1">
              <w:instrText xml:space="preserve"> DOCPROPERTY  Logo  \* MERGEFORMAT </w:instrText>
            </w:r>
            <w:r w:rsidRPr="001E5EE1">
              <w:fldChar w:fldCharType="separate"/>
            </w:r>
            <w:r>
              <w:t>Upravni odjel za komunalno gospodarstvo,</w:t>
            </w:r>
          </w:p>
          <w:p w:rsidR="007A0BE5" w:rsidRPr="001E5EE1" w:rsidRDefault="007A0BE5" w:rsidP="00FE79CC">
            <w:pPr>
              <w:tabs>
                <w:tab w:val="center" w:pos="4320"/>
                <w:tab w:val="right" w:pos="8640"/>
              </w:tabs>
              <w:jc w:val="center"/>
              <w:rPr>
                <w:szCs w:val="20"/>
              </w:rPr>
            </w:pPr>
            <w:r>
              <w:t xml:space="preserve"> prostorno uređenje i zaštitu okoliša</w:t>
            </w:r>
            <w:r w:rsidRPr="001E5EE1">
              <w:fldChar w:fldCharType="end"/>
            </w:r>
          </w:p>
        </w:tc>
      </w:tr>
    </w:tbl>
    <w:p w:rsidR="004034F3" w:rsidRDefault="004034F3" w:rsidP="00FA165B"/>
    <w:p w:rsidR="00BA4A1C" w:rsidRDefault="00BA4A1C" w:rsidP="00BA4A1C">
      <w:r>
        <w:t>KLASA: 944-01/15-01/0001</w:t>
      </w:r>
    </w:p>
    <w:p w:rsidR="00BA4A1C" w:rsidRDefault="00BA4A1C" w:rsidP="00BA4A1C">
      <w:r>
        <w:t>URBROJ: 2137/01-06-01/2-15-5</w:t>
      </w:r>
    </w:p>
    <w:p w:rsidR="007A0BE5" w:rsidRDefault="00BA4A1C" w:rsidP="00BA4A1C">
      <w:r>
        <w:t>Koprivnica, 5. listopada 2015.</w:t>
      </w:r>
    </w:p>
    <w:p w:rsidR="007A0BE5" w:rsidRPr="008770A6" w:rsidRDefault="007A0BE5" w:rsidP="008E3856"/>
    <w:tbl>
      <w:tblPr>
        <w:tblW w:w="0" w:type="auto"/>
        <w:tblInd w:w="108" w:type="dxa"/>
        <w:tblLook w:val="01E0" w:firstRow="1" w:lastRow="1" w:firstColumn="1" w:lastColumn="1" w:noHBand="0" w:noVBand="0"/>
      </w:tblPr>
      <w:tblGrid>
        <w:gridCol w:w="1620"/>
        <w:gridCol w:w="7380"/>
      </w:tblGrid>
      <w:tr w:rsidR="007A0BE5" w:rsidRPr="00252C52" w:rsidTr="007A0BE5">
        <w:tc>
          <w:tcPr>
            <w:tcW w:w="1620" w:type="dxa"/>
          </w:tcPr>
          <w:p w:rsidR="007A0BE5" w:rsidRPr="00C74ED6" w:rsidRDefault="007A0BE5" w:rsidP="00181FDC">
            <w:pPr>
              <w:rPr>
                <w:b/>
                <w:color w:val="000000"/>
              </w:rPr>
            </w:pPr>
            <w:r w:rsidRPr="00C74ED6">
              <w:rPr>
                <w:b/>
                <w:color w:val="000000"/>
                <w:sz w:val="22"/>
                <w:szCs w:val="22"/>
              </w:rPr>
              <w:t xml:space="preserve">Predmet: </w:t>
            </w:r>
          </w:p>
        </w:tc>
        <w:tc>
          <w:tcPr>
            <w:tcW w:w="7380" w:type="dxa"/>
          </w:tcPr>
          <w:p w:rsidR="007A0BE5" w:rsidRPr="00252C52" w:rsidRDefault="007A0BE5" w:rsidP="007A0BE5">
            <w:pPr>
              <w:tabs>
                <w:tab w:val="left" w:pos="0"/>
              </w:tabs>
              <w:spacing w:line="276" w:lineRule="auto"/>
              <w:ind w:right="-2"/>
              <w:jc w:val="both"/>
              <w:rPr>
                <w:b/>
                <w:color w:val="FF0000"/>
                <w:sz w:val="22"/>
                <w:szCs w:val="22"/>
              </w:rPr>
            </w:pPr>
            <w:bookmarkStart w:id="0" w:name="_GoBack"/>
            <w:r w:rsidRPr="00C74ED6">
              <w:rPr>
                <w:b/>
                <w:color w:val="000000"/>
                <w:sz w:val="22"/>
                <w:szCs w:val="22"/>
              </w:rPr>
              <w:t xml:space="preserve">Podaci iz prostorno-planske dokumentacije za poslovno-stambenu zgradu na </w:t>
            </w:r>
            <w:r w:rsidRPr="00252C52">
              <w:rPr>
                <w:b/>
                <w:color w:val="000000"/>
                <w:sz w:val="22"/>
                <w:szCs w:val="22"/>
              </w:rPr>
              <w:t xml:space="preserve">Trgu bana Josipa Jelačić </w:t>
            </w:r>
            <w:r w:rsidRPr="009113DF">
              <w:rPr>
                <w:b/>
                <w:color w:val="000000"/>
                <w:sz w:val="22"/>
                <w:szCs w:val="22"/>
              </w:rPr>
              <w:t>1</w:t>
            </w:r>
          </w:p>
          <w:bookmarkEnd w:id="0"/>
          <w:p w:rsidR="007A0BE5" w:rsidRDefault="007A0BE5" w:rsidP="00181FDC"/>
        </w:tc>
      </w:tr>
    </w:tbl>
    <w:p w:rsidR="008E3856" w:rsidRPr="00252C52" w:rsidRDefault="008E3856" w:rsidP="008E3856">
      <w:pPr>
        <w:tabs>
          <w:tab w:val="left" w:pos="1134"/>
        </w:tabs>
        <w:spacing w:line="276" w:lineRule="auto"/>
        <w:ind w:left="1134" w:right="2266"/>
        <w:jc w:val="both"/>
        <w:rPr>
          <w:color w:val="000000"/>
          <w:sz w:val="22"/>
          <w:szCs w:val="22"/>
        </w:rPr>
      </w:pPr>
    </w:p>
    <w:p w:rsidR="008E3856" w:rsidRPr="00252C52" w:rsidRDefault="008E3856" w:rsidP="008E3856">
      <w:pPr>
        <w:jc w:val="both"/>
        <w:rPr>
          <w:sz w:val="22"/>
          <w:szCs w:val="22"/>
        </w:rPr>
      </w:pPr>
      <w:r w:rsidRPr="00252C52">
        <w:rPr>
          <w:b/>
          <w:bCs/>
          <w:sz w:val="22"/>
          <w:szCs w:val="22"/>
          <w:u w:val="single"/>
        </w:rPr>
        <w:t>I.   OPIS GRAĐEVINE I POSTOJEĆE STANJE</w:t>
      </w:r>
    </w:p>
    <w:p w:rsidR="008E3856" w:rsidRPr="00252C52" w:rsidRDefault="008E3856" w:rsidP="008E3856">
      <w:pPr>
        <w:ind w:left="1440"/>
        <w:jc w:val="both"/>
        <w:rPr>
          <w:b/>
          <w:bCs/>
          <w:sz w:val="22"/>
          <w:szCs w:val="22"/>
          <w:u w:val="single"/>
        </w:rPr>
      </w:pPr>
    </w:p>
    <w:p w:rsidR="008E3856" w:rsidRPr="00252C52" w:rsidRDefault="008E3856" w:rsidP="008E3856">
      <w:pPr>
        <w:ind w:firstLine="708"/>
        <w:jc w:val="both"/>
        <w:rPr>
          <w:sz w:val="22"/>
          <w:szCs w:val="22"/>
        </w:rPr>
      </w:pPr>
      <w:r w:rsidRPr="00252C52">
        <w:rPr>
          <w:sz w:val="22"/>
          <w:szCs w:val="22"/>
        </w:rPr>
        <w:t xml:space="preserve">Građevina je građena krajem 18. stoljeća (iza 1772. godine), visine prizemlje + kat + visoki tavan, namjene trgovačko - stambene. U prizemnom dijelu nalaze se poslovni prostori koji danas funkcioniraju s odvojenim ulazima prema uličnom pročelju. U poslovnim prostorima izvedene su razne intervencije tijekom vremena na interijeru i eksterijeru, a koje se odnose na djelomično probijanje otvora na uličnom pročelju sa jugoistočne duže strane. Jugozapadno, lijevo krilo objekta je </w:t>
      </w:r>
      <w:proofErr w:type="spellStart"/>
      <w:r w:rsidRPr="00252C52">
        <w:rPr>
          <w:sz w:val="22"/>
          <w:szCs w:val="22"/>
        </w:rPr>
        <w:t>podrumljeno</w:t>
      </w:r>
      <w:proofErr w:type="spellEnd"/>
      <w:r w:rsidRPr="00252C52">
        <w:rPr>
          <w:sz w:val="22"/>
          <w:szCs w:val="22"/>
        </w:rPr>
        <w:t xml:space="preserve"> s dvije podrumske prostorije nadsvođene bačvastim svodom. Pristup u podrum moguć sa dvorišne strane preko jednokrakog stepeništa od pune opeke. Na katu se ponavljaju prostorni odnosi prizemnog dijela. Ulaz u dvorište izveden je kroz široku vežu (kolni prolaz) iz smjera Trga bana Josipa Jelačića, koji je dio pješačke zone. Prolazom kroz vežu dolazi se do dvorišta koje je omeđeno visokim </w:t>
      </w:r>
      <w:proofErr w:type="spellStart"/>
      <w:r w:rsidRPr="00252C52">
        <w:rPr>
          <w:sz w:val="22"/>
          <w:szCs w:val="22"/>
        </w:rPr>
        <w:t>zabatnim</w:t>
      </w:r>
      <w:proofErr w:type="spellEnd"/>
      <w:r w:rsidRPr="00252C52">
        <w:rPr>
          <w:sz w:val="22"/>
          <w:szCs w:val="22"/>
        </w:rPr>
        <w:t xml:space="preserve"> zidovima susjednih katnih građevina koje čine mali zatvoreni prostor. </w:t>
      </w:r>
    </w:p>
    <w:p w:rsidR="008E3856" w:rsidRPr="00252C52" w:rsidRDefault="008E3856" w:rsidP="008E3856">
      <w:pPr>
        <w:ind w:firstLine="708"/>
        <w:jc w:val="both"/>
        <w:rPr>
          <w:sz w:val="22"/>
          <w:szCs w:val="22"/>
        </w:rPr>
      </w:pPr>
    </w:p>
    <w:p w:rsidR="008E3856" w:rsidRPr="00252C52" w:rsidRDefault="008E3856" w:rsidP="008E3856">
      <w:pPr>
        <w:ind w:firstLine="708"/>
        <w:jc w:val="both"/>
        <w:rPr>
          <w:sz w:val="22"/>
          <w:szCs w:val="22"/>
        </w:rPr>
      </w:pPr>
      <w:r w:rsidRPr="00252C52">
        <w:rPr>
          <w:sz w:val="22"/>
          <w:szCs w:val="22"/>
        </w:rPr>
        <w:t xml:space="preserve">Prema rješenju Ministarstva kulture, Uprave za zaštitu kulturne baštine </w:t>
      </w:r>
      <w:r w:rsidRPr="00252C52">
        <w:rPr>
          <w:color w:val="000000"/>
          <w:sz w:val="22"/>
          <w:szCs w:val="22"/>
        </w:rPr>
        <w:t xml:space="preserve">k.č.br. 1313 u k.o. Koprivnica ima svojstvo kulturnog dobra, te je definirano da </w:t>
      </w:r>
      <w:r w:rsidRPr="00252C52">
        <w:rPr>
          <w:i/>
          <w:sz w:val="22"/>
          <w:szCs w:val="22"/>
        </w:rPr>
        <w:t xml:space="preserve">Stambeno-poslovna zgrada, Trg bana Josipa Jelačića 1 </w:t>
      </w:r>
      <w:r w:rsidRPr="00252C52">
        <w:rPr>
          <w:sz w:val="22"/>
          <w:szCs w:val="22"/>
        </w:rPr>
        <w:t>ima status registrirane kulturne baštine (Z – 2895</w:t>
      </w:r>
      <w:r>
        <w:rPr>
          <w:sz w:val="22"/>
          <w:szCs w:val="22"/>
        </w:rPr>
        <w:t>)</w:t>
      </w:r>
      <w:r w:rsidRPr="00252C52">
        <w:rPr>
          <w:sz w:val="22"/>
          <w:szCs w:val="22"/>
        </w:rPr>
        <w:t xml:space="preserve"> za koju je propisano da postupak izdavanja stručnog mišljenja, posebnih uvjeta (u sklopu ishođenja lokacijske dozvole), potvrde glavnog projekta (u sklopu izdavanja građevne dozvole) i konzervatorskog nadzora za građevine koje su registrirane (Z) provodi nadležna služba zaštite (Uprava za zaštitu kulturne baštine - Konzervatorski odjel u Bjelovaru).</w:t>
      </w:r>
    </w:p>
    <w:p w:rsidR="008E3856" w:rsidRPr="00252C52" w:rsidRDefault="008E3856" w:rsidP="008E3856">
      <w:pPr>
        <w:ind w:firstLine="708"/>
        <w:jc w:val="both"/>
        <w:rPr>
          <w:sz w:val="22"/>
          <w:szCs w:val="22"/>
        </w:rPr>
      </w:pPr>
    </w:p>
    <w:p w:rsidR="008E3856" w:rsidRPr="00252C52" w:rsidRDefault="008E3856" w:rsidP="008E3856">
      <w:pPr>
        <w:ind w:firstLine="708"/>
        <w:jc w:val="both"/>
        <w:rPr>
          <w:sz w:val="22"/>
          <w:szCs w:val="22"/>
        </w:rPr>
      </w:pPr>
      <w:r w:rsidRPr="00252C52">
        <w:rPr>
          <w:sz w:val="22"/>
          <w:szCs w:val="22"/>
        </w:rPr>
        <w:t>Grad Koprivnica je vršio radove građevinske sanacije, a obnova je započela 2009. godine. Izrađena je potrebna izvedbena dokumentacija i to izvedbeni projekt sanacije odvodnje podzemnih voda, izvedbeni projekt odvodnje krovnih voda i površinskih voda oko cijele građevine, projekt sustava zaštite zidova od djelovanja kapilarne vlage i izvedbeni projekt sanacije krovišta za kompletnu građevinu. Izvršena je sanacija podrumskog zida, uklonjen dotrajali dio dvorišnog aneksa,  građevinska sanacija podrumskog dijela zgrade (sanacija od vlage).</w:t>
      </w:r>
    </w:p>
    <w:p w:rsidR="008E3856" w:rsidRPr="00252C52" w:rsidRDefault="008E3856" w:rsidP="008E3856">
      <w:pPr>
        <w:jc w:val="both"/>
        <w:rPr>
          <w:sz w:val="22"/>
          <w:szCs w:val="22"/>
        </w:rPr>
      </w:pPr>
    </w:p>
    <w:p w:rsidR="008E3856" w:rsidRPr="00252C52" w:rsidRDefault="008E3856" w:rsidP="008E3856">
      <w:pPr>
        <w:jc w:val="both"/>
        <w:rPr>
          <w:sz w:val="22"/>
          <w:szCs w:val="22"/>
        </w:rPr>
      </w:pPr>
    </w:p>
    <w:p w:rsidR="008E3856" w:rsidRPr="00252C52" w:rsidRDefault="008E3856" w:rsidP="008E3856">
      <w:pPr>
        <w:jc w:val="both"/>
        <w:rPr>
          <w:sz w:val="22"/>
          <w:szCs w:val="22"/>
        </w:rPr>
      </w:pPr>
    </w:p>
    <w:p w:rsidR="008E3856" w:rsidRPr="00252C52" w:rsidRDefault="008E3856" w:rsidP="008E3856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>
            <wp:extent cx="2682240" cy="2004060"/>
            <wp:effectExtent l="0" t="0" r="381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856" w:rsidRPr="00252C52" w:rsidRDefault="008E3856" w:rsidP="008E3856">
      <w:pPr>
        <w:jc w:val="both"/>
        <w:rPr>
          <w:sz w:val="22"/>
          <w:szCs w:val="22"/>
        </w:rPr>
      </w:pPr>
    </w:p>
    <w:tbl>
      <w:tblPr>
        <w:tblW w:w="14172" w:type="dxa"/>
        <w:tblLook w:val="01E0" w:firstRow="1" w:lastRow="1" w:firstColumn="1" w:lastColumn="1" w:noHBand="0" w:noVBand="0"/>
      </w:tblPr>
      <w:tblGrid>
        <w:gridCol w:w="9180"/>
        <w:gridCol w:w="235"/>
        <w:gridCol w:w="4757"/>
      </w:tblGrid>
      <w:tr w:rsidR="008E3856" w:rsidRPr="00252C52" w:rsidTr="00FE79CC">
        <w:tc>
          <w:tcPr>
            <w:tcW w:w="9180" w:type="dxa"/>
            <w:shd w:val="clear" w:color="auto" w:fill="auto"/>
          </w:tcPr>
          <w:p w:rsidR="008E3856" w:rsidRPr="00252C52" w:rsidRDefault="008E3856" w:rsidP="00FE79CC">
            <w:pPr>
              <w:jc w:val="both"/>
              <w:rPr>
                <w:sz w:val="22"/>
                <w:szCs w:val="22"/>
              </w:rPr>
            </w:pPr>
            <w:r w:rsidRPr="00252C52">
              <w:rPr>
                <w:b/>
                <w:bCs/>
                <w:sz w:val="22"/>
                <w:szCs w:val="22"/>
                <w:u w:val="single"/>
              </w:rPr>
              <w:t>II.   PODACI IZ PROSTORNO-PLANSKE DOKUMENTACIJE</w:t>
            </w:r>
          </w:p>
          <w:p w:rsidR="008E3856" w:rsidRPr="00252C52" w:rsidRDefault="008E3856" w:rsidP="00FE79CC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235" w:type="dxa"/>
            <w:shd w:val="clear" w:color="auto" w:fill="auto"/>
          </w:tcPr>
          <w:p w:rsidR="008E3856" w:rsidRPr="00252C52" w:rsidRDefault="008E3856" w:rsidP="00FE79CC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757" w:type="dxa"/>
            <w:shd w:val="clear" w:color="auto" w:fill="auto"/>
          </w:tcPr>
          <w:p w:rsidR="008E3856" w:rsidRPr="00252C52" w:rsidRDefault="008E3856" w:rsidP="00FE79CC">
            <w:pPr>
              <w:jc w:val="center"/>
              <w:rPr>
                <w:sz w:val="22"/>
                <w:szCs w:val="22"/>
              </w:rPr>
            </w:pPr>
          </w:p>
        </w:tc>
      </w:tr>
    </w:tbl>
    <w:p w:rsidR="008E3856" w:rsidRPr="009113DF" w:rsidRDefault="008E3856" w:rsidP="008E3856">
      <w:pPr>
        <w:ind w:firstLine="708"/>
        <w:jc w:val="both"/>
        <w:rPr>
          <w:color w:val="000000"/>
          <w:sz w:val="22"/>
          <w:szCs w:val="22"/>
        </w:rPr>
      </w:pPr>
      <w:r w:rsidRPr="009113DF">
        <w:rPr>
          <w:color w:val="000000"/>
          <w:sz w:val="22"/>
          <w:szCs w:val="22"/>
        </w:rPr>
        <w:t xml:space="preserve">Zemljište označeno kao k.č.br. 1313 u k.o. Koprivnica nalazi se unutar granica građevinskog područja naselja Koprivnica prema Prostornom planu uređenja Grada Koprivnice («Glasnik Grada Koprivnice» broj 04/06., 05/12. i 03/15.), kao prostornom planu višeg reda, a obuhvaćeno je Generalnim urbanističkim planom Koprivnice («Glasnik Grada Koprivnice» broj 04/08., 05/08., 07/14. i 01/15. – pročišćeni tekst) kao prostornim planom nižeg reda prema kojem se predmetna katastarska čestica nalaze unutar </w:t>
      </w:r>
      <w:r w:rsidRPr="009113DF">
        <w:rPr>
          <w:b/>
          <w:color w:val="000000"/>
          <w:sz w:val="22"/>
          <w:szCs w:val="22"/>
        </w:rPr>
        <w:t>zone mješovite namjene (M)</w:t>
      </w:r>
      <w:r w:rsidRPr="009113DF">
        <w:rPr>
          <w:color w:val="000000"/>
          <w:sz w:val="22"/>
          <w:szCs w:val="22"/>
        </w:rPr>
        <w:t xml:space="preserve">. </w:t>
      </w:r>
    </w:p>
    <w:p w:rsidR="008E3856" w:rsidRPr="009113DF" w:rsidRDefault="008E3856" w:rsidP="008E3856">
      <w:pPr>
        <w:ind w:firstLine="708"/>
        <w:jc w:val="both"/>
        <w:rPr>
          <w:color w:val="000000"/>
          <w:sz w:val="22"/>
          <w:szCs w:val="22"/>
        </w:rPr>
      </w:pPr>
    </w:p>
    <w:p w:rsidR="008E3856" w:rsidRPr="009113DF" w:rsidRDefault="008E3856" w:rsidP="008E3856">
      <w:pPr>
        <w:ind w:firstLine="708"/>
        <w:jc w:val="both"/>
        <w:rPr>
          <w:rFonts w:ascii="Arial" w:hAnsi="Arial" w:cs="Arial"/>
          <w:color w:val="000000"/>
          <w:sz w:val="22"/>
          <w:szCs w:val="22"/>
        </w:rPr>
      </w:pPr>
      <w:r w:rsidRPr="009113DF">
        <w:rPr>
          <w:color w:val="000000"/>
          <w:sz w:val="22"/>
          <w:szCs w:val="22"/>
        </w:rPr>
        <w:t>Prema odredbama članka 6. Generalnog urbanističkog plana Koprivnice u zoni mješovite namjene (M) moguće je planirati gradnju građevina stambene namjene, javne i društvene namjene, poslovne, uslužne i trgovačke namjene, sportsko rekreacijske namjene, javne zelene površine, javne garaže, ugostiteljsko-turističke namjene, tihe gospodarske proizvodne namjene i pomoćne građevine u funkciji osnovne.</w:t>
      </w:r>
      <w:r w:rsidRPr="009113DF">
        <w:rPr>
          <w:rFonts w:ascii="Arial" w:hAnsi="Arial" w:cs="Arial"/>
          <w:color w:val="000000"/>
          <w:sz w:val="22"/>
          <w:szCs w:val="22"/>
        </w:rPr>
        <w:t xml:space="preserve"> </w:t>
      </w:r>
    </w:p>
    <w:p w:rsidR="008E3856" w:rsidRPr="009113DF" w:rsidRDefault="008E3856" w:rsidP="008E3856">
      <w:pPr>
        <w:ind w:firstLine="708"/>
        <w:jc w:val="both"/>
        <w:rPr>
          <w:color w:val="000000"/>
          <w:sz w:val="22"/>
          <w:szCs w:val="22"/>
        </w:rPr>
      </w:pPr>
      <w:r w:rsidRPr="009113DF">
        <w:rPr>
          <w:color w:val="000000"/>
          <w:sz w:val="22"/>
          <w:szCs w:val="22"/>
        </w:rPr>
        <w:t xml:space="preserve">Iznimno, u zoni užeg centra Koprivnice dijelovi grada koji su GUP-om </w:t>
      </w:r>
      <w:r>
        <w:rPr>
          <w:color w:val="000000"/>
          <w:sz w:val="22"/>
          <w:szCs w:val="22"/>
        </w:rPr>
        <w:t xml:space="preserve">označeni </w:t>
      </w:r>
      <w:r w:rsidRPr="009113DF">
        <w:rPr>
          <w:color w:val="000000"/>
          <w:sz w:val="22"/>
          <w:szCs w:val="22"/>
        </w:rPr>
        <w:t>kao područje zona 1.B</w:t>
      </w:r>
      <w:r>
        <w:rPr>
          <w:color w:val="000000"/>
          <w:sz w:val="22"/>
          <w:szCs w:val="22"/>
        </w:rPr>
        <w:t>.</w:t>
      </w:r>
      <w:r w:rsidRPr="009113DF">
        <w:rPr>
          <w:color w:val="000000"/>
          <w:sz w:val="22"/>
          <w:szCs w:val="22"/>
        </w:rPr>
        <w:t xml:space="preserve"> Zona djelomične zaštite povijesne jezgre, </w:t>
      </w:r>
      <w:r>
        <w:rPr>
          <w:color w:val="000000"/>
          <w:sz w:val="22"/>
          <w:szCs w:val="22"/>
        </w:rPr>
        <w:t xml:space="preserve">prema odredbama Prostornog plana uređenja Grada Koprivnice </w:t>
      </w:r>
      <w:r w:rsidRPr="009113DF">
        <w:rPr>
          <w:color w:val="000000"/>
          <w:sz w:val="22"/>
          <w:szCs w:val="22"/>
        </w:rPr>
        <w:t>koeficijent izgrađenosti i koeficijent iskorištenosti ovise o namjeni, te se određuje na sljedeći način:</w:t>
      </w:r>
    </w:p>
    <w:p w:rsidR="008E3856" w:rsidRPr="009113DF" w:rsidRDefault="008E3856" w:rsidP="008E3856">
      <w:pPr>
        <w:ind w:firstLine="567"/>
        <w:jc w:val="both"/>
        <w:rPr>
          <w:color w:val="000000"/>
          <w:sz w:val="22"/>
          <w:szCs w:val="22"/>
        </w:rPr>
      </w:pPr>
      <w:r w:rsidRPr="009113DF">
        <w:rPr>
          <w:color w:val="000000"/>
          <w:sz w:val="22"/>
          <w:szCs w:val="22"/>
        </w:rPr>
        <w:t xml:space="preserve">- </w:t>
      </w:r>
      <w:r w:rsidRPr="009113DF">
        <w:rPr>
          <w:color w:val="000000"/>
          <w:sz w:val="22"/>
          <w:szCs w:val="22"/>
        </w:rPr>
        <w:tab/>
        <w:t xml:space="preserve">za stambenu i mješovitu namjenu maksimalni koeficijent iznosi </w:t>
      </w:r>
      <w:proofErr w:type="spellStart"/>
      <w:r w:rsidRPr="009113DF">
        <w:rPr>
          <w:color w:val="000000"/>
          <w:sz w:val="22"/>
          <w:szCs w:val="22"/>
        </w:rPr>
        <w:t>kig</w:t>
      </w:r>
      <w:proofErr w:type="spellEnd"/>
      <w:r w:rsidRPr="009113DF">
        <w:rPr>
          <w:color w:val="000000"/>
          <w:sz w:val="22"/>
          <w:szCs w:val="22"/>
        </w:rPr>
        <w:t xml:space="preserve">=0,60, a maksimalni koeficijent iskorištenosti iznosi kis=2,5, </w:t>
      </w:r>
    </w:p>
    <w:p w:rsidR="008E3856" w:rsidRPr="009113DF" w:rsidRDefault="008E3856" w:rsidP="008E3856">
      <w:pPr>
        <w:ind w:firstLine="567"/>
        <w:jc w:val="both"/>
        <w:rPr>
          <w:color w:val="000000"/>
          <w:sz w:val="22"/>
          <w:szCs w:val="22"/>
        </w:rPr>
      </w:pPr>
      <w:r w:rsidRPr="009113DF">
        <w:rPr>
          <w:color w:val="000000"/>
          <w:sz w:val="22"/>
          <w:szCs w:val="22"/>
        </w:rPr>
        <w:t xml:space="preserve">- </w:t>
      </w:r>
      <w:r w:rsidRPr="009113DF">
        <w:rPr>
          <w:color w:val="000000"/>
          <w:sz w:val="22"/>
          <w:szCs w:val="22"/>
        </w:rPr>
        <w:tab/>
        <w:t xml:space="preserve">za gospodarsku (uslužna i trgovačka poslovna namjena te ugostiteljsko – turistička namjena) maksimalni koeficijent iznosi </w:t>
      </w:r>
      <w:proofErr w:type="spellStart"/>
      <w:r w:rsidRPr="009113DF">
        <w:rPr>
          <w:color w:val="000000"/>
          <w:sz w:val="22"/>
          <w:szCs w:val="22"/>
        </w:rPr>
        <w:t>kig</w:t>
      </w:r>
      <w:proofErr w:type="spellEnd"/>
      <w:r w:rsidRPr="009113DF">
        <w:rPr>
          <w:color w:val="000000"/>
          <w:sz w:val="22"/>
          <w:szCs w:val="22"/>
        </w:rPr>
        <w:t xml:space="preserve">=0,70, maksimalni koeficijent iskorištenosti iznosi kis=3,0 </w:t>
      </w:r>
    </w:p>
    <w:p w:rsidR="008E3856" w:rsidRPr="009113DF" w:rsidRDefault="008E3856" w:rsidP="008E3856">
      <w:pPr>
        <w:ind w:firstLine="567"/>
        <w:jc w:val="both"/>
        <w:rPr>
          <w:color w:val="000000"/>
          <w:sz w:val="22"/>
          <w:szCs w:val="22"/>
        </w:rPr>
      </w:pPr>
      <w:r w:rsidRPr="009113DF">
        <w:rPr>
          <w:color w:val="000000"/>
          <w:sz w:val="22"/>
          <w:szCs w:val="22"/>
        </w:rPr>
        <w:t xml:space="preserve">- </w:t>
      </w:r>
      <w:r w:rsidRPr="009113DF">
        <w:rPr>
          <w:color w:val="000000"/>
          <w:sz w:val="22"/>
          <w:szCs w:val="22"/>
        </w:rPr>
        <w:tab/>
        <w:t xml:space="preserve">za javnu i društvenu namjenu maksimalni koeficijent iznosi </w:t>
      </w:r>
      <w:proofErr w:type="spellStart"/>
      <w:r w:rsidRPr="009113DF">
        <w:rPr>
          <w:color w:val="000000"/>
          <w:sz w:val="22"/>
          <w:szCs w:val="22"/>
        </w:rPr>
        <w:t>kig</w:t>
      </w:r>
      <w:proofErr w:type="spellEnd"/>
      <w:r w:rsidRPr="009113DF">
        <w:rPr>
          <w:color w:val="000000"/>
          <w:sz w:val="22"/>
          <w:szCs w:val="22"/>
        </w:rPr>
        <w:t>=0,80, a maksimalni koeficijent iskorištenosti iznosi kis=3,0.</w:t>
      </w:r>
    </w:p>
    <w:p w:rsidR="008E3856" w:rsidRPr="009113DF" w:rsidRDefault="008E3856" w:rsidP="008E3856">
      <w:pPr>
        <w:ind w:firstLine="567"/>
        <w:jc w:val="both"/>
        <w:rPr>
          <w:color w:val="000000"/>
          <w:sz w:val="22"/>
          <w:szCs w:val="22"/>
        </w:rPr>
      </w:pPr>
    </w:p>
    <w:p w:rsidR="008E3856" w:rsidRPr="009113DF" w:rsidRDefault="008E3856" w:rsidP="008E3856">
      <w:pPr>
        <w:ind w:firstLine="708"/>
        <w:jc w:val="both"/>
        <w:rPr>
          <w:color w:val="000000"/>
          <w:sz w:val="22"/>
          <w:szCs w:val="22"/>
        </w:rPr>
      </w:pPr>
      <w:r w:rsidRPr="009113DF">
        <w:rPr>
          <w:color w:val="000000"/>
          <w:sz w:val="22"/>
          <w:szCs w:val="22"/>
        </w:rPr>
        <w:t>Potreban broj parkirališnih ili garažnih mjesta (broj PGM) određuje se prema namjeni građevine ili na 1.000 m</w:t>
      </w:r>
      <w:r w:rsidRPr="009113DF">
        <w:rPr>
          <w:color w:val="000000"/>
          <w:sz w:val="22"/>
          <w:szCs w:val="22"/>
          <w:vertAlign w:val="superscript"/>
        </w:rPr>
        <w:t>2</w:t>
      </w:r>
      <w:r w:rsidRPr="009113DF">
        <w:rPr>
          <w:color w:val="000000"/>
          <w:sz w:val="22"/>
          <w:szCs w:val="22"/>
        </w:rPr>
        <w:t xml:space="preserve"> GBP-a, ovisno o broju stambenih jedinica, tipologiji gradnje, lokaciji ili namjeni prostora u građevini te se potrebni dodatni broj može osigurati na postojećim javnim parkiralištima koja su u radijusu od 100 metara. Obzirom na lokaciju u strogom centru grada, u blizini postoje javna parkirališta te se za predmetnu zgradu određuje samo 1 parkirališno-garažno mjesto za stan ako je planirana namjena zgrade stambeno poslovna, a potrebe za poslovnu namjenu osiguravaju se na javnim parkiralištima.</w:t>
      </w:r>
    </w:p>
    <w:p w:rsidR="008E3856" w:rsidRPr="009113DF" w:rsidRDefault="008E3856" w:rsidP="008E3856">
      <w:pPr>
        <w:ind w:firstLine="708"/>
        <w:jc w:val="both"/>
        <w:rPr>
          <w:color w:val="000000"/>
          <w:sz w:val="22"/>
          <w:szCs w:val="22"/>
        </w:rPr>
      </w:pPr>
    </w:p>
    <w:p w:rsidR="008E3856" w:rsidRPr="009113DF" w:rsidRDefault="008E3856" w:rsidP="008E3856">
      <w:pPr>
        <w:ind w:firstLine="708"/>
        <w:jc w:val="both"/>
        <w:rPr>
          <w:color w:val="000000"/>
          <w:sz w:val="22"/>
          <w:szCs w:val="22"/>
        </w:rPr>
      </w:pPr>
      <w:r w:rsidRPr="009113DF">
        <w:rPr>
          <w:color w:val="000000"/>
          <w:sz w:val="22"/>
          <w:szCs w:val="22"/>
        </w:rPr>
        <w:t>Prema načinu gradnje predmetna katastarska čestica nalazi se u zoni (1.B.) Zona djelomične zaštite povijesne jezgre prema GUP–u Koprivnice. Prema članku 45. GUP-a Koprivnice zona zaštite ‘B’ označava dijelove gradske povijesne jezgre u kojima se djelomice štiti ustroj naselja.  Propisuje se zaštita osnovnih elemenata povijesne jezgre, povijesna matrica prostora, način korištenja površina, karakteristični potezi i grupe građevina, građevna linija, mjerilo i sve drugo što na bilo koji način sudjeluje u sveukupnoj ambijentalnoj vrijednosti cjeline. U ovoj zoni dopuštene su odgovarajuće intervencije u smislu prilagođavanja funkcija i sadržaja suvremenim potrebama (</w:t>
      </w:r>
      <w:proofErr w:type="spellStart"/>
      <w:r w:rsidRPr="009113DF">
        <w:rPr>
          <w:color w:val="000000"/>
          <w:sz w:val="22"/>
          <w:szCs w:val="22"/>
        </w:rPr>
        <w:t>konzervacija</w:t>
      </w:r>
      <w:proofErr w:type="spellEnd"/>
      <w:r w:rsidRPr="009113DF">
        <w:rPr>
          <w:color w:val="000000"/>
          <w:sz w:val="22"/>
          <w:szCs w:val="22"/>
        </w:rPr>
        <w:t xml:space="preserve">, rekonstrukcija, povezivanje povijesnih i novih struktura, interpolacija, </w:t>
      </w:r>
      <w:proofErr w:type="spellStart"/>
      <w:r w:rsidRPr="009113DF">
        <w:rPr>
          <w:color w:val="000000"/>
          <w:sz w:val="22"/>
          <w:szCs w:val="22"/>
        </w:rPr>
        <w:t>rekompozicija</w:t>
      </w:r>
      <w:proofErr w:type="spellEnd"/>
      <w:r w:rsidRPr="009113DF">
        <w:rPr>
          <w:color w:val="000000"/>
          <w:sz w:val="22"/>
          <w:szCs w:val="22"/>
        </w:rPr>
        <w:t>, integracija).</w:t>
      </w:r>
    </w:p>
    <w:p w:rsidR="008E3856" w:rsidRPr="009113DF" w:rsidRDefault="008E3856" w:rsidP="008E3856">
      <w:pPr>
        <w:ind w:firstLine="708"/>
        <w:jc w:val="both"/>
        <w:rPr>
          <w:color w:val="000000"/>
          <w:sz w:val="22"/>
          <w:szCs w:val="22"/>
        </w:rPr>
      </w:pPr>
      <w:r w:rsidRPr="009113DF">
        <w:rPr>
          <w:color w:val="000000"/>
          <w:sz w:val="22"/>
          <w:szCs w:val="22"/>
        </w:rPr>
        <w:lastRenderedPageBreak/>
        <w:tab/>
        <w:t>Obzirom na heterogenost povijesnih strukturalnih elemenata za sve građevne zahvate unutar 'B' zone zaštite, osobito one kojima se mijenja stanje u prostoru, gabarit građevina ili se utječe na vanjski izgled građevine (prenamjena, obnova pročelja, postavljanje reklame i sl.) propisan je upravni postupak i nadležnost službe zaštite spomenika što znači da je od nadležne Uprave za zaštitu kulturne baštine - Konzervatorskog odjela u Bjelovaru, nužno ishoditi posebne uvjete (u postupku izdavanja lokacijske dozvole) i/ili potvrdu glavnog projekta (u postupku izdavanja građevinske dozvole). Prilikom izvođenja radova obvezan je konzervatorski nadzor.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4045"/>
        <w:gridCol w:w="236"/>
        <w:gridCol w:w="4954"/>
      </w:tblGrid>
      <w:tr w:rsidR="008E3856" w:rsidRPr="00252C52" w:rsidTr="00FE79CC">
        <w:tc>
          <w:tcPr>
            <w:tcW w:w="4045" w:type="dxa"/>
            <w:shd w:val="clear" w:color="auto" w:fill="auto"/>
          </w:tcPr>
          <w:p w:rsidR="008E3856" w:rsidRPr="00252C52" w:rsidRDefault="008E3856" w:rsidP="00FE79CC">
            <w:pPr>
              <w:jc w:val="right"/>
              <w:rPr>
                <w:sz w:val="22"/>
                <w:szCs w:val="22"/>
              </w:rPr>
            </w:pPr>
          </w:p>
        </w:tc>
        <w:tc>
          <w:tcPr>
            <w:tcW w:w="236" w:type="dxa"/>
            <w:shd w:val="clear" w:color="auto" w:fill="auto"/>
          </w:tcPr>
          <w:p w:rsidR="008E3856" w:rsidRPr="00252C52" w:rsidRDefault="008E3856" w:rsidP="00FE79CC">
            <w:pPr>
              <w:jc w:val="both"/>
              <w:rPr>
                <w:sz w:val="22"/>
                <w:szCs w:val="22"/>
              </w:rPr>
            </w:pPr>
          </w:p>
        </w:tc>
        <w:tc>
          <w:tcPr>
            <w:tcW w:w="4954" w:type="dxa"/>
            <w:shd w:val="clear" w:color="auto" w:fill="auto"/>
          </w:tcPr>
          <w:p w:rsidR="008E3856" w:rsidRPr="00252C52" w:rsidRDefault="008E3856" w:rsidP="00FE79CC">
            <w:pPr>
              <w:jc w:val="center"/>
              <w:rPr>
                <w:sz w:val="22"/>
                <w:szCs w:val="22"/>
              </w:rPr>
            </w:pPr>
          </w:p>
        </w:tc>
      </w:tr>
    </w:tbl>
    <w:p w:rsidR="008E3856" w:rsidRPr="00252C52" w:rsidRDefault="008E3856" w:rsidP="008E3856">
      <w:pPr>
        <w:ind w:firstLine="708"/>
        <w:jc w:val="both"/>
        <w:rPr>
          <w:sz w:val="22"/>
          <w:szCs w:val="22"/>
        </w:rPr>
      </w:pPr>
      <w:r w:rsidRPr="00252C52">
        <w:rPr>
          <w:sz w:val="22"/>
          <w:szCs w:val="22"/>
        </w:rPr>
        <w:t xml:space="preserve">Uvid u prostorno plansku dokumentaciju moguće je izvršiti putem </w:t>
      </w:r>
      <w:proofErr w:type="spellStart"/>
      <w:r w:rsidRPr="00252C52">
        <w:rPr>
          <w:sz w:val="22"/>
          <w:szCs w:val="22"/>
        </w:rPr>
        <w:t>internet</w:t>
      </w:r>
      <w:proofErr w:type="spellEnd"/>
      <w:r w:rsidRPr="00252C52">
        <w:rPr>
          <w:sz w:val="22"/>
          <w:szCs w:val="22"/>
        </w:rPr>
        <w:t xml:space="preserve"> stranica Grada Koprivnice na adresi:</w:t>
      </w:r>
      <w:r w:rsidRPr="00252C52">
        <w:rPr>
          <w:b/>
          <w:sz w:val="22"/>
          <w:szCs w:val="22"/>
        </w:rPr>
        <w:t xml:space="preserve"> </w:t>
      </w:r>
      <w:hyperlink r:id="rId9" w:history="1">
        <w:r w:rsidRPr="00252C52">
          <w:rPr>
            <w:color w:val="0000FF"/>
            <w:sz w:val="22"/>
            <w:szCs w:val="22"/>
            <w:u w:val="single"/>
          </w:rPr>
          <w:t>http://koprivnica.hr/gradska-uprava/prostorni-planovi</w:t>
        </w:r>
      </w:hyperlink>
      <w:r w:rsidRPr="00252C52">
        <w:rPr>
          <w:sz w:val="22"/>
          <w:szCs w:val="22"/>
        </w:rPr>
        <w:t>.</w:t>
      </w:r>
    </w:p>
    <w:p w:rsidR="008E3856" w:rsidRPr="00252C52" w:rsidRDefault="008E3856" w:rsidP="008E3856">
      <w:pPr>
        <w:ind w:firstLine="709"/>
        <w:jc w:val="both"/>
        <w:rPr>
          <w:sz w:val="22"/>
          <w:szCs w:val="22"/>
        </w:rPr>
      </w:pPr>
    </w:p>
    <w:p w:rsidR="008E3856" w:rsidRDefault="008E3856" w:rsidP="008E3856">
      <w:pPr>
        <w:ind w:firstLine="708"/>
        <w:jc w:val="both"/>
        <w:rPr>
          <w:b/>
          <w:sz w:val="22"/>
          <w:szCs w:val="22"/>
        </w:rPr>
      </w:pPr>
      <w:r w:rsidRPr="00252C52">
        <w:rPr>
          <w:sz w:val="22"/>
          <w:szCs w:val="22"/>
        </w:rPr>
        <w:t xml:space="preserve">Podaci su utvrđeni uvidom u Prostorni plan uređenja Grada Koprivnice («Glasnik Grada Koprivnice» broj: 04/06., 05/12. i 03/15.) i Generalni urbanistički plan Koprivnice («Glasnik Grada Koprivnice» broj: 04/08., 05/08., 07/14. i 01/15. – pročišćeni tekst) koji su sastavni dio informacijskog sustava prostornog uređenja, uspostavljenog i vođenog temeljem članka 31. Zakona o prostornom uređenju («Narodne novine» broj: 153/13.) </w:t>
      </w:r>
      <w:r w:rsidRPr="00252C52">
        <w:rPr>
          <w:b/>
          <w:sz w:val="22"/>
          <w:szCs w:val="22"/>
        </w:rPr>
        <w:t>i vrijede do izmjena i dopuna predmetnih prostornih planova.</w:t>
      </w:r>
    </w:p>
    <w:p w:rsidR="008E3856" w:rsidRPr="00252C52" w:rsidRDefault="008E3856" w:rsidP="008E3856">
      <w:pPr>
        <w:ind w:firstLine="708"/>
        <w:jc w:val="both"/>
        <w:rPr>
          <w:color w:val="000000"/>
          <w:sz w:val="22"/>
          <w:szCs w:val="22"/>
        </w:rPr>
      </w:pPr>
    </w:p>
    <w:p w:rsidR="008E3856" w:rsidRDefault="008E3856" w:rsidP="008E3856">
      <w:pPr>
        <w:ind w:firstLine="708"/>
        <w:rPr>
          <w:sz w:val="22"/>
          <w:szCs w:val="22"/>
        </w:rPr>
      </w:pPr>
    </w:p>
    <w:p w:rsidR="008E3856" w:rsidRPr="00296324" w:rsidRDefault="008E3856" w:rsidP="008E3856">
      <w:pPr>
        <w:ind w:firstLine="708"/>
        <w:rPr>
          <w:color w:val="000000"/>
          <w:sz w:val="22"/>
          <w:szCs w:val="22"/>
        </w:rPr>
      </w:pPr>
    </w:p>
    <w:p w:rsidR="008E3856" w:rsidRPr="00ED1A89" w:rsidRDefault="008E3856" w:rsidP="008E3856">
      <w:pPr>
        <w:keepNext/>
        <w:keepLines/>
        <w:ind w:left="3969"/>
        <w:jc w:val="center"/>
        <w:rPr>
          <w:b/>
          <w:caps/>
          <w:color w:val="FF0000"/>
        </w:rPr>
      </w:pPr>
      <w:r w:rsidRPr="00ED1A89">
        <w:rPr>
          <w:b/>
          <w:caps/>
          <w:color w:val="000000"/>
        </w:rPr>
        <w:t>PROČELNICA:</w:t>
      </w:r>
    </w:p>
    <w:p w:rsidR="008E3856" w:rsidRDefault="008E3856" w:rsidP="008E3856">
      <w:pPr>
        <w:keepNext/>
        <w:keepLines/>
        <w:ind w:left="3969"/>
        <w:jc w:val="center"/>
        <w:rPr>
          <w:color w:val="000000"/>
        </w:rPr>
      </w:pPr>
      <w:r w:rsidRPr="00ED1A89">
        <w:rPr>
          <w:color w:val="000000"/>
        </w:rPr>
        <w:t xml:space="preserve">Maja Ištvan </w:t>
      </w:r>
      <w:proofErr w:type="spellStart"/>
      <w:r w:rsidRPr="00ED1A89">
        <w:rPr>
          <w:color w:val="000000"/>
        </w:rPr>
        <w:t>Krapinec</w:t>
      </w:r>
      <w:proofErr w:type="spellEnd"/>
      <w:r w:rsidRPr="00ED1A89">
        <w:rPr>
          <w:color w:val="000000"/>
        </w:rPr>
        <w:t>, dipl. ing. arh.</w:t>
      </w:r>
    </w:p>
    <w:p w:rsidR="008E3856" w:rsidRDefault="008E3856" w:rsidP="008E3856">
      <w:pPr>
        <w:keepNext/>
        <w:keepLines/>
        <w:ind w:left="3969"/>
        <w:jc w:val="center"/>
        <w:rPr>
          <w:color w:val="000000"/>
        </w:rPr>
      </w:pPr>
    </w:p>
    <w:p w:rsidR="008E3856" w:rsidRDefault="008E3856" w:rsidP="008E3856">
      <w:pPr>
        <w:keepNext/>
        <w:keepLines/>
        <w:ind w:left="3969"/>
        <w:jc w:val="center"/>
        <w:rPr>
          <w:color w:val="000000"/>
        </w:rPr>
      </w:pPr>
    </w:p>
    <w:p w:rsidR="008E3856" w:rsidRDefault="008E3856" w:rsidP="008E3856">
      <w:pPr>
        <w:keepNext/>
        <w:keepLines/>
        <w:ind w:left="3969"/>
        <w:jc w:val="center"/>
        <w:rPr>
          <w:color w:val="000000"/>
        </w:rPr>
      </w:pPr>
    </w:p>
    <w:p w:rsidR="008E3856" w:rsidRPr="00ED1A89" w:rsidRDefault="008E3856" w:rsidP="008E3856">
      <w:pPr>
        <w:keepNext/>
        <w:keepLines/>
        <w:ind w:left="3969"/>
        <w:jc w:val="center"/>
        <w:rPr>
          <w:color w:val="000000"/>
        </w:rPr>
      </w:pPr>
    </w:p>
    <w:p w:rsidR="008E3856" w:rsidRPr="00ED1A89" w:rsidRDefault="008E3856" w:rsidP="008E3856">
      <w:pPr>
        <w:rPr>
          <w:color w:val="000000"/>
        </w:rPr>
      </w:pPr>
    </w:p>
    <w:p w:rsidR="00FB65DB" w:rsidRDefault="00FB65DB" w:rsidP="008E3856"/>
    <w:sectPr w:rsidR="00FB65D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85C6B15"/>
    <w:multiLevelType w:val="hybridMultilevel"/>
    <w:tmpl w:val="955ECB5E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46E13EA"/>
    <w:multiLevelType w:val="hybridMultilevel"/>
    <w:tmpl w:val="1264E09A"/>
    <w:lvl w:ilvl="0" w:tplc="338C105C">
      <w:start w:val="9"/>
      <w:numFmt w:val="bullet"/>
      <w:lvlText w:val="-"/>
      <w:lvlJc w:val="left"/>
      <w:pPr>
        <w:ind w:left="1068" w:hanging="360"/>
      </w:pPr>
      <w:rPr>
        <w:rFonts w:ascii="Arial" w:eastAsia="Times New Roman" w:hAnsi="Arial" w:cs="Arial" w:hint="default"/>
      </w:rPr>
    </w:lvl>
    <w:lvl w:ilvl="1" w:tplc="041A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2480"/>
    <w:rsid w:val="00252480"/>
    <w:rsid w:val="00365CF3"/>
    <w:rsid w:val="004034F3"/>
    <w:rsid w:val="007A0BE5"/>
    <w:rsid w:val="008E3856"/>
    <w:rsid w:val="00BA4A1C"/>
    <w:rsid w:val="00FA165B"/>
    <w:rsid w:val="00FB65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A16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styleId="Hiperveza">
    <w:name w:val="Hyperlink"/>
    <w:semiHidden/>
    <w:unhideWhenUsed/>
    <w:rsid w:val="00FA165B"/>
    <w:rPr>
      <w:color w:val="0000FF"/>
      <w:u w:val="single"/>
    </w:rPr>
  </w:style>
  <w:style w:type="paragraph" w:styleId="Tijeloteksta">
    <w:name w:val="Body Text"/>
    <w:basedOn w:val="Normal"/>
    <w:link w:val="TijelotekstaChar"/>
    <w:semiHidden/>
    <w:unhideWhenUsed/>
    <w:rsid w:val="004034F3"/>
    <w:pPr>
      <w:spacing w:after="120"/>
    </w:pPr>
    <w:rPr>
      <w:szCs w:val="20"/>
      <w:lang w:val="x-none" w:eastAsia="x-none"/>
    </w:rPr>
  </w:style>
  <w:style w:type="character" w:customStyle="1" w:styleId="TijelotekstaChar">
    <w:name w:val="Tijelo teksta Char"/>
    <w:basedOn w:val="Zadanifontodlomka"/>
    <w:link w:val="Tijeloteksta"/>
    <w:semiHidden/>
    <w:rsid w:val="004034F3"/>
    <w:rPr>
      <w:rFonts w:ascii="Times New Roman" w:eastAsia="Times New Roman" w:hAnsi="Times New Roman" w:cs="Times New Roman"/>
      <w:sz w:val="24"/>
      <w:szCs w:val="20"/>
      <w:lang w:val="x-none" w:eastAsia="x-none"/>
    </w:rPr>
  </w:style>
  <w:style w:type="paragraph" w:styleId="Tijeloteksta2">
    <w:name w:val="Body Text 2"/>
    <w:basedOn w:val="Normal"/>
    <w:link w:val="Tijeloteksta2Char"/>
    <w:semiHidden/>
    <w:unhideWhenUsed/>
    <w:rsid w:val="004034F3"/>
    <w:pPr>
      <w:spacing w:after="120" w:line="480" w:lineRule="auto"/>
    </w:pPr>
    <w:rPr>
      <w:lang w:val="x-none" w:eastAsia="x-none"/>
    </w:rPr>
  </w:style>
  <w:style w:type="character" w:customStyle="1" w:styleId="Tijeloteksta2Char">
    <w:name w:val="Tijelo teksta 2 Char"/>
    <w:basedOn w:val="Zadanifontodlomka"/>
    <w:link w:val="Tijeloteksta2"/>
    <w:semiHidden/>
    <w:rsid w:val="004034F3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BA4A1C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BA4A1C"/>
    <w:rPr>
      <w:rFonts w:ascii="Tahoma" w:eastAsia="Times New Roman" w:hAnsi="Tahoma" w:cs="Tahoma"/>
      <w:sz w:val="16"/>
      <w:szCs w:val="16"/>
      <w:lang w:eastAsia="hr-H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A165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character" w:styleId="Hiperveza">
    <w:name w:val="Hyperlink"/>
    <w:semiHidden/>
    <w:unhideWhenUsed/>
    <w:rsid w:val="00FA165B"/>
    <w:rPr>
      <w:color w:val="0000FF"/>
      <w:u w:val="single"/>
    </w:rPr>
  </w:style>
  <w:style w:type="paragraph" w:styleId="Tijeloteksta">
    <w:name w:val="Body Text"/>
    <w:basedOn w:val="Normal"/>
    <w:link w:val="TijelotekstaChar"/>
    <w:semiHidden/>
    <w:unhideWhenUsed/>
    <w:rsid w:val="004034F3"/>
    <w:pPr>
      <w:spacing w:after="120"/>
    </w:pPr>
    <w:rPr>
      <w:szCs w:val="20"/>
      <w:lang w:val="x-none" w:eastAsia="x-none"/>
    </w:rPr>
  </w:style>
  <w:style w:type="character" w:customStyle="1" w:styleId="TijelotekstaChar">
    <w:name w:val="Tijelo teksta Char"/>
    <w:basedOn w:val="Zadanifontodlomka"/>
    <w:link w:val="Tijeloteksta"/>
    <w:semiHidden/>
    <w:rsid w:val="004034F3"/>
    <w:rPr>
      <w:rFonts w:ascii="Times New Roman" w:eastAsia="Times New Roman" w:hAnsi="Times New Roman" w:cs="Times New Roman"/>
      <w:sz w:val="24"/>
      <w:szCs w:val="20"/>
      <w:lang w:val="x-none" w:eastAsia="x-none"/>
    </w:rPr>
  </w:style>
  <w:style w:type="paragraph" w:styleId="Tijeloteksta2">
    <w:name w:val="Body Text 2"/>
    <w:basedOn w:val="Normal"/>
    <w:link w:val="Tijeloteksta2Char"/>
    <w:semiHidden/>
    <w:unhideWhenUsed/>
    <w:rsid w:val="004034F3"/>
    <w:pPr>
      <w:spacing w:after="120" w:line="480" w:lineRule="auto"/>
    </w:pPr>
    <w:rPr>
      <w:lang w:val="x-none" w:eastAsia="x-none"/>
    </w:rPr>
  </w:style>
  <w:style w:type="character" w:customStyle="1" w:styleId="Tijeloteksta2Char">
    <w:name w:val="Tijelo teksta 2 Char"/>
    <w:basedOn w:val="Zadanifontodlomka"/>
    <w:link w:val="Tijeloteksta2"/>
    <w:semiHidden/>
    <w:rsid w:val="004034F3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BA4A1C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BA4A1C"/>
    <w:rPr>
      <w:rFonts w:ascii="Tahoma" w:eastAsia="Times New Roman" w:hAnsi="Tahoma" w:cs="Tahoma"/>
      <w:sz w:val="16"/>
      <w:szCs w:val="16"/>
      <w:lang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07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8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koprivnica.hr/gradska-uprava/prostorni-planovi" TargetMode="Externa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1062</Words>
  <Characters>6056</Characters>
  <Application>Microsoft Office Word</Application>
  <DocSecurity>0</DocSecurity>
  <Lines>50</Lines>
  <Paragraphs>14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7104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Mijo Horvat</dc:creator>
  <cp:lastModifiedBy>Dijana Radotović</cp:lastModifiedBy>
  <cp:revision>2</cp:revision>
  <dcterms:created xsi:type="dcterms:W3CDTF">2015-10-05T08:10:00Z</dcterms:created>
  <dcterms:modified xsi:type="dcterms:W3CDTF">2015-10-05T08:10:00Z</dcterms:modified>
</cp:coreProperties>
</file>